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0B7" w:rsidRDefault="00425C09">
      <w:pPr>
        <w:pStyle w:val="Corpodetexto"/>
        <w:rPr>
          <w:rFonts w:ascii="Arial" w:hAnsi="Arial"/>
        </w:rPr>
      </w:pPr>
      <w:r>
        <w:rPr>
          <w:rFonts w:ascii="Arial" w:hAnsi="Arial"/>
          <w:noProof/>
        </w:rPr>
        <mc:AlternateContent>
          <mc:Choice Requires="wps">
            <w:drawing>
              <wp:anchor distT="0" distB="0" distL="0" distR="0" simplePos="0" relativeHeight="251652096" behindDoc="0" locked="0" layoutInCell="0" allowOverlap="1">
                <wp:simplePos x="0" y="0"/>
                <wp:positionH relativeFrom="page">
                  <wp:posOffset>6979920</wp:posOffset>
                </wp:positionH>
                <wp:positionV relativeFrom="page">
                  <wp:posOffset>9104630</wp:posOffset>
                </wp:positionV>
                <wp:extent cx="352425" cy="565785"/>
                <wp:effectExtent l="0" t="0" r="0" b="0"/>
                <wp:wrapNone/>
                <wp:docPr id="1" name="Textbox 3"/>
                <wp:cNvGraphicFramePr/>
                <a:graphic xmlns:a="http://schemas.openxmlformats.org/drawingml/2006/main">
                  <a:graphicData uri="http://schemas.microsoft.com/office/word/2010/wordprocessingShape">
                    <wps:wsp>
                      <wps:cNvSpPr/>
                      <wps:spPr>
                        <a:xfrm>
                          <a:off x="0" y="0"/>
                          <a:ext cx="352440" cy="5659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1</w:t>
                            </w:r>
                          </w:p>
                        </w:txbxContent>
                      </wps:txbx>
                      <wps:bodyPr vert="vert270" lIns="0" tIns="0" rIns="0" bIns="0" anchor="t">
                        <a:noAutofit/>
                      </wps:bodyPr>
                    </wps:wsp>
                  </a:graphicData>
                </a:graphic>
              </wp:anchor>
            </w:drawing>
          </mc:Choice>
          <mc:Fallback>
            <w:pict>
              <v:rect id="Textbox 3" o:spid="_x0000_s1026" style="position:absolute;margin-left:549.6pt;margin-top:716.9pt;width:27.75pt;height:44.5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" o:allowincell="f" filled="f" stroked="f" strokeweight="0">
                <v:textbox style="layout-flow:vertical;mso-layout-flow-alt:bottom-to-top" inset="0,0,0,0">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1</w:t>
                      </w:r>
                    </w:p>
                  </w:txbxContent>
                </v:textbox>
                <w10:wrap anchorx="page" anchory="page"/>
              </v:rect>
            </w:pict>
          </mc:Fallback>
        </mc:AlternateContent>
      </w: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rPr>
          <w:rFonts w:ascii="Arial" w:hAnsi="Arial"/>
        </w:rPr>
      </w:pPr>
    </w:p>
    <w:p w:rsidR="009D60B7" w:rsidRDefault="009D60B7">
      <w:pPr>
        <w:pStyle w:val="Corpodetexto"/>
        <w:spacing w:before="98"/>
        <w:rPr>
          <w:rFonts w:ascii="Arial" w:hAnsi="Arial"/>
        </w:rPr>
      </w:pPr>
    </w:p>
    <w:p w:rsidR="009D60B7" w:rsidRDefault="00425C09">
      <w:pPr>
        <w:pStyle w:val="Ttulo"/>
        <w:ind w:left="106"/>
        <w:rPr>
          <w:rFonts w:ascii="Arial" w:hAnsi="Arial"/>
          <w:sz w:val="20"/>
          <w:szCs w:val="20"/>
        </w:rPr>
      </w:pPr>
      <w:r>
        <w:rPr>
          <w:noProof/>
        </w:rPr>
        <mc:AlternateContent>
          <mc:Choice Requires="wps">
            <w:drawing>
              <wp:anchor distT="0" distB="0" distL="0" distR="0" simplePos="0" relativeHeight="251653120" behindDoc="0" locked="0" layoutInCell="0" allowOverlap="1">
                <wp:simplePos x="0" y="0"/>
                <wp:positionH relativeFrom="page">
                  <wp:posOffset>883285</wp:posOffset>
                </wp:positionH>
                <wp:positionV relativeFrom="paragraph">
                  <wp:posOffset>-109855</wp:posOffset>
                </wp:positionV>
                <wp:extent cx="5888990" cy="9525"/>
                <wp:effectExtent l="0" t="0" r="0" b="0"/>
                <wp:wrapNone/>
                <wp:docPr id="2" name="Graphic 4"/>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4" o:spid="_x0000_s1026" o:spt="100" style="position:absolute;left:0pt;margin-left:69.55pt;margin-top:-8.65pt;height:0.75pt;width:463.7pt;mso-position-horizontal-relative:page;z-index:251659264;mso-width-relative:page;mso-height-relative:page;" fillcolor="#9ABA59" filled="t" stroked="f" coordsize="5888990,9525" o:allowincell="f" o:gfxdata="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K1hMbvYAAAADAEAAA8AAAAAAAAAAQAgAAAAIgAAAGRycy9kb3ducmV2LnhtbFBLAQIUABQA&#10;AAAIAIdO4kAEr7kyYgIAAKYFAAAOAAAAAAAAAAEAIAAAACcBAABkcnMvZTJvRG9jLnhtbFBLBQYA&#10;AAAABgAGAFkBAAD7BQAAAAA=&#10;" path="m5888473,9144l0,9144,0,0,5888473,0,5888473,9144xe">
                <v:fill on="t" focussize="0,0"/>
                <v:stroke on="f" weight="0pt"/>
                <v:imagedata o:title=""/>
                <o:lock v:ext="edit" aspectratio="f"/>
              </v:shape>
            </w:pict>
          </mc:Fallback>
        </mc:AlternateContent>
      </w:r>
      <w:r>
        <w:rPr>
          <w:rFonts w:ascii="Arial" w:hAnsi="Arial"/>
          <w:spacing w:val="15"/>
          <w:sz w:val="20"/>
          <w:szCs w:val="20"/>
        </w:rPr>
        <w:t>XX</w:t>
      </w:r>
      <w:r>
        <w:rPr>
          <w:rFonts w:ascii="Arial" w:hAnsi="Arial"/>
          <w:spacing w:val="15"/>
          <w:sz w:val="20"/>
          <w:szCs w:val="20"/>
          <w:lang w:val="pt-BR"/>
        </w:rPr>
        <w:t>IV</w:t>
      </w:r>
      <w:r>
        <w:rPr>
          <w:rFonts w:ascii="Arial" w:hAnsi="Arial"/>
          <w:spacing w:val="50"/>
          <w:sz w:val="20"/>
          <w:szCs w:val="20"/>
        </w:rPr>
        <w:t xml:space="preserve"> </w:t>
      </w:r>
      <w:r>
        <w:rPr>
          <w:rFonts w:ascii="Arial" w:hAnsi="Arial"/>
          <w:spacing w:val="24"/>
          <w:sz w:val="20"/>
          <w:szCs w:val="20"/>
        </w:rPr>
        <w:t>JORNADA</w:t>
      </w:r>
      <w:r>
        <w:rPr>
          <w:rFonts w:ascii="Arial" w:hAnsi="Arial"/>
          <w:spacing w:val="53"/>
          <w:sz w:val="20"/>
          <w:szCs w:val="20"/>
        </w:rPr>
        <w:t xml:space="preserve"> </w:t>
      </w:r>
      <w:r>
        <w:rPr>
          <w:rFonts w:ascii="Arial" w:hAnsi="Arial"/>
          <w:spacing w:val="23"/>
          <w:sz w:val="20"/>
          <w:szCs w:val="20"/>
        </w:rPr>
        <w:t>JURÍDICA</w:t>
      </w:r>
    </w:p>
    <w:p w:rsidR="009D60B7" w:rsidRDefault="00425C09">
      <w:pPr>
        <w:pStyle w:val="Ttulo"/>
        <w:rPr>
          <w:rFonts w:ascii="Arial" w:hAnsi="Arial"/>
          <w:sz w:val="20"/>
          <w:szCs w:val="20"/>
        </w:rPr>
      </w:pPr>
      <w:r>
        <w:rPr>
          <w:rFonts w:ascii="Arial" w:hAnsi="Arial"/>
          <w:spacing w:val="14"/>
          <w:sz w:val="20"/>
          <w:szCs w:val="20"/>
        </w:rPr>
        <w:t>DA</w:t>
      </w:r>
      <w:r>
        <w:rPr>
          <w:rFonts w:ascii="Arial" w:hAnsi="Arial"/>
          <w:spacing w:val="45"/>
          <w:sz w:val="20"/>
          <w:szCs w:val="20"/>
        </w:rPr>
        <w:t xml:space="preserve"> </w:t>
      </w:r>
      <w:r>
        <w:rPr>
          <w:rFonts w:ascii="Arial" w:hAnsi="Arial"/>
          <w:spacing w:val="25"/>
          <w:sz w:val="20"/>
          <w:szCs w:val="20"/>
        </w:rPr>
        <w:t>FACULDADE</w:t>
      </w:r>
      <w:r>
        <w:rPr>
          <w:rFonts w:ascii="Arial" w:hAnsi="Arial"/>
          <w:spacing w:val="45"/>
          <w:sz w:val="20"/>
          <w:szCs w:val="20"/>
        </w:rPr>
        <w:t xml:space="preserve"> </w:t>
      </w:r>
      <w:r>
        <w:rPr>
          <w:rFonts w:ascii="Arial" w:hAnsi="Arial"/>
          <w:spacing w:val="27"/>
          <w:sz w:val="20"/>
          <w:szCs w:val="20"/>
        </w:rPr>
        <w:t>EVANGÉLICA</w:t>
      </w:r>
      <w:r>
        <w:rPr>
          <w:rFonts w:ascii="Arial" w:hAnsi="Arial"/>
          <w:spacing w:val="45"/>
          <w:sz w:val="20"/>
          <w:szCs w:val="20"/>
        </w:rPr>
        <w:t xml:space="preserve"> </w:t>
      </w:r>
      <w:r>
        <w:rPr>
          <w:rFonts w:ascii="Arial" w:hAnsi="Arial"/>
          <w:spacing w:val="22"/>
          <w:sz w:val="20"/>
          <w:szCs w:val="20"/>
        </w:rPr>
        <w:t>RAÍZES</w:t>
      </w:r>
    </w:p>
    <w:p w:rsidR="009D60B7" w:rsidRDefault="00425C09">
      <w:pPr>
        <w:spacing w:before="188"/>
        <w:ind w:left="101"/>
        <w:jc w:val="center"/>
        <w:rPr>
          <w:rFonts w:ascii="Arial" w:hAnsi="Arial"/>
          <w:sz w:val="20"/>
          <w:szCs w:val="20"/>
        </w:rPr>
      </w:pPr>
      <w:r>
        <w:rPr>
          <w:rFonts w:ascii="Arial" w:eastAsia="SimSun" w:hAnsi="Arial" w:cs="Cambria"/>
          <w:color w:val="4F81BD" w:themeColor="accent1"/>
          <w:sz w:val="20"/>
          <w:szCs w:val="20"/>
        </w:rPr>
        <w:t>“O DIREITO QUE PERMANECE: HUMANIDADE NA ERA DOS ALGORITMOS”</w:t>
      </w:r>
    </w:p>
    <w:p w:rsidR="009D60B7" w:rsidRDefault="00425C09">
      <w:pPr>
        <w:spacing w:before="188"/>
        <w:ind w:left="101"/>
        <w:jc w:val="center"/>
        <w:rPr>
          <w:rFonts w:ascii="Arial" w:hAnsi="Arial"/>
          <w:sz w:val="20"/>
          <w:szCs w:val="20"/>
        </w:rPr>
        <w:sectPr w:rsidR="009D60B7">
          <w:headerReference w:type="default" r:id="rId9"/>
          <w:footerReference w:type="default" r:id="rId10"/>
          <w:headerReference w:type="first" r:id="rId11"/>
          <w:footerReference w:type="first" r:id="rId12"/>
          <w:pgSz w:w="11906" w:h="16838"/>
          <w:pgMar w:top="1460" w:right="1275" w:bottom="1080" w:left="1275" w:header="725" w:footer="896" w:gutter="0"/>
          <w:cols w:space="720"/>
          <w:formProt w:val="0"/>
          <w:docGrid w:linePitch="100"/>
        </w:sectPr>
      </w:pPr>
      <w:r>
        <w:rPr>
          <w:noProof/>
        </w:rPr>
        <mc:AlternateContent>
          <mc:Choice Requires="wps">
            <w:drawing>
              <wp:anchor distT="0" distB="0" distL="0" distR="0" simplePos="0" relativeHeight="251654144" behindDoc="0" locked="0" layoutInCell="0" allowOverlap="1">
                <wp:simplePos x="0" y="0"/>
                <wp:positionH relativeFrom="page">
                  <wp:posOffset>883285</wp:posOffset>
                </wp:positionH>
                <wp:positionV relativeFrom="paragraph">
                  <wp:posOffset>398145</wp:posOffset>
                </wp:positionV>
                <wp:extent cx="5888990" cy="9525"/>
                <wp:effectExtent l="0" t="0" r="0" b="0"/>
                <wp:wrapNone/>
                <wp:docPr id="3" name="Graphic 5"/>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5" o:spid="_x0000_s1026" o:spt="100" style="position:absolute;left:0pt;margin-left:69.55pt;margin-top:31.35pt;height:0.75pt;width:463.7pt;mso-position-horizontal-relative:page;z-index:251659264;mso-width-relative:page;mso-height-relative:page;" fillcolor="#9ABA59" filled="t" stroked="f" coordsize="5888990,9525" o:allowincell="f" o:gfxdata="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i&#10;gZBq1wAAAAoBAAAPAAAAAAAAAAEAIAAAACIAAABkcnMvZG93bnJldi54bWxQSwECFAAUAAAACACH&#10;TuJAKQiZ5F4CAACmBQAADgAAAAAAAAABACAAAAAmAQAAZHJzL2Uyb0RvYy54bWxQSwUGAAAAAAYA&#10;BgBZAQAA9gUAAAAA&#10;" path="m5888473,9144l0,9144,0,0,5888473,0,5888473,9144xe">
                <v:fill on="t" focussize="0,0"/>
                <v:stroke on="f" weight="0pt"/>
                <v:imagedata o:title=""/>
                <o:lock v:ext="edit" aspectratio="f"/>
              </v:shape>
            </w:pict>
          </mc:Fallback>
        </mc:AlternateContent>
      </w:r>
      <w:r>
        <w:rPr>
          <w:rFonts w:ascii="Arial" w:hAnsi="Arial"/>
          <w:color w:val="4F81BD" w:themeColor="accent1"/>
          <w:sz w:val="20"/>
          <w:szCs w:val="20"/>
        </w:rPr>
        <w:t>A</w:t>
      </w:r>
      <w:r>
        <w:rPr>
          <w:rFonts w:ascii="Arial" w:hAnsi="Arial"/>
          <w:color w:val="4F81BD" w:themeColor="accent1"/>
          <w:spacing w:val="-23"/>
          <w:sz w:val="20"/>
          <w:szCs w:val="20"/>
        </w:rPr>
        <w:t xml:space="preserve"> </w:t>
      </w:r>
      <w:r>
        <w:rPr>
          <w:rFonts w:ascii="Arial" w:hAnsi="Arial"/>
          <w:color w:val="4F81BD" w:themeColor="accent1"/>
          <w:sz w:val="20"/>
          <w:szCs w:val="20"/>
        </w:rPr>
        <w:t>N</w:t>
      </w:r>
      <w:r>
        <w:rPr>
          <w:rFonts w:ascii="Arial" w:hAnsi="Arial"/>
          <w:color w:val="4F81BD" w:themeColor="accent1"/>
          <w:spacing w:val="-22"/>
          <w:sz w:val="20"/>
          <w:szCs w:val="20"/>
        </w:rPr>
        <w:t xml:space="preserve"> </w:t>
      </w:r>
      <w:r>
        <w:rPr>
          <w:rFonts w:ascii="Arial" w:hAnsi="Arial"/>
          <w:color w:val="4F81BD" w:themeColor="accent1"/>
          <w:sz w:val="20"/>
          <w:szCs w:val="20"/>
        </w:rPr>
        <w:t>A</w:t>
      </w:r>
      <w:r>
        <w:rPr>
          <w:rFonts w:ascii="Arial" w:hAnsi="Arial"/>
          <w:color w:val="4F81BD" w:themeColor="accent1"/>
          <w:spacing w:val="-23"/>
          <w:sz w:val="20"/>
          <w:szCs w:val="20"/>
        </w:rPr>
        <w:t xml:space="preserve"> </w:t>
      </w:r>
      <w:r>
        <w:rPr>
          <w:rFonts w:ascii="Arial" w:hAnsi="Arial"/>
          <w:color w:val="4F81BD" w:themeColor="accent1"/>
          <w:spacing w:val="14"/>
          <w:sz w:val="20"/>
          <w:szCs w:val="20"/>
        </w:rPr>
        <w:t>IS</w:t>
      </w:r>
      <w:r>
        <w:rPr>
          <w:rFonts w:ascii="Arial" w:hAnsi="Arial"/>
          <w:color w:val="4F81BD" w:themeColor="accent1"/>
          <w:spacing w:val="43"/>
          <w:sz w:val="20"/>
          <w:szCs w:val="20"/>
        </w:rPr>
        <w:t xml:space="preserve"> </w:t>
      </w:r>
      <w:r>
        <w:rPr>
          <w:rFonts w:ascii="Arial" w:hAnsi="Arial"/>
          <w:color w:val="4F81BD" w:themeColor="accent1"/>
          <w:sz w:val="20"/>
          <w:szCs w:val="20"/>
        </w:rPr>
        <w:t>|</w:t>
      </w:r>
      <w:r>
        <w:rPr>
          <w:rFonts w:ascii="Arial" w:hAnsi="Arial"/>
          <w:color w:val="4F81BD" w:themeColor="accent1"/>
          <w:spacing w:val="56"/>
          <w:sz w:val="20"/>
          <w:szCs w:val="20"/>
        </w:rPr>
        <w:t xml:space="preserve"> </w:t>
      </w:r>
      <w:r>
        <w:rPr>
          <w:rFonts w:ascii="Arial" w:hAnsi="Arial"/>
          <w:color w:val="4F81BD" w:themeColor="accent1"/>
          <w:sz w:val="20"/>
          <w:szCs w:val="20"/>
        </w:rPr>
        <w:t>V</w:t>
      </w:r>
      <w:r>
        <w:rPr>
          <w:rFonts w:ascii="Arial" w:hAnsi="Arial"/>
          <w:color w:val="4F81BD" w:themeColor="accent1"/>
          <w:spacing w:val="-23"/>
          <w:sz w:val="20"/>
          <w:szCs w:val="20"/>
        </w:rPr>
        <w:t xml:space="preserve"> </w:t>
      </w:r>
      <w:r>
        <w:rPr>
          <w:rFonts w:ascii="Arial" w:hAnsi="Arial"/>
          <w:color w:val="4F81BD" w:themeColor="accent1"/>
          <w:spacing w:val="14"/>
          <w:sz w:val="20"/>
          <w:szCs w:val="20"/>
        </w:rPr>
        <w:t>OL</w:t>
      </w:r>
      <w:r>
        <w:rPr>
          <w:rFonts w:ascii="Arial" w:hAnsi="Arial"/>
          <w:color w:val="4F81BD" w:themeColor="accent1"/>
          <w:spacing w:val="-21"/>
          <w:sz w:val="20"/>
          <w:szCs w:val="20"/>
        </w:rPr>
        <w:t xml:space="preserve"> </w:t>
      </w:r>
      <w:r>
        <w:rPr>
          <w:rFonts w:ascii="Arial" w:hAnsi="Arial"/>
          <w:color w:val="4F81BD" w:themeColor="accent1"/>
          <w:spacing w:val="14"/>
          <w:sz w:val="20"/>
          <w:szCs w:val="20"/>
        </w:rPr>
        <w:t>U</w:t>
      </w:r>
      <w:r>
        <w:rPr>
          <w:rFonts w:ascii="Arial" w:hAnsi="Arial"/>
          <w:color w:val="4F81BD" w:themeColor="accent1"/>
          <w:spacing w:val="14"/>
          <w:sz w:val="20"/>
          <w:szCs w:val="20"/>
          <w:lang w:val="pt-BR"/>
        </w:rPr>
        <w:t>M</w:t>
      </w:r>
      <w:r>
        <w:rPr>
          <w:rFonts w:ascii="Arial" w:hAnsi="Arial"/>
          <w:color w:val="4F81BD" w:themeColor="accent1"/>
          <w:sz w:val="20"/>
          <w:szCs w:val="20"/>
        </w:rPr>
        <w:t>E</w:t>
      </w:r>
      <w:r>
        <w:rPr>
          <w:rFonts w:ascii="Arial" w:hAnsi="Arial"/>
          <w:color w:val="4F81BD" w:themeColor="accent1"/>
          <w:spacing w:val="57"/>
          <w:sz w:val="20"/>
          <w:szCs w:val="20"/>
        </w:rPr>
        <w:t xml:space="preserve"> </w:t>
      </w:r>
      <w:r>
        <w:rPr>
          <w:rFonts w:ascii="Arial" w:hAnsi="Arial"/>
          <w:color w:val="4F81BD" w:themeColor="accent1"/>
          <w:spacing w:val="57"/>
          <w:sz w:val="20"/>
          <w:szCs w:val="20"/>
          <w:lang w:val="pt-BR"/>
        </w:rPr>
        <w:t>5</w:t>
      </w:r>
      <w:r>
        <w:rPr>
          <w:rFonts w:ascii="Arial" w:hAnsi="Arial"/>
          <w:color w:val="4F81BD" w:themeColor="accent1"/>
          <w:spacing w:val="-25"/>
          <w:sz w:val="20"/>
          <w:szCs w:val="20"/>
        </w:rPr>
        <w:t xml:space="preserve"> </w:t>
      </w:r>
      <w:r>
        <w:rPr>
          <w:rFonts w:ascii="Arial" w:hAnsi="Arial"/>
          <w:color w:val="4F81BD" w:themeColor="accent1"/>
          <w:sz w:val="20"/>
          <w:szCs w:val="20"/>
        </w:rPr>
        <w:t>,</w:t>
      </w:r>
      <w:r>
        <w:rPr>
          <w:rFonts w:ascii="Arial" w:hAnsi="Arial"/>
          <w:color w:val="4F81BD" w:themeColor="accent1"/>
          <w:spacing w:val="56"/>
          <w:sz w:val="20"/>
          <w:szCs w:val="20"/>
        </w:rPr>
        <w:t xml:space="preserve"> </w:t>
      </w:r>
      <w:r>
        <w:rPr>
          <w:rFonts w:ascii="Arial" w:hAnsi="Arial"/>
          <w:color w:val="4F81BD" w:themeColor="accent1"/>
          <w:spacing w:val="14"/>
          <w:sz w:val="20"/>
          <w:szCs w:val="20"/>
        </w:rPr>
        <w:t>NÚ</w:t>
      </w:r>
      <w:r>
        <w:rPr>
          <w:rFonts w:ascii="Arial" w:hAnsi="Arial"/>
          <w:color w:val="4F81BD" w:themeColor="accent1"/>
          <w:spacing w:val="-18"/>
          <w:sz w:val="20"/>
          <w:szCs w:val="20"/>
        </w:rPr>
        <w:t xml:space="preserve"> </w:t>
      </w:r>
      <w:r>
        <w:rPr>
          <w:rFonts w:ascii="Arial" w:hAnsi="Arial"/>
          <w:color w:val="4F81BD" w:themeColor="accent1"/>
          <w:sz w:val="20"/>
          <w:szCs w:val="20"/>
        </w:rPr>
        <w:t>M</w:t>
      </w:r>
      <w:r>
        <w:rPr>
          <w:rFonts w:ascii="Arial" w:hAnsi="Arial"/>
          <w:color w:val="4F81BD" w:themeColor="accent1"/>
          <w:spacing w:val="-23"/>
          <w:sz w:val="20"/>
          <w:szCs w:val="20"/>
        </w:rPr>
        <w:t xml:space="preserve"> </w:t>
      </w:r>
      <w:r>
        <w:rPr>
          <w:rFonts w:ascii="Arial" w:hAnsi="Arial"/>
          <w:color w:val="4F81BD" w:themeColor="accent1"/>
          <w:sz w:val="20"/>
          <w:szCs w:val="20"/>
        </w:rPr>
        <w:t>E</w:t>
      </w:r>
      <w:r>
        <w:rPr>
          <w:rFonts w:ascii="Arial" w:hAnsi="Arial"/>
          <w:color w:val="4F81BD" w:themeColor="accent1"/>
          <w:spacing w:val="-21"/>
          <w:sz w:val="20"/>
          <w:szCs w:val="20"/>
        </w:rPr>
        <w:t xml:space="preserve"> </w:t>
      </w:r>
      <w:r>
        <w:rPr>
          <w:rFonts w:ascii="Arial" w:hAnsi="Arial"/>
          <w:color w:val="4F81BD" w:themeColor="accent1"/>
          <w:sz w:val="20"/>
          <w:szCs w:val="20"/>
        </w:rPr>
        <w:t>R</w:t>
      </w:r>
      <w:r>
        <w:rPr>
          <w:rFonts w:ascii="Arial" w:hAnsi="Arial"/>
          <w:color w:val="4F81BD" w:themeColor="accent1"/>
          <w:spacing w:val="-22"/>
          <w:sz w:val="20"/>
          <w:szCs w:val="20"/>
        </w:rPr>
        <w:t xml:space="preserve"> </w:t>
      </w:r>
      <w:r>
        <w:rPr>
          <w:rFonts w:ascii="Arial" w:hAnsi="Arial"/>
          <w:color w:val="4F81BD" w:themeColor="accent1"/>
          <w:sz w:val="20"/>
          <w:szCs w:val="20"/>
        </w:rPr>
        <w:t>O</w:t>
      </w:r>
      <w:r>
        <w:rPr>
          <w:rFonts w:ascii="Arial" w:hAnsi="Arial"/>
          <w:color w:val="4F81BD" w:themeColor="accent1"/>
          <w:spacing w:val="54"/>
          <w:sz w:val="20"/>
          <w:szCs w:val="20"/>
        </w:rPr>
        <w:t xml:space="preserve"> </w:t>
      </w:r>
      <w:r>
        <w:rPr>
          <w:rFonts w:ascii="Arial" w:hAnsi="Arial"/>
          <w:color w:val="4F81BD" w:themeColor="accent1"/>
          <w:sz w:val="20"/>
          <w:szCs w:val="20"/>
        </w:rPr>
        <w:t>1</w:t>
      </w:r>
      <w:r>
        <w:rPr>
          <w:rFonts w:ascii="Arial" w:hAnsi="Arial"/>
          <w:color w:val="4F81BD" w:themeColor="accent1"/>
          <w:spacing w:val="-25"/>
          <w:sz w:val="20"/>
          <w:szCs w:val="20"/>
        </w:rPr>
        <w:t xml:space="preserve"> </w:t>
      </w:r>
      <w:r>
        <w:rPr>
          <w:rFonts w:ascii="Arial" w:hAnsi="Arial"/>
          <w:color w:val="4F81BD" w:themeColor="accent1"/>
          <w:sz w:val="20"/>
          <w:szCs w:val="20"/>
        </w:rPr>
        <w:t>,</w:t>
      </w:r>
      <w:r>
        <w:rPr>
          <w:rFonts w:ascii="Arial" w:hAnsi="Arial"/>
          <w:color w:val="4F81BD" w:themeColor="accent1"/>
          <w:spacing w:val="59"/>
          <w:sz w:val="20"/>
          <w:szCs w:val="20"/>
        </w:rPr>
        <w:t xml:space="preserve"> </w:t>
      </w:r>
      <w:r>
        <w:rPr>
          <w:rFonts w:ascii="Arial" w:hAnsi="Arial"/>
          <w:color w:val="4F81BD" w:themeColor="accent1"/>
          <w:sz w:val="20"/>
          <w:szCs w:val="20"/>
        </w:rPr>
        <w:t>2</w:t>
      </w:r>
      <w:r>
        <w:rPr>
          <w:rFonts w:ascii="Arial" w:hAnsi="Arial"/>
          <w:color w:val="4F81BD" w:themeColor="accent1"/>
          <w:spacing w:val="-23"/>
          <w:sz w:val="20"/>
          <w:szCs w:val="20"/>
        </w:rPr>
        <w:t xml:space="preserve"> </w:t>
      </w:r>
      <w:r>
        <w:rPr>
          <w:rFonts w:ascii="Arial" w:hAnsi="Arial"/>
          <w:color w:val="4F81BD" w:themeColor="accent1"/>
          <w:sz w:val="20"/>
          <w:szCs w:val="20"/>
        </w:rPr>
        <w:t>0</w:t>
      </w:r>
      <w:r>
        <w:rPr>
          <w:rFonts w:ascii="Arial" w:hAnsi="Arial"/>
          <w:color w:val="4F81BD" w:themeColor="accent1"/>
          <w:spacing w:val="-23"/>
          <w:sz w:val="20"/>
          <w:szCs w:val="20"/>
        </w:rPr>
        <w:t xml:space="preserve"> </w:t>
      </w:r>
      <w:r>
        <w:rPr>
          <w:rFonts w:ascii="Arial" w:hAnsi="Arial"/>
          <w:color w:val="4F81BD" w:themeColor="accent1"/>
          <w:spacing w:val="9"/>
          <w:sz w:val="20"/>
          <w:szCs w:val="20"/>
        </w:rPr>
        <w:t>2</w:t>
      </w:r>
      <w:r>
        <w:rPr>
          <w:rFonts w:ascii="Arial" w:hAnsi="Arial"/>
          <w:color w:val="4F81BD" w:themeColor="accent1"/>
          <w:spacing w:val="9"/>
          <w:sz w:val="20"/>
          <w:szCs w:val="20"/>
          <w:lang w:val="pt-BR"/>
        </w:rPr>
        <w:t>6</w:t>
      </w:r>
    </w:p>
    <w:p w:rsidR="009D60B7" w:rsidRDefault="00425C09">
      <w:pPr>
        <w:pStyle w:val="Ttulo1"/>
        <w:rPr>
          <w:rFonts w:ascii="Arial" w:hAnsi="Arial"/>
          <w:sz w:val="20"/>
          <w:szCs w:val="20"/>
        </w:rPr>
      </w:pPr>
      <w:r>
        <w:rPr>
          <w:noProof/>
        </w:rPr>
        <w:lastRenderedPageBreak/>
        <mc:AlternateContent>
          <mc:Choice Requires="wps">
            <w:drawing>
              <wp:anchor distT="0" distB="0" distL="0" distR="0" simplePos="0" relativeHeight="251655168" behindDoc="0" locked="0" layoutInCell="0" allowOverlap="1">
                <wp:simplePos x="0" y="0"/>
                <wp:positionH relativeFrom="page">
                  <wp:posOffset>883285</wp:posOffset>
                </wp:positionH>
                <wp:positionV relativeFrom="paragraph">
                  <wp:posOffset>58420</wp:posOffset>
                </wp:positionV>
                <wp:extent cx="5888990" cy="9525"/>
                <wp:effectExtent l="0" t="0" r="0" b="0"/>
                <wp:wrapNone/>
                <wp:docPr id="8" name="Graphic 6"/>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6" o:spid="_x0000_s1026" o:spt="100" style="position:absolute;left:0pt;margin-left:69.55pt;margin-top:4.6pt;height:0.75pt;width:463.7pt;mso-position-horizontal-relative:page;z-index:251659264;mso-width-relative:page;mso-height-relative:page;" fillcolor="#9ABA59" filled="t" stroked="f" coordsize="5888990,9525" o:allowincell="f" o:gfxdata="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X60Y&#10;C9UAAAAJAQAADwAAAAAAAAABACAAAAAiAAAAZHJzL2Rvd25yZXYueG1sUEsBAhQAFAAAAAgAh07i&#10;QLDzpNNeAgAApgUAAA4AAAAAAAAAAQAgAAAAJAEAAGRycy9lMm9Eb2MueG1sUEsFBgAAAAAGAAYA&#10;WQEAAPQFAAAAAA==&#10;" path="m5888473,9144l0,9144,0,0,5888473,0,5888473,9144xe">
                <v:fill on="t" focussize="0,0"/>
                <v:stroke on="f" weight="0pt"/>
                <v:imagedata o:title=""/>
                <o:lock v:ext="edit" aspectratio="f"/>
              </v:shape>
            </w:pict>
          </mc:Fallback>
        </mc:AlternateContent>
      </w:r>
      <w:r>
        <w:rPr>
          <w:noProof/>
        </w:rPr>
        <mc:AlternateContent>
          <mc:Choice Requires="wps">
            <w:drawing>
              <wp:anchor distT="0" distB="0" distL="0" distR="0" simplePos="0" relativeHeight="251656192" behindDoc="0" locked="0" layoutInCell="0" allowOverlap="1">
                <wp:simplePos x="0" y="0"/>
                <wp:positionH relativeFrom="page">
                  <wp:posOffset>883285</wp:posOffset>
                </wp:positionH>
                <wp:positionV relativeFrom="paragraph">
                  <wp:posOffset>503555</wp:posOffset>
                </wp:positionV>
                <wp:extent cx="5888990" cy="9525"/>
                <wp:effectExtent l="0" t="0" r="0" b="0"/>
                <wp:wrapNone/>
                <wp:docPr id="9" name="Graphic 7"/>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7" o:spid="_x0000_s1026" o:spt="100" style="position:absolute;left:0pt;margin-left:69.55pt;margin-top:39.65pt;height:0.75pt;width:463.7pt;mso-position-horizontal-relative:page;z-index:251659264;mso-width-relative:page;mso-height-relative:page;" fillcolor="#9ABA59" filled="t" stroked="f" coordsize="5888990,9525" o:allowincell="f" o:gfxdata="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ja9FDXAAAACgEAAA8AAAAAAAAAAQAgAAAAIgAAAGRycy9kb3ducmV2LnhtbFBLAQIUABQAAAAI&#10;AIdO4kCdVIQFYAIAAKYFAAAOAAAAAAAAAAEAIAAAACYBAABkcnMvZTJvRG9jLnhtbFBLBQYAAAAA&#10;BgAGAFkBAAD4BQAAAAA=&#10;" path="m5888473,9144l0,9144,0,0,5888473,0,5888473,9144xe">
                <v:fill on="t" focussize="0,0"/>
                <v:stroke on="f" weight="0pt"/>
                <v:imagedata o:title=""/>
                <o:lock v:ext="edit" aspectratio="f"/>
              </v:shape>
            </w:pict>
          </mc:Fallback>
        </mc:AlternateContent>
      </w:r>
      <w:r>
        <w:rPr>
          <w:noProof/>
        </w:rPr>
        <mc:AlternateContent>
          <mc:Choice Requires="wps">
            <w:drawing>
              <wp:anchor distT="0" distB="0" distL="0" distR="0" simplePos="0" relativeHeight="251657216" behindDoc="0" locked="0" layoutInCell="0" allowOverlap="1">
                <wp:simplePos x="0" y="0"/>
                <wp:positionH relativeFrom="page">
                  <wp:posOffset>6979920</wp:posOffset>
                </wp:positionH>
                <wp:positionV relativeFrom="page">
                  <wp:posOffset>9104630</wp:posOffset>
                </wp:positionV>
                <wp:extent cx="352425" cy="565785"/>
                <wp:effectExtent l="0" t="0" r="0" b="0"/>
                <wp:wrapNone/>
                <wp:docPr id="10" name="Textbox 8"/>
                <wp:cNvGraphicFramePr/>
                <a:graphic xmlns:a="http://schemas.openxmlformats.org/drawingml/2006/main">
                  <a:graphicData uri="http://schemas.microsoft.com/office/word/2010/wordprocessingShape">
                    <wps:wsp>
                      <wps:cNvSpPr/>
                      <wps:spPr>
                        <a:xfrm>
                          <a:off x="0" y="0"/>
                          <a:ext cx="352440" cy="5659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2</w:t>
                            </w:r>
                          </w:p>
                        </w:txbxContent>
                      </wps:txbx>
                      <wps:bodyPr vert="vert270" lIns="0" tIns="0" rIns="0" bIns="0" anchor="t">
                        <a:noAutofit/>
                      </wps:bodyPr>
                    </wps:wsp>
                  </a:graphicData>
                </a:graphic>
              </wp:anchor>
            </w:drawing>
          </mc:Choice>
          <mc:Fallback>
            <w:pict>
              <v:rect id="Textbox 8" o:spid="_x0000_s1027" style="position:absolute;left:0;text-align:left;margin-left:549.6pt;margin-top:716.9pt;width:27.75pt;height:4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" o:allowincell="f" filled="f" stroked="f" strokeweight="0">
                <v:textbox style="layout-flow:vertical;mso-layout-flow-alt:bottom-to-top" inset="0,0,0,0">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2</w:t>
                      </w:r>
                    </w:p>
                  </w:txbxContent>
                </v:textbox>
                <w10:wrap anchorx="page" anchory="page"/>
              </v:rect>
            </w:pict>
          </mc:Fallback>
        </mc:AlternateContent>
      </w:r>
      <w:r>
        <w:rPr>
          <w:rFonts w:ascii="Arial" w:hAnsi="Arial"/>
          <w:color w:val="1F497C"/>
          <w:spacing w:val="24"/>
          <w:sz w:val="20"/>
          <w:szCs w:val="20"/>
        </w:rPr>
        <w:t>EXPEDIENTE</w:t>
      </w:r>
    </w:p>
    <w:p w:rsidR="009D60B7" w:rsidRDefault="009D60B7">
      <w:pPr>
        <w:pStyle w:val="Corpodetexto"/>
        <w:rPr>
          <w:rFonts w:ascii="Arial" w:hAnsi="Arial"/>
        </w:rPr>
      </w:pPr>
    </w:p>
    <w:p w:rsidR="009D60B7" w:rsidRDefault="009D60B7">
      <w:pPr>
        <w:pStyle w:val="Corpodetexto"/>
        <w:spacing w:before="142"/>
        <w:rPr>
          <w:rFonts w:ascii="Arial" w:hAnsi="Arial"/>
        </w:rPr>
      </w:pPr>
    </w:p>
    <w:p w:rsidR="009D60B7" w:rsidRDefault="00425C09">
      <w:pPr>
        <w:pStyle w:val="Corpodetexto"/>
        <w:tabs>
          <w:tab w:val="left" w:pos="6380"/>
        </w:tabs>
        <w:spacing w:line="276" w:lineRule="auto"/>
        <w:ind w:leftChars="1400" w:left="3080" w:rightChars="1259" w:right="2770"/>
        <w:jc w:val="center"/>
        <w:rPr>
          <w:rFonts w:ascii="Arial" w:hAnsi="Arial"/>
        </w:rPr>
      </w:pPr>
      <w:r>
        <w:rPr>
          <w:rFonts w:ascii="Arial" w:hAnsi="Arial"/>
        </w:rPr>
        <w:t>XX</w:t>
      </w:r>
      <w:r>
        <w:rPr>
          <w:rFonts w:ascii="Arial" w:hAnsi="Arial"/>
          <w:lang w:val="pt-BR"/>
        </w:rPr>
        <w:t>IV</w:t>
      </w:r>
      <w:r>
        <w:rPr>
          <w:rFonts w:ascii="Arial" w:hAnsi="Arial"/>
          <w:spacing w:val="-7"/>
        </w:rPr>
        <w:t xml:space="preserve"> </w:t>
      </w:r>
      <w:r>
        <w:rPr>
          <w:rFonts w:ascii="Arial" w:hAnsi="Arial"/>
        </w:rPr>
        <w:t>JORNADA</w:t>
      </w:r>
      <w:r>
        <w:rPr>
          <w:rFonts w:ascii="Arial" w:hAnsi="Arial"/>
          <w:spacing w:val="-6"/>
        </w:rPr>
        <w:t xml:space="preserve"> </w:t>
      </w:r>
      <w:r>
        <w:rPr>
          <w:rFonts w:ascii="Arial" w:hAnsi="Arial"/>
        </w:rPr>
        <w:t>JURÍDICA</w:t>
      </w:r>
      <w:r>
        <w:rPr>
          <w:rFonts w:ascii="Arial" w:hAnsi="Arial"/>
          <w:spacing w:val="-7"/>
        </w:rPr>
        <w:t xml:space="preserve"> </w:t>
      </w:r>
      <w:r>
        <w:rPr>
          <w:rFonts w:ascii="Arial" w:hAnsi="Arial"/>
        </w:rPr>
        <w:t>DA</w:t>
      </w:r>
      <w:r>
        <w:rPr>
          <w:rFonts w:ascii="Arial" w:hAnsi="Arial"/>
          <w:spacing w:val="-7"/>
        </w:rPr>
        <w:t xml:space="preserve"> </w:t>
      </w:r>
      <w:r>
        <w:rPr>
          <w:rFonts w:ascii="Arial" w:hAnsi="Arial"/>
        </w:rPr>
        <w:t>FACULDADE</w:t>
      </w:r>
      <w:r>
        <w:rPr>
          <w:rFonts w:ascii="Arial" w:hAnsi="Arial"/>
          <w:spacing w:val="-7"/>
        </w:rPr>
        <w:t xml:space="preserve"> </w:t>
      </w:r>
      <w:r>
        <w:rPr>
          <w:rFonts w:ascii="Arial" w:hAnsi="Arial"/>
        </w:rPr>
        <w:t>EVANGÉLICA</w:t>
      </w:r>
      <w:r>
        <w:rPr>
          <w:rFonts w:ascii="Arial" w:hAnsi="Arial"/>
          <w:spacing w:val="-7"/>
        </w:rPr>
        <w:t xml:space="preserve"> </w:t>
      </w:r>
      <w:r>
        <w:rPr>
          <w:rFonts w:ascii="Arial" w:hAnsi="Arial"/>
        </w:rPr>
        <w:t>RAÍZES “</w:t>
      </w:r>
      <w:r>
        <w:rPr>
          <w:rFonts w:ascii="Arial" w:eastAsia="SimSun" w:hAnsi="Arial"/>
          <w:color w:val="000000"/>
        </w:rPr>
        <w:t>“O DIREITO QUE PERMANECE: HUMANIDADE NA ERA DOS ALGORITMOS”</w:t>
      </w:r>
      <w:r>
        <w:rPr>
          <w:rFonts w:ascii="Arial" w:hAnsi="Arial"/>
        </w:rPr>
        <w:t xml:space="preserve">” ANAIS | VOLUME </w:t>
      </w:r>
      <w:r>
        <w:rPr>
          <w:rFonts w:ascii="Arial" w:hAnsi="Arial"/>
          <w:lang w:val="pt-BR"/>
        </w:rPr>
        <w:t>5</w:t>
      </w:r>
      <w:r>
        <w:rPr>
          <w:rFonts w:ascii="Arial" w:hAnsi="Arial"/>
        </w:rPr>
        <w:t>, NÚMERO 1, 202</w:t>
      </w:r>
      <w:r>
        <w:rPr>
          <w:rFonts w:ascii="Arial" w:hAnsi="Arial"/>
          <w:lang w:val="pt-BR"/>
        </w:rPr>
        <w:t>6</w:t>
      </w:r>
      <w:r>
        <w:rPr>
          <w:rFonts w:ascii="Arial" w:hAnsi="Arial"/>
        </w:rPr>
        <w:t xml:space="preserve"> | ISSN 2596-1128</w:t>
      </w:r>
    </w:p>
    <w:p w:rsidR="009D60B7" w:rsidRDefault="009D60B7">
      <w:pPr>
        <w:pStyle w:val="Corpodetexto"/>
        <w:tabs>
          <w:tab w:val="left" w:pos="6380"/>
        </w:tabs>
        <w:spacing w:before="30"/>
        <w:ind w:leftChars="1400" w:left="3080" w:rightChars="1259" w:right="2770"/>
        <w:rPr>
          <w:rFonts w:ascii="Arial" w:hAnsi="Arial"/>
        </w:rPr>
      </w:pPr>
    </w:p>
    <w:p w:rsidR="009D60B7" w:rsidRDefault="00425C09">
      <w:pPr>
        <w:tabs>
          <w:tab w:val="left" w:pos="6380"/>
        </w:tabs>
        <w:spacing w:line="274" w:lineRule="auto"/>
        <w:ind w:leftChars="1400" w:left="3080" w:rightChars="1259" w:right="2770"/>
        <w:jc w:val="center"/>
        <w:rPr>
          <w:rFonts w:ascii="Arial" w:hAnsi="Arial"/>
          <w:sz w:val="20"/>
          <w:szCs w:val="20"/>
        </w:rPr>
      </w:pPr>
      <w:r>
        <w:rPr>
          <w:rFonts w:ascii="Arial" w:hAnsi="Arial"/>
          <w:i/>
          <w:spacing w:val="-6"/>
          <w:sz w:val="20"/>
          <w:szCs w:val="20"/>
        </w:rPr>
        <w:t>COORDENAÇÃO</w:t>
      </w:r>
      <w:r>
        <w:rPr>
          <w:rFonts w:ascii="Arial" w:hAnsi="Arial"/>
          <w:i/>
          <w:spacing w:val="-9"/>
          <w:sz w:val="20"/>
          <w:szCs w:val="20"/>
        </w:rPr>
        <w:t xml:space="preserve"> </w:t>
      </w:r>
      <w:r>
        <w:rPr>
          <w:rFonts w:ascii="Arial" w:hAnsi="Arial"/>
          <w:i/>
          <w:spacing w:val="-6"/>
          <w:sz w:val="20"/>
          <w:szCs w:val="20"/>
        </w:rPr>
        <w:t>EDITORIAL</w:t>
      </w:r>
      <w:r>
        <w:rPr>
          <w:rFonts w:ascii="Arial" w:hAnsi="Arial"/>
          <w:spacing w:val="-6"/>
          <w:sz w:val="20"/>
          <w:szCs w:val="20"/>
        </w:rPr>
        <w:t xml:space="preserve"> </w:t>
      </w:r>
    </w:p>
    <w:p w:rsidR="009D60B7" w:rsidRDefault="00425C09">
      <w:pPr>
        <w:tabs>
          <w:tab w:val="left" w:pos="6380"/>
        </w:tabs>
        <w:spacing w:line="274" w:lineRule="auto"/>
        <w:ind w:leftChars="1241" w:left="2730" w:rightChars="1259" w:right="2770" w:firstLine="103"/>
        <w:jc w:val="center"/>
        <w:rPr>
          <w:rFonts w:ascii="Arial" w:hAnsi="Arial"/>
          <w:sz w:val="20"/>
          <w:szCs w:val="20"/>
        </w:rPr>
      </w:pPr>
      <w:r>
        <w:rPr>
          <w:rFonts w:ascii="Arial" w:hAnsi="Arial"/>
          <w:spacing w:val="-6"/>
          <w:sz w:val="20"/>
          <w:szCs w:val="20"/>
          <w:lang w:val="pt-BR"/>
        </w:rPr>
        <w:t>CRISTIANE INGRID DE SOUZA BONFIM</w:t>
      </w:r>
    </w:p>
    <w:p w:rsidR="009D60B7" w:rsidRDefault="00425C09">
      <w:pPr>
        <w:tabs>
          <w:tab w:val="left" w:pos="6380"/>
        </w:tabs>
        <w:spacing w:line="274" w:lineRule="auto"/>
        <w:ind w:leftChars="1400" w:left="3080" w:rightChars="1259" w:right="2770"/>
        <w:jc w:val="center"/>
        <w:rPr>
          <w:rFonts w:ascii="Arial" w:hAnsi="Arial"/>
          <w:sz w:val="20"/>
          <w:szCs w:val="20"/>
        </w:rPr>
      </w:pPr>
      <w:r>
        <w:rPr>
          <w:rFonts w:ascii="Arial" w:hAnsi="Arial"/>
          <w:sz w:val="20"/>
          <w:szCs w:val="20"/>
        </w:rPr>
        <w:t xml:space="preserve"> MAXILENE</w:t>
      </w:r>
      <w:r>
        <w:rPr>
          <w:rFonts w:ascii="Arial" w:hAnsi="Arial"/>
          <w:spacing w:val="-14"/>
          <w:sz w:val="20"/>
          <w:szCs w:val="20"/>
        </w:rPr>
        <w:t xml:space="preserve"> </w:t>
      </w:r>
      <w:r>
        <w:rPr>
          <w:rFonts w:ascii="Arial" w:hAnsi="Arial"/>
          <w:sz w:val="20"/>
          <w:szCs w:val="20"/>
        </w:rPr>
        <w:t>SOARES</w:t>
      </w:r>
      <w:r>
        <w:rPr>
          <w:rFonts w:ascii="Arial" w:hAnsi="Arial"/>
          <w:spacing w:val="-14"/>
          <w:sz w:val="20"/>
          <w:szCs w:val="20"/>
        </w:rPr>
        <w:t xml:space="preserve"> </w:t>
      </w:r>
      <w:r>
        <w:rPr>
          <w:rFonts w:ascii="Arial" w:hAnsi="Arial"/>
          <w:sz w:val="20"/>
          <w:szCs w:val="20"/>
        </w:rPr>
        <w:t>CORRÊA</w:t>
      </w:r>
    </w:p>
    <w:p w:rsidR="009D60B7" w:rsidRDefault="009D60B7">
      <w:pPr>
        <w:pStyle w:val="Corpodetexto"/>
        <w:tabs>
          <w:tab w:val="left" w:pos="6380"/>
        </w:tabs>
        <w:spacing w:before="75"/>
        <w:ind w:leftChars="1400" w:left="3080" w:rightChars="1259" w:right="2770"/>
        <w:rPr>
          <w:rFonts w:ascii="Arial" w:hAnsi="Arial"/>
        </w:rPr>
      </w:pPr>
    </w:p>
    <w:p w:rsidR="009D60B7" w:rsidRDefault="00425C09">
      <w:pPr>
        <w:tabs>
          <w:tab w:val="left" w:pos="6521"/>
        </w:tabs>
        <w:spacing w:line="274" w:lineRule="auto"/>
        <w:ind w:leftChars="1030" w:left="2266" w:rightChars="1030" w:right="2266"/>
        <w:jc w:val="center"/>
        <w:rPr>
          <w:rFonts w:ascii="Arial" w:hAnsi="Arial"/>
          <w:sz w:val="20"/>
          <w:szCs w:val="20"/>
        </w:rPr>
      </w:pPr>
      <w:r>
        <w:rPr>
          <w:rFonts w:ascii="Arial" w:hAnsi="Arial"/>
          <w:i/>
          <w:sz w:val="20"/>
          <w:szCs w:val="20"/>
        </w:rPr>
        <w:t>CONSELHO EDITORIAL</w:t>
      </w:r>
    </w:p>
    <w:p w:rsidR="009D60B7" w:rsidRDefault="00425C09">
      <w:pPr>
        <w:tabs>
          <w:tab w:val="left" w:pos="5940"/>
          <w:tab w:val="left" w:pos="6160"/>
          <w:tab w:val="left" w:pos="6521"/>
        </w:tabs>
        <w:spacing w:line="274" w:lineRule="auto"/>
        <w:ind w:leftChars="1030" w:left="2266" w:rightChars="1030" w:right="2266"/>
        <w:jc w:val="center"/>
        <w:rPr>
          <w:rFonts w:ascii="Arial" w:hAnsi="Arial"/>
          <w:sz w:val="20"/>
          <w:szCs w:val="20"/>
        </w:rPr>
      </w:pPr>
      <w:r>
        <w:rPr>
          <w:rFonts w:ascii="Arial" w:hAnsi="Arial"/>
          <w:sz w:val="20"/>
          <w:szCs w:val="20"/>
        </w:rPr>
        <w:t xml:space="preserve">BRUNA FELIPE </w:t>
      </w:r>
      <w:r>
        <w:rPr>
          <w:rFonts w:ascii="Arial" w:hAnsi="Arial"/>
          <w:sz w:val="20"/>
          <w:szCs w:val="20"/>
          <w:lang w:val="pt-BR"/>
        </w:rPr>
        <w:t xml:space="preserve">DE ARAÚJO </w:t>
      </w:r>
      <w:r>
        <w:rPr>
          <w:rFonts w:ascii="Arial" w:hAnsi="Arial"/>
          <w:sz w:val="20"/>
          <w:szCs w:val="20"/>
        </w:rPr>
        <w:t>OLIVEIRA</w:t>
      </w:r>
    </w:p>
    <w:p w:rsidR="009D60B7" w:rsidRDefault="00425C09">
      <w:pPr>
        <w:tabs>
          <w:tab w:val="left" w:pos="5940"/>
          <w:tab w:val="left" w:pos="6160"/>
          <w:tab w:val="left" w:pos="6521"/>
        </w:tabs>
        <w:spacing w:line="274" w:lineRule="auto"/>
        <w:ind w:leftChars="1030" w:left="2266" w:rightChars="1030" w:right="2266"/>
        <w:jc w:val="center"/>
        <w:rPr>
          <w:rFonts w:ascii="Arial" w:hAnsi="Arial"/>
          <w:sz w:val="20"/>
          <w:szCs w:val="20"/>
        </w:rPr>
      </w:pPr>
      <w:r>
        <w:rPr>
          <w:rFonts w:ascii="Arial" w:hAnsi="Arial"/>
          <w:sz w:val="20"/>
          <w:szCs w:val="20"/>
        </w:rPr>
        <w:t xml:space="preserve"> CÉSAR</w:t>
      </w:r>
      <w:r>
        <w:rPr>
          <w:rFonts w:ascii="Arial" w:hAnsi="Arial"/>
          <w:spacing w:val="-14"/>
          <w:sz w:val="20"/>
          <w:szCs w:val="20"/>
        </w:rPr>
        <w:t xml:space="preserve"> </w:t>
      </w:r>
      <w:r>
        <w:rPr>
          <w:rFonts w:ascii="Arial" w:hAnsi="Arial"/>
          <w:sz w:val="20"/>
          <w:szCs w:val="20"/>
        </w:rPr>
        <w:t>GRATÃO</w:t>
      </w:r>
      <w:r>
        <w:rPr>
          <w:rFonts w:ascii="Arial" w:hAnsi="Arial"/>
          <w:spacing w:val="-13"/>
          <w:sz w:val="20"/>
          <w:szCs w:val="20"/>
        </w:rPr>
        <w:t xml:space="preserve"> </w:t>
      </w:r>
      <w:r>
        <w:rPr>
          <w:rFonts w:ascii="Arial" w:hAnsi="Arial"/>
          <w:sz w:val="20"/>
          <w:szCs w:val="20"/>
        </w:rPr>
        <w:t>DE</w:t>
      </w:r>
      <w:r>
        <w:rPr>
          <w:rFonts w:ascii="Arial" w:hAnsi="Arial"/>
          <w:spacing w:val="-14"/>
          <w:sz w:val="20"/>
          <w:szCs w:val="20"/>
        </w:rPr>
        <w:t xml:space="preserve"> </w:t>
      </w:r>
      <w:r>
        <w:rPr>
          <w:rFonts w:ascii="Arial" w:hAnsi="Arial"/>
          <w:sz w:val="20"/>
          <w:szCs w:val="20"/>
        </w:rPr>
        <w:t>OLIVEIRA</w:t>
      </w:r>
    </w:p>
    <w:p w:rsidR="009D60B7" w:rsidRDefault="00425C09">
      <w:pPr>
        <w:pStyle w:val="Corpodetexto"/>
        <w:tabs>
          <w:tab w:val="left" w:pos="5940"/>
          <w:tab w:val="left" w:pos="6160"/>
          <w:tab w:val="left" w:pos="6521"/>
        </w:tabs>
        <w:spacing w:before="2" w:line="276" w:lineRule="auto"/>
        <w:ind w:leftChars="1030" w:left="2266" w:rightChars="1030" w:right="2266"/>
        <w:jc w:val="center"/>
        <w:rPr>
          <w:rFonts w:ascii="Arial" w:hAnsi="Arial"/>
        </w:rPr>
      </w:pPr>
      <w:r>
        <w:rPr>
          <w:rFonts w:ascii="Arial" w:hAnsi="Arial"/>
        </w:rPr>
        <w:t xml:space="preserve"> GABRIEL DE CASTRO BORGES REIS </w:t>
      </w:r>
    </w:p>
    <w:p w:rsidR="009D60B7" w:rsidRDefault="00425C09">
      <w:pPr>
        <w:pStyle w:val="Corpodetexto"/>
        <w:tabs>
          <w:tab w:val="left" w:pos="5940"/>
          <w:tab w:val="left" w:pos="6160"/>
          <w:tab w:val="left" w:pos="6521"/>
        </w:tabs>
        <w:spacing w:before="2" w:line="276" w:lineRule="auto"/>
        <w:ind w:leftChars="1030" w:left="2266" w:rightChars="1030" w:right="2266"/>
        <w:jc w:val="center"/>
        <w:rPr>
          <w:rFonts w:ascii="Arial" w:hAnsi="Arial"/>
        </w:rPr>
      </w:pPr>
      <w:r>
        <w:rPr>
          <w:rFonts w:ascii="Arial" w:hAnsi="Arial"/>
          <w:lang w:val="pt-BR"/>
        </w:rPr>
        <w:t>HELDER LINCOLN CALAÇA</w:t>
      </w:r>
    </w:p>
    <w:p w:rsidR="009D60B7" w:rsidRDefault="00425C09">
      <w:pPr>
        <w:pStyle w:val="Corpodetexto"/>
        <w:tabs>
          <w:tab w:val="left" w:pos="5940"/>
          <w:tab w:val="left" w:pos="6160"/>
          <w:tab w:val="left" w:pos="6521"/>
        </w:tabs>
        <w:spacing w:line="276" w:lineRule="auto"/>
        <w:ind w:leftChars="1030" w:left="2266" w:rightChars="1030" w:right="2266"/>
        <w:jc w:val="center"/>
        <w:rPr>
          <w:rFonts w:ascii="Arial" w:hAnsi="Arial"/>
        </w:rPr>
      </w:pPr>
      <w:r>
        <w:rPr>
          <w:rFonts w:ascii="Arial" w:hAnsi="Arial"/>
        </w:rPr>
        <w:t>JORDÃO</w:t>
      </w:r>
      <w:r>
        <w:rPr>
          <w:rFonts w:ascii="Arial" w:hAnsi="Arial"/>
          <w:spacing w:val="-11"/>
        </w:rPr>
        <w:t xml:space="preserve"> </w:t>
      </w:r>
      <w:r>
        <w:rPr>
          <w:rFonts w:ascii="Arial" w:hAnsi="Arial"/>
        </w:rPr>
        <w:t>HORÁCIO</w:t>
      </w:r>
      <w:r>
        <w:rPr>
          <w:rFonts w:ascii="Arial" w:hAnsi="Arial"/>
          <w:spacing w:val="-11"/>
        </w:rPr>
        <w:t xml:space="preserve"> </w:t>
      </w:r>
      <w:r>
        <w:rPr>
          <w:rFonts w:ascii="Arial" w:hAnsi="Arial"/>
        </w:rPr>
        <w:t>DA</w:t>
      </w:r>
      <w:r>
        <w:rPr>
          <w:rFonts w:ascii="Arial" w:hAnsi="Arial"/>
          <w:spacing w:val="-11"/>
        </w:rPr>
        <w:t xml:space="preserve"> </w:t>
      </w:r>
      <w:r>
        <w:rPr>
          <w:rFonts w:ascii="Arial" w:hAnsi="Arial"/>
        </w:rPr>
        <w:t>SILVA</w:t>
      </w:r>
      <w:r>
        <w:rPr>
          <w:rFonts w:ascii="Arial" w:hAnsi="Arial"/>
          <w:spacing w:val="-11"/>
        </w:rPr>
        <w:t xml:space="preserve"> </w:t>
      </w:r>
      <w:r>
        <w:rPr>
          <w:rFonts w:ascii="Arial" w:hAnsi="Arial"/>
        </w:rPr>
        <w:t xml:space="preserve">LIMA </w:t>
      </w:r>
    </w:p>
    <w:p w:rsidR="009D60B7" w:rsidRDefault="00425C09">
      <w:pPr>
        <w:pStyle w:val="Corpodetexto"/>
        <w:tabs>
          <w:tab w:val="left" w:pos="5940"/>
          <w:tab w:val="left" w:pos="6160"/>
          <w:tab w:val="left" w:pos="6521"/>
        </w:tabs>
        <w:spacing w:line="276" w:lineRule="auto"/>
        <w:ind w:leftChars="1030" w:left="2266" w:rightChars="1030" w:right="2266"/>
        <w:jc w:val="center"/>
        <w:rPr>
          <w:rFonts w:ascii="Arial" w:hAnsi="Arial"/>
        </w:rPr>
      </w:pPr>
      <w:r>
        <w:rPr>
          <w:rFonts w:ascii="Arial" w:hAnsi="Arial"/>
        </w:rPr>
        <w:t xml:space="preserve">LEONARDO </w:t>
      </w:r>
      <w:r>
        <w:rPr>
          <w:rFonts w:ascii="Arial" w:hAnsi="Arial"/>
          <w:lang w:val="pt-BR"/>
        </w:rPr>
        <w:t xml:space="preserve">ELIAS DE </w:t>
      </w:r>
      <w:r>
        <w:rPr>
          <w:rFonts w:ascii="Arial" w:hAnsi="Arial"/>
        </w:rPr>
        <w:t>PAIVA</w:t>
      </w:r>
    </w:p>
    <w:p w:rsidR="009D60B7" w:rsidRDefault="00425C09">
      <w:pPr>
        <w:pStyle w:val="Corpodetexto"/>
        <w:tabs>
          <w:tab w:val="left" w:pos="5940"/>
          <w:tab w:val="left" w:pos="6160"/>
          <w:tab w:val="left" w:pos="6521"/>
        </w:tabs>
        <w:spacing w:line="276" w:lineRule="auto"/>
        <w:ind w:leftChars="1030" w:left="2266" w:rightChars="1030" w:right="2266"/>
        <w:jc w:val="center"/>
        <w:rPr>
          <w:rFonts w:ascii="Arial" w:hAnsi="Arial"/>
        </w:rPr>
      </w:pPr>
      <w:r>
        <w:rPr>
          <w:rFonts w:ascii="Arial" w:hAnsi="Arial"/>
        </w:rPr>
        <w:t>LUCAS S</w:t>
      </w:r>
      <w:r>
        <w:rPr>
          <w:rFonts w:ascii="Arial" w:hAnsi="Arial"/>
          <w:lang w:val="pt-BR"/>
        </w:rPr>
        <w:t>ANTANA</w:t>
      </w:r>
      <w:r>
        <w:rPr>
          <w:rFonts w:ascii="Arial" w:hAnsi="Arial"/>
        </w:rPr>
        <w:t xml:space="preserve"> DE LIMA </w:t>
      </w:r>
    </w:p>
    <w:p w:rsidR="009D60B7" w:rsidRDefault="00425C09">
      <w:pPr>
        <w:pStyle w:val="Corpodetexto"/>
        <w:tabs>
          <w:tab w:val="left" w:pos="5940"/>
          <w:tab w:val="left" w:pos="6160"/>
          <w:tab w:val="left" w:pos="6521"/>
        </w:tabs>
        <w:spacing w:line="276" w:lineRule="auto"/>
        <w:ind w:leftChars="1030" w:left="2266" w:rightChars="1030" w:right="2266"/>
        <w:jc w:val="center"/>
        <w:rPr>
          <w:rFonts w:ascii="Arial" w:hAnsi="Arial"/>
        </w:rPr>
      </w:pPr>
      <w:r>
        <w:rPr>
          <w:rFonts w:ascii="Arial" w:hAnsi="Arial"/>
        </w:rPr>
        <w:t>MYLENA</w:t>
      </w:r>
      <w:r>
        <w:rPr>
          <w:rFonts w:ascii="Arial" w:hAnsi="Arial"/>
          <w:spacing w:val="-14"/>
        </w:rPr>
        <w:t xml:space="preserve"> </w:t>
      </w:r>
      <w:r>
        <w:rPr>
          <w:rFonts w:ascii="Arial" w:hAnsi="Arial"/>
        </w:rPr>
        <w:t>SEABRA</w:t>
      </w:r>
      <w:r>
        <w:rPr>
          <w:rFonts w:ascii="Arial" w:hAnsi="Arial"/>
          <w:spacing w:val="-14"/>
        </w:rPr>
        <w:t xml:space="preserve"> </w:t>
      </w:r>
      <w:r>
        <w:rPr>
          <w:rFonts w:ascii="Arial" w:hAnsi="Arial"/>
        </w:rPr>
        <w:t>TOSCHI</w:t>
      </w:r>
    </w:p>
    <w:p w:rsidR="009D60B7" w:rsidRDefault="00425C09">
      <w:pPr>
        <w:pStyle w:val="Corpodetexto"/>
        <w:tabs>
          <w:tab w:val="left" w:pos="5940"/>
          <w:tab w:val="left" w:pos="6160"/>
          <w:tab w:val="left" w:pos="6521"/>
        </w:tabs>
        <w:spacing w:line="278" w:lineRule="auto"/>
        <w:ind w:leftChars="1030" w:left="2266" w:rightChars="1030" w:right="2266"/>
        <w:jc w:val="center"/>
        <w:rPr>
          <w:rFonts w:ascii="Arial" w:hAnsi="Arial"/>
        </w:rPr>
      </w:pPr>
      <w:r>
        <w:rPr>
          <w:rFonts w:ascii="Arial" w:hAnsi="Arial"/>
        </w:rPr>
        <w:t>PRISCILLA</w:t>
      </w:r>
      <w:r>
        <w:rPr>
          <w:rFonts w:ascii="Arial" w:hAnsi="Arial"/>
          <w:spacing w:val="-14"/>
        </w:rPr>
        <w:t xml:space="preserve"> </w:t>
      </w:r>
      <w:r>
        <w:rPr>
          <w:rFonts w:ascii="Arial" w:hAnsi="Arial"/>
        </w:rPr>
        <w:t>RAÍSA</w:t>
      </w:r>
      <w:r>
        <w:rPr>
          <w:rFonts w:ascii="Arial" w:hAnsi="Arial"/>
          <w:spacing w:val="-14"/>
        </w:rPr>
        <w:t xml:space="preserve"> </w:t>
      </w:r>
      <w:r>
        <w:rPr>
          <w:rFonts w:ascii="Arial" w:hAnsi="Arial"/>
        </w:rPr>
        <w:t>MOTA</w:t>
      </w:r>
      <w:r>
        <w:rPr>
          <w:rFonts w:ascii="Arial" w:hAnsi="Arial"/>
          <w:spacing w:val="-14"/>
        </w:rPr>
        <w:t xml:space="preserve"> </w:t>
      </w:r>
      <w:r>
        <w:rPr>
          <w:rFonts w:ascii="Arial" w:hAnsi="Arial"/>
        </w:rPr>
        <w:t xml:space="preserve">CAVALCANTI </w:t>
      </w:r>
    </w:p>
    <w:p w:rsidR="009D60B7" w:rsidRDefault="00425C09">
      <w:pPr>
        <w:pStyle w:val="Corpodetexto"/>
        <w:tabs>
          <w:tab w:val="left" w:pos="5940"/>
          <w:tab w:val="left" w:pos="6160"/>
          <w:tab w:val="left" w:pos="6521"/>
        </w:tabs>
        <w:spacing w:line="278" w:lineRule="auto"/>
        <w:ind w:leftChars="1030" w:left="2266" w:rightChars="1030" w:right="2266"/>
        <w:jc w:val="center"/>
        <w:rPr>
          <w:rFonts w:ascii="Arial" w:hAnsi="Arial"/>
        </w:rPr>
      </w:pPr>
      <w:r>
        <w:rPr>
          <w:rFonts w:ascii="Arial" w:hAnsi="Arial"/>
          <w:lang w:val="pt-BR"/>
        </w:rPr>
        <w:t xml:space="preserve">RUBENS ARCELINO FELICIANO JUNIOR </w:t>
      </w:r>
    </w:p>
    <w:p w:rsidR="009D60B7" w:rsidRDefault="00425C09">
      <w:pPr>
        <w:pStyle w:val="Corpodetexto"/>
        <w:tabs>
          <w:tab w:val="left" w:pos="5940"/>
          <w:tab w:val="left" w:pos="6160"/>
          <w:tab w:val="left" w:pos="6521"/>
        </w:tabs>
        <w:spacing w:line="278" w:lineRule="auto"/>
        <w:ind w:leftChars="1030" w:left="2266" w:rightChars="1030" w:right="2266"/>
        <w:jc w:val="center"/>
        <w:rPr>
          <w:rFonts w:ascii="Arial" w:hAnsi="Arial"/>
        </w:rPr>
      </w:pPr>
      <w:r>
        <w:rPr>
          <w:rFonts w:ascii="Arial" w:hAnsi="Arial"/>
        </w:rPr>
        <w:t xml:space="preserve">SIMONE </w:t>
      </w:r>
      <w:r>
        <w:rPr>
          <w:rFonts w:ascii="Arial" w:hAnsi="Arial"/>
          <w:lang w:val="pt-BR"/>
        </w:rPr>
        <w:t xml:space="preserve">DE FÁTIMA </w:t>
      </w:r>
      <w:r>
        <w:rPr>
          <w:rFonts w:ascii="Arial" w:hAnsi="Arial"/>
        </w:rPr>
        <w:t>SILVA</w:t>
      </w:r>
    </w:p>
    <w:p w:rsidR="009D60B7" w:rsidRDefault="009D60B7">
      <w:pPr>
        <w:pStyle w:val="Corpodetexto"/>
        <w:tabs>
          <w:tab w:val="left" w:pos="6380"/>
        </w:tabs>
        <w:ind w:leftChars="1400" w:left="3080" w:rightChars="1259" w:right="2770"/>
        <w:rPr>
          <w:rFonts w:ascii="Arial" w:hAnsi="Arial"/>
        </w:rPr>
      </w:pPr>
    </w:p>
    <w:p w:rsidR="009D60B7" w:rsidRDefault="009D60B7">
      <w:pPr>
        <w:pStyle w:val="Corpodetexto"/>
        <w:tabs>
          <w:tab w:val="left" w:pos="6380"/>
        </w:tabs>
        <w:ind w:leftChars="1400" w:left="3080" w:rightChars="1259" w:right="2770"/>
        <w:rPr>
          <w:rFonts w:ascii="Arial" w:hAnsi="Arial"/>
        </w:rPr>
      </w:pPr>
    </w:p>
    <w:p w:rsidR="009D60B7" w:rsidRDefault="009D60B7">
      <w:pPr>
        <w:pStyle w:val="Ttulo2"/>
        <w:tabs>
          <w:tab w:val="left" w:pos="6380"/>
        </w:tabs>
        <w:ind w:leftChars="1400" w:left="3080" w:rightChars="1259" w:right="2770"/>
        <w:rPr>
          <w:rFonts w:ascii="Arial" w:hAnsi="Arial"/>
          <w:sz w:val="20"/>
          <w:szCs w:val="20"/>
        </w:rPr>
      </w:pPr>
    </w:p>
    <w:p w:rsidR="009D60B7" w:rsidRDefault="00425C09">
      <w:pPr>
        <w:pStyle w:val="Ttulo2"/>
        <w:tabs>
          <w:tab w:val="left" w:pos="6380"/>
          <w:tab w:val="left" w:pos="8140"/>
        </w:tabs>
        <w:ind w:left="0" w:rightChars="59" w:right="130"/>
        <w:jc w:val="center"/>
        <w:rPr>
          <w:rFonts w:ascii="Arial" w:hAnsi="Arial"/>
          <w:sz w:val="20"/>
          <w:szCs w:val="20"/>
        </w:rPr>
      </w:pPr>
      <w:r>
        <w:rPr>
          <w:rFonts w:ascii="Arial" w:hAnsi="Arial"/>
          <w:i/>
          <w:spacing w:val="-8"/>
          <w:sz w:val="20"/>
          <w:szCs w:val="20"/>
        </w:rPr>
        <w:t>CONSELHO</w:t>
      </w:r>
      <w:r>
        <w:rPr>
          <w:rFonts w:ascii="Arial" w:hAnsi="Arial"/>
          <w:i/>
          <w:sz w:val="20"/>
          <w:szCs w:val="20"/>
        </w:rPr>
        <w:t xml:space="preserve"> </w:t>
      </w:r>
      <w:r>
        <w:rPr>
          <w:rFonts w:ascii="Arial" w:hAnsi="Arial"/>
          <w:i/>
          <w:spacing w:val="-2"/>
          <w:sz w:val="20"/>
          <w:szCs w:val="20"/>
        </w:rPr>
        <w:t>CIENTÍFICO</w:t>
      </w:r>
    </w:p>
    <w:p w:rsidR="009D60B7" w:rsidRDefault="00425C09">
      <w:pPr>
        <w:pStyle w:val="Corpodetexto"/>
        <w:tabs>
          <w:tab w:val="left" w:pos="6380"/>
          <w:tab w:val="left" w:pos="8140"/>
        </w:tabs>
        <w:spacing w:before="39"/>
        <w:ind w:rightChars="59" w:right="130"/>
        <w:jc w:val="center"/>
        <w:rPr>
          <w:rFonts w:ascii="Arial" w:hAnsi="Arial"/>
        </w:rPr>
      </w:pPr>
      <w:r>
        <w:rPr>
          <w:rFonts w:ascii="Arial" w:hAnsi="Arial"/>
        </w:rPr>
        <w:t>ARNALDO</w:t>
      </w:r>
      <w:r>
        <w:rPr>
          <w:rFonts w:ascii="Arial" w:hAnsi="Arial"/>
          <w:spacing w:val="-4"/>
        </w:rPr>
        <w:t xml:space="preserve"> </w:t>
      </w:r>
      <w:r>
        <w:rPr>
          <w:rFonts w:ascii="Arial" w:hAnsi="Arial"/>
        </w:rPr>
        <w:t>SAMPAIO</w:t>
      </w:r>
      <w:r>
        <w:rPr>
          <w:rFonts w:ascii="Arial" w:hAnsi="Arial"/>
          <w:spacing w:val="-4"/>
        </w:rPr>
        <w:t xml:space="preserve"> </w:t>
      </w:r>
      <w:r>
        <w:rPr>
          <w:rFonts w:ascii="Arial" w:hAnsi="Arial"/>
        </w:rPr>
        <w:t>DE</w:t>
      </w:r>
      <w:r>
        <w:rPr>
          <w:rFonts w:ascii="Arial" w:hAnsi="Arial"/>
          <w:spacing w:val="-5"/>
        </w:rPr>
        <w:t xml:space="preserve"> </w:t>
      </w:r>
      <w:r>
        <w:rPr>
          <w:rFonts w:ascii="Arial" w:hAnsi="Arial"/>
        </w:rPr>
        <w:t>MORAES</w:t>
      </w:r>
      <w:r>
        <w:rPr>
          <w:rFonts w:ascii="Arial" w:hAnsi="Arial"/>
          <w:spacing w:val="-4"/>
        </w:rPr>
        <w:t xml:space="preserve"> </w:t>
      </w:r>
      <w:r>
        <w:rPr>
          <w:rFonts w:ascii="Arial" w:hAnsi="Arial"/>
        </w:rPr>
        <w:t>GODOY</w:t>
      </w:r>
      <w:r>
        <w:rPr>
          <w:rFonts w:ascii="Arial" w:hAnsi="Arial"/>
          <w:spacing w:val="-5"/>
        </w:rPr>
        <w:t xml:space="preserve"> </w:t>
      </w:r>
      <w:r>
        <w:rPr>
          <w:rFonts w:ascii="Arial" w:hAnsi="Arial"/>
          <w:spacing w:val="-2"/>
        </w:rPr>
        <w:t>(UNICEUB)</w:t>
      </w:r>
    </w:p>
    <w:p w:rsidR="009D60B7" w:rsidRDefault="00425C09">
      <w:pPr>
        <w:pStyle w:val="Corpodetexto"/>
        <w:tabs>
          <w:tab w:val="left" w:pos="6380"/>
          <w:tab w:val="left" w:pos="8140"/>
        </w:tabs>
        <w:spacing w:before="39" w:line="276" w:lineRule="auto"/>
        <w:ind w:rightChars="59" w:right="130"/>
        <w:jc w:val="center"/>
        <w:rPr>
          <w:rFonts w:ascii="Arial" w:hAnsi="Arial"/>
        </w:rPr>
      </w:pPr>
      <w:r>
        <w:rPr>
          <w:rFonts w:ascii="Arial" w:hAnsi="Arial"/>
        </w:rPr>
        <w:t>DOUGLAS</w:t>
      </w:r>
      <w:r>
        <w:rPr>
          <w:rFonts w:ascii="Arial" w:hAnsi="Arial"/>
          <w:spacing w:val="-4"/>
        </w:rPr>
        <w:t xml:space="preserve"> </w:t>
      </w:r>
      <w:r>
        <w:rPr>
          <w:rFonts w:ascii="Arial" w:hAnsi="Arial"/>
        </w:rPr>
        <w:t>NASSIF</w:t>
      </w:r>
      <w:r>
        <w:rPr>
          <w:rFonts w:ascii="Arial" w:hAnsi="Arial"/>
          <w:spacing w:val="-7"/>
        </w:rPr>
        <w:t xml:space="preserve"> </w:t>
      </w:r>
      <w:r>
        <w:rPr>
          <w:rFonts w:ascii="Arial" w:hAnsi="Arial"/>
        </w:rPr>
        <w:t>CARDOSO</w:t>
      </w:r>
      <w:r>
        <w:rPr>
          <w:rFonts w:ascii="Arial" w:hAnsi="Arial"/>
          <w:spacing w:val="-7"/>
        </w:rPr>
        <w:t xml:space="preserve"> </w:t>
      </w:r>
      <w:r>
        <w:rPr>
          <w:rFonts w:ascii="Arial" w:hAnsi="Arial"/>
        </w:rPr>
        <w:t>(UNIVERSIDADE</w:t>
      </w:r>
      <w:r>
        <w:rPr>
          <w:rFonts w:ascii="Arial" w:hAnsi="Arial"/>
          <w:spacing w:val="-7"/>
        </w:rPr>
        <w:t xml:space="preserve"> </w:t>
      </w:r>
      <w:r>
        <w:rPr>
          <w:rFonts w:ascii="Arial" w:hAnsi="Arial"/>
        </w:rPr>
        <w:t>METODISTA</w:t>
      </w:r>
      <w:r>
        <w:rPr>
          <w:rFonts w:ascii="Arial" w:hAnsi="Arial"/>
          <w:spacing w:val="-7"/>
        </w:rPr>
        <w:t xml:space="preserve"> </w:t>
      </w:r>
      <w:r>
        <w:rPr>
          <w:rFonts w:ascii="Arial" w:hAnsi="Arial"/>
        </w:rPr>
        <w:t>DE</w:t>
      </w:r>
      <w:r>
        <w:rPr>
          <w:rFonts w:ascii="Arial" w:hAnsi="Arial"/>
          <w:spacing w:val="-7"/>
        </w:rPr>
        <w:t xml:space="preserve"> </w:t>
      </w:r>
      <w:r>
        <w:rPr>
          <w:rFonts w:ascii="Arial" w:hAnsi="Arial"/>
        </w:rPr>
        <w:t>SÃO</w:t>
      </w:r>
      <w:r>
        <w:rPr>
          <w:rFonts w:ascii="Arial" w:hAnsi="Arial"/>
          <w:spacing w:val="-7"/>
        </w:rPr>
        <w:t xml:space="preserve"> </w:t>
      </w:r>
      <w:r>
        <w:rPr>
          <w:rFonts w:ascii="Arial" w:hAnsi="Arial"/>
        </w:rPr>
        <w:t xml:space="preserve">PAULO) </w:t>
      </w:r>
    </w:p>
    <w:p w:rsidR="009D60B7" w:rsidRDefault="00425C09">
      <w:pPr>
        <w:pStyle w:val="Corpodetexto"/>
        <w:tabs>
          <w:tab w:val="left" w:pos="6380"/>
          <w:tab w:val="left" w:pos="8140"/>
        </w:tabs>
        <w:spacing w:before="39" w:line="276" w:lineRule="auto"/>
        <w:ind w:rightChars="59" w:right="130"/>
        <w:jc w:val="center"/>
        <w:rPr>
          <w:rFonts w:ascii="Arial" w:hAnsi="Arial"/>
        </w:rPr>
      </w:pPr>
      <w:r>
        <w:rPr>
          <w:rFonts w:ascii="Arial" w:hAnsi="Arial"/>
        </w:rPr>
        <w:t>FABRÍCIO WANTOIL LIMA (UNIVERSIDADE ESTADUAL DE GOIÁS)</w:t>
      </w:r>
    </w:p>
    <w:p w:rsidR="009D60B7" w:rsidRDefault="00425C09">
      <w:pPr>
        <w:pStyle w:val="Corpodetexto"/>
        <w:tabs>
          <w:tab w:val="left" w:pos="6380"/>
          <w:tab w:val="left" w:pos="8140"/>
        </w:tabs>
        <w:spacing w:line="276" w:lineRule="auto"/>
        <w:ind w:rightChars="59" w:right="130"/>
        <w:jc w:val="center"/>
        <w:rPr>
          <w:rFonts w:ascii="Arial" w:hAnsi="Arial"/>
        </w:rPr>
      </w:pPr>
      <w:r>
        <w:rPr>
          <w:rFonts w:ascii="Arial" w:hAnsi="Arial"/>
        </w:rPr>
        <w:t>MARGARETH</w:t>
      </w:r>
      <w:r>
        <w:rPr>
          <w:rFonts w:ascii="Arial" w:hAnsi="Arial"/>
          <w:spacing w:val="-14"/>
        </w:rPr>
        <w:t xml:space="preserve"> </w:t>
      </w:r>
      <w:r>
        <w:rPr>
          <w:rFonts w:ascii="Arial" w:hAnsi="Arial"/>
        </w:rPr>
        <w:t>FARIA</w:t>
      </w:r>
      <w:r>
        <w:rPr>
          <w:rFonts w:ascii="Arial" w:hAnsi="Arial"/>
          <w:spacing w:val="-14"/>
        </w:rPr>
        <w:t xml:space="preserve"> </w:t>
      </w:r>
      <w:r>
        <w:rPr>
          <w:rFonts w:ascii="Arial" w:hAnsi="Arial"/>
        </w:rPr>
        <w:t>(UNIEVANGÉLICA/PUC-GOIÁS)</w:t>
      </w:r>
    </w:p>
    <w:p w:rsidR="009D60B7" w:rsidRDefault="00425C09">
      <w:pPr>
        <w:pStyle w:val="Corpodetexto"/>
        <w:tabs>
          <w:tab w:val="left" w:pos="6380"/>
          <w:tab w:val="left" w:pos="8140"/>
        </w:tabs>
        <w:spacing w:line="276" w:lineRule="auto"/>
        <w:ind w:rightChars="59" w:right="130"/>
        <w:jc w:val="center"/>
        <w:rPr>
          <w:rFonts w:ascii="Arial" w:hAnsi="Arial"/>
        </w:rPr>
      </w:pPr>
      <w:r>
        <w:rPr>
          <w:rFonts w:ascii="Arial" w:hAnsi="Arial"/>
        </w:rPr>
        <w:t>PABLO</w:t>
      </w:r>
      <w:r>
        <w:rPr>
          <w:rFonts w:ascii="Arial" w:hAnsi="Arial"/>
          <w:spacing w:val="-6"/>
        </w:rPr>
        <w:t xml:space="preserve"> </w:t>
      </w:r>
      <w:r>
        <w:rPr>
          <w:rFonts w:ascii="Arial" w:hAnsi="Arial"/>
        </w:rPr>
        <w:t>EMANUEL</w:t>
      </w:r>
      <w:r>
        <w:rPr>
          <w:rFonts w:ascii="Arial" w:hAnsi="Arial"/>
          <w:spacing w:val="-6"/>
        </w:rPr>
        <w:t xml:space="preserve"> </w:t>
      </w:r>
      <w:r>
        <w:rPr>
          <w:rFonts w:ascii="Arial" w:hAnsi="Arial"/>
        </w:rPr>
        <w:t>ROMERO</w:t>
      </w:r>
      <w:r>
        <w:rPr>
          <w:rFonts w:ascii="Arial" w:hAnsi="Arial"/>
          <w:spacing w:val="-3"/>
        </w:rPr>
        <w:t xml:space="preserve"> </w:t>
      </w:r>
      <w:r>
        <w:rPr>
          <w:rFonts w:ascii="Arial" w:hAnsi="Arial"/>
        </w:rPr>
        <w:t>ALMADA</w:t>
      </w:r>
      <w:r>
        <w:rPr>
          <w:rFonts w:ascii="Arial" w:hAnsi="Arial"/>
          <w:spacing w:val="-7"/>
        </w:rPr>
        <w:t xml:space="preserve"> </w:t>
      </w:r>
      <w:r>
        <w:rPr>
          <w:rFonts w:ascii="Arial" w:hAnsi="Arial"/>
        </w:rPr>
        <w:t>(UNIVERSIDADE</w:t>
      </w:r>
      <w:r>
        <w:rPr>
          <w:rFonts w:ascii="Arial" w:hAnsi="Arial"/>
          <w:spacing w:val="-6"/>
        </w:rPr>
        <w:t xml:space="preserve"> </w:t>
      </w:r>
      <w:r>
        <w:rPr>
          <w:rFonts w:ascii="Arial" w:hAnsi="Arial"/>
        </w:rPr>
        <w:t>ESTADUAL</w:t>
      </w:r>
      <w:r>
        <w:rPr>
          <w:rFonts w:ascii="Arial" w:hAnsi="Arial"/>
          <w:spacing w:val="-6"/>
        </w:rPr>
        <w:t xml:space="preserve"> </w:t>
      </w:r>
      <w:r>
        <w:rPr>
          <w:rFonts w:ascii="Arial" w:hAnsi="Arial"/>
        </w:rPr>
        <w:t>DE</w:t>
      </w:r>
      <w:r>
        <w:rPr>
          <w:rFonts w:ascii="Arial" w:hAnsi="Arial"/>
          <w:spacing w:val="-6"/>
        </w:rPr>
        <w:t xml:space="preserve"> </w:t>
      </w:r>
      <w:r>
        <w:rPr>
          <w:rFonts w:ascii="Arial" w:hAnsi="Arial"/>
        </w:rPr>
        <w:t xml:space="preserve">LONDRINA) </w:t>
      </w:r>
    </w:p>
    <w:p w:rsidR="009D60B7" w:rsidRDefault="00425C09">
      <w:pPr>
        <w:pStyle w:val="Corpodetexto"/>
        <w:tabs>
          <w:tab w:val="left" w:pos="6380"/>
          <w:tab w:val="left" w:pos="8140"/>
        </w:tabs>
        <w:spacing w:line="276" w:lineRule="auto"/>
        <w:ind w:rightChars="59" w:right="130"/>
        <w:jc w:val="center"/>
        <w:rPr>
          <w:rFonts w:ascii="Arial" w:hAnsi="Arial"/>
        </w:rPr>
      </w:pPr>
      <w:r>
        <w:rPr>
          <w:rFonts w:ascii="Arial" w:hAnsi="Arial"/>
        </w:rPr>
        <w:t>RONALDO DE PAULA CAVALCANTE (FACULDADE UNIDA DE VITÓRIA)</w:t>
      </w:r>
    </w:p>
    <w:p w:rsidR="009D60B7" w:rsidRDefault="00425C09">
      <w:pPr>
        <w:pStyle w:val="Corpodetexto"/>
        <w:tabs>
          <w:tab w:val="left" w:pos="6380"/>
          <w:tab w:val="left" w:pos="8140"/>
        </w:tabs>
        <w:spacing w:line="276" w:lineRule="auto"/>
        <w:ind w:rightChars="59" w:right="130"/>
        <w:jc w:val="center"/>
        <w:rPr>
          <w:rFonts w:ascii="Arial" w:hAnsi="Arial"/>
        </w:rPr>
      </w:pPr>
      <w:r>
        <w:rPr>
          <w:rFonts w:ascii="Arial" w:hAnsi="Arial"/>
        </w:rPr>
        <w:t>SAMUEL</w:t>
      </w:r>
      <w:r>
        <w:rPr>
          <w:rFonts w:ascii="Arial" w:hAnsi="Arial"/>
          <w:spacing w:val="-8"/>
        </w:rPr>
        <w:t xml:space="preserve"> </w:t>
      </w:r>
      <w:r>
        <w:rPr>
          <w:rFonts w:ascii="Arial" w:hAnsi="Arial"/>
        </w:rPr>
        <w:t>COSTA</w:t>
      </w:r>
      <w:r>
        <w:rPr>
          <w:rFonts w:ascii="Arial" w:hAnsi="Arial"/>
          <w:spacing w:val="-8"/>
        </w:rPr>
        <w:t xml:space="preserve"> </w:t>
      </w:r>
      <w:r>
        <w:rPr>
          <w:rFonts w:ascii="Arial" w:hAnsi="Arial"/>
        </w:rPr>
        <w:t>DA</w:t>
      </w:r>
      <w:r>
        <w:rPr>
          <w:rFonts w:ascii="Arial" w:hAnsi="Arial"/>
          <w:spacing w:val="-9"/>
        </w:rPr>
        <w:t xml:space="preserve"> </w:t>
      </w:r>
      <w:r>
        <w:rPr>
          <w:rFonts w:ascii="Arial" w:hAnsi="Arial"/>
        </w:rPr>
        <w:t>SILVA</w:t>
      </w:r>
      <w:r>
        <w:rPr>
          <w:rFonts w:ascii="Arial" w:hAnsi="Arial"/>
          <w:spacing w:val="-8"/>
        </w:rPr>
        <w:t xml:space="preserve"> </w:t>
      </w:r>
      <w:r>
        <w:rPr>
          <w:rFonts w:ascii="Arial" w:hAnsi="Arial"/>
        </w:rPr>
        <w:t>(FACULDADE</w:t>
      </w:r>
      <w:r>
        <w:rPr>
          <w:rFonts w:ascii="Arial" w:hAnsi="Arial"/>
          <w:spacing w:val="-9"/>
        </w:rPr>
        <w:t xml:space="preserve"> </w:t>
      </w:r>
      <w:r>
        <w:rPr>
          <w:rFonts w:ascii="Arial" w:hAnsi="Arial"/>
        </w:rPr>
        <w:t xml:space="preserve">PROCESSUS) </w:t>
      </w:r>
    </w:p>
    <w:p w:rsidR="009D60B7" w:rsidRDefault="00425C09">
      <w:pPr>
        <w:pStyle w:val="Corpodetexto"/>
        <w:tabs>
          <w:tab w:val="left" w:pos="6380"/>
          <w:tab w:val="left" w:pos="8140"/>
        </w:tabs>
        <w:spacing w:line="276" w:lineRule="auto"/>
        <w:ind w:rightChars="59" w:right="130"/>
        <w:jc w:val="center"/>
        <w:rPr>
          <w:rFonts w:ascii="Arial" w:hAnsi="Arial"/>
        </w:rPr>
      </w:pPr>
      <w:r>
        <w:rPr>
          <w:rFonts w:ascii="Arial" w:hAnsi="Arial"/>
        </w:rPr>
        <w:t>MARIA TERESA CAUDURO (UNISINOS)</w:t>
      </w:r>
    </w:p>
    <w:p w:rsidR="009D60B7" w:rsidRDefault="009D60B7">
      <w:pPr>
        <w:pStyle w:val="Corpodetexto"/>
        <w:tabs>
          <w:tab w:val="left" w:pos="6380"/>
        </w:tabs>
        <w:ind w:rightChars="59" w:right="130"/>
        <w:rPr>
          <w:rFonts w:ascii="Arial" w:hAnsi="Arial"/>
        </w:rPr>
      </w:pPr>
    </w:p>
    <w:p w:rsidR="009D60B7" w:rsidRDefault="009D60B7">
      <w:pPr>
        <w:pStyle w:val="Corpodetexto"/>
        <w:tabs>
          <w:tab w:val="left" w:pos="6380"/>
        </w:tabs>
        <w:spacing w:before="81"/>
        <w:ind w:leftChars="1400" w:left="3080" w:rightChars="1259" w:right="2770"/>
        <w:rPr>
          <w:rFonts w:ascii="Arial" w:hAnsi="Arial"/>
        </w:rPr>
      </w:pPr>
    </w:p>
    <w:p w:rsidR="009D60B7" w:rsidRDefault="009D60B7">
      <w:pPr>
        <w:pStyle w:val="Corpodetexto"/>
        <w:spacing w:line="276" w:lineRule="auto"/>
        <w:ind w:leftChars="1030" w:left="2266" w:rightChars="1059" w:right="2330"/>
        <w:jc w:val="center"/>
        <w:rPr>
          <w:rFonts w:ascii="Arial" w:hAnsi="Arial"/>
        </w:rPr>
      </w:pPr>
    </w:p>
    <w:p w:rsidR="009D60B7" w:rsidRDefault="00425C09">
      <w:pPr>
        <w:pStyle w:val="Corpodetexto"/>
        <w:spacing w:line="276" w:lineRule="auto"/>
        <w:ind w:leftChars="1030" w:left="2266" w:rightChars="1059" w:right="2330" w:firstLine="286"/>
        <w:jc w:val="center"/>
        <w:rPr>
          <w:rFonts w:ascii="Arial" w:hAnsi="Arial"/>
        </w:rPr>
      </w:pPr>
      <w:r>
        <w:rPr>
          <w:rFonts w:ascii="Arial" w:hAnsi="Arial"/>
        </w:rPr>
        <w:t>ASSOCIAÇÃO</w:t>
      </w:r>
      <w:r>
        <w:rPr>
          <w:rFonts w:ascii="Arial" w:hAnsi="Arial"/>
          <w:spacing w:val="-14"/>
        </w:rPr>
        <w:t xml:space="preserve"> </w:t>
      </w:r>
      <w:r>
        <w:rPr>
          <w:rFonts w:ascii="Arial" w:hAnsi="Arial"/>
        </w:rPr>
        <w:t>EDUCATIVA</w:t>
      </w:r>
      <w:r>
        <w:rPr>
          <w:rFonts w:ascii="Arial" w:hAnsi="Arial"/>
          <w:spacing w:val="-13"/>
        </w:rPr>
        <w:t xml:space="preserve"> </w:t>
      </w:r>
      <w:r>
        <w:rPr>
          <w:rFonts w:ascii="Arial" w:hAnsi="Arial"/>
        </w:rPr>
        <w:t>EVANGÉLICA</w:t>
      </w:r>
      <w:r>
        <w:rPr>
          <w:rFonts w:ascii="Arial" w:hAnsi="Arial"/>
          <w:spacing w:val="-14"/>
        </w:rPr>
        <w:t xml:space="preserve"> </w:t>
      </w:r>
      <w:r>
        <w:rPr>
          <w:rFonts w:ascii="Arial" w:hAnsi="Arial"/>
        </w:rPr>
        <w:t>(AEE)</w:t>
      </w:r>
    </w:p>
    <w:p w:rsidR="009D60B7" w:rsidRDefault="00425C09">
      <w:pPr>
        <w:pStyle w:val="Corpodetexto"/>
        <w:spacing w:line="276" w:lineRule="auto"/>
        <w:ind w:leftChars="1030" w:left="2266" w:rightChars="1059" w:right="2330"/>
        <w:jc w:val="center"/>
        <w:rPr>
          <w:rFonts w:ascii="Arial" w:hAnsi="Arial"/>
        </w:rPr>
      </w:pPr>
      <w:r>
        <w:rPr>
          <w:rFonts w:ascii="Arial" w:hAnsi="Arial"/>
        </w:rPr>
        <w:t>FACULDADE EVANGÉLICA RAÍZES</w:t>
      </w:r>
    </w:p>
    <w:p w:rsidR="009D60B7" w:rsidRDefault="00425C09">
      <w:pPr>
        <w:pStyle w:val="Corpodetexto"/>
        <w:tabs>
          <w:tab w:val="left" w:pos="6380"/>
        </w:tabs>
        <w:ind w:leftChars="1200" w:left="2640" w:rightChars="1059" w:right="2330"/>
        <w:jc w:val="center"/>
        <w:rPr>
          <w:rFonts w:ascii="Arial" w:hAnsi="Arial"/>
        </w:rPr>
        <w:sectPr w:rsidR="009D60B7">
          <w:headerReference w:type="even" r:id="rId13"/>
          <w:headerReference w:type="default" r:id="rId14"/>
          <w:footerReference w:type="even" r:id="rId15"/>
          <w:footerReference w:type="default" r:id="rId16"/>
          <w:headerReference w:type="first" r:id="rId17"/>
          <w:footerReference w:type="first" r:id="rId18"/>
          <w:pgSz w:w="11906" w:h="16838"/>
          <w:pgMar w:top="1460" w:right="1275" w:bottom="1080" w:left="1275" w:header="725" w:footer="896" w:gutter="0"/>
          <w:cols w:space="720"/>
          <w:formProt w:val="0"/>
          <w:docGrid w:linePitch="100"/>
        </w:sectPr>
      </w:pPr>
      <w:r>
        <w:rPr>
          <w:rFonts w:ascii="Arial" w:hAnsi="Arial"/>
        </w:rPr>
        <w:t>RUA</w:t>
      </w:r>
      <w:r>
        <w:rPr>
          <w:rFonts w:ascii="Arial" w:hAnsi="Arial"/>
          <w:spacing w:val="-4"/>
        </w:rPr>
        <w:t xml:space="preserve"> </w:t>
      </w:r>
      <w:r>
        <w:rPr>
          <w:rFonts w:ascii="Arial" w:hAnsi="Arial"/>
        </w:rPr>
        <w:t>FLORIANO</w:t>
      </w:r>
      <w:r>
        <w:rPr>
          <w:rFonts w:ascii="Arial" w:hAnsi="Arial"/>
          <w:spacing w:val="-3"/>
        </w:rPr>
        <w:t xml:space="preserve"> </w:t>
      </w:r>
      <w:r>
        <w:rPr>
          <w:rFonts w:ascii="Arial" w:hAnsi="Arial"/>
        </w:rPr>
        <w:t>PEIXOTO Nº</w:t>
      </w:r>
      <w:r>
        <w:rPr>
          <w:rFonts w:ascii="Arial" w:hAnsi="Arial"/>
          <w:spacing w:val="-5"/>
        </w:rPr>
        <w:t xml:space="preserve"> </w:t>
      </w:r>
      <w:r>
        <w:rPr>
          <w:rFonts w:ascii="Arial" w:hAnsi="Arial"/>
        </w:rPr>
        <w:t>900</w:t>
      </w:r>
      <w:r>
        <w:rPr>
          <w:rFonts w:ascii="Arial" w:hAnsi="Arial"/>
          <w:spacing w:val="-2"/>
        </w:rPr>
        <w:t xml:space="preserve"> </w:t>
      </w:r>
      <w:r>
        <w:rPr>
          <w:rFonts w:ascii="Arial" w:hAnsi="Arial"/>
        </w:rPr>
        <w:t>–</w:t>
      </w:r>
      <w:r>
        <w:rPr>
          <w:rFonts w:ascii="Arial" w:hAnsi="Arial"/>
          <w:spacing w:val="-2"/>
        </w:rPr>
        <w:t xml:space="preserve"> </w:t>
      </w:r>
      <w:r>
        <w:rPr>
          <w:rFonts w:ascii="Arial" w:hAnsi="Arial"/>
        </w:rPr>
        <w:t>SETOR</w:t>
      </w:r>
      <w:r>
        <w:rPr>
          <w:rFonts w:ascii="Arial" w:hAnsi="Arial"/>
          <w:spacing w:val="-3"/>
        </w:rPr>
        <w:t xml:space="preserve"> </w:t>
      </w:r>
      <w:r>
        <w:rPr>
          <w:rFonts w:ascii="Arial" w:hAnsi="Arial"/>
        </w:rPr>
        <w:t>CENTRAL</w:t>
      </w:r>
      <w:r>
        <w:rPr>
          <w:rFonts w:ascii="Arial" w:hAnsi="Arial"/>
          <w:spacing w:val="-3"/>
        </w:rPr>
        <w:t xml:space="preserve"> </w:t>
      </w:r>
      <w:r>
        <w:rPr>
          <w:rFonts w:ascii="Arial" w:hAnsi="Arial"/>
        </w:rPr>
        <w:t>–</w:t>
      </w:r>
      <w:r>
        <w:rPr>
          <w:rFonts w:ascii="Arial" w:hAnsi="Arial"/>
          <w:spacing w:val="-2"/>
        </w:rPr>
        <w:t xml:space="preserve"> </w:t>
      </w:r>
      <w:r>
        <w:rPr>
          <w:rFonts w:ascii="Arial" w:hAnsi="Arial"/>
        </w:rPr>
        <w:t>ANÁPOLIS/GO</w:t>
      </w:r>
      <w:r>
        <w:rPr>
          <w:rFonts w:ascii="Arial" w:hAnsi="Arial"/>
          <w:spacing w:val="-2"/>
        </w:rPr>
        <w:t xml:space="preserve"> </w:t>
      </w:r>
      <w:r>
        <w:rPr>
          <w:rFonts w:ascii="Arial" w:hAnsi="Arial"/>
        </w:rPr>
        <w:t>–</w:t>
      </w:r>
      <w:r>
        <w:rPr>
          <w:rFonts w:ascii="Arial" w:hAnsi="Arial"/>
          <w:spacing w:val="-3"/>
        </w:rPr>
        <w:t xml:space="preserve"> </w:t>
      </w:r>
      <w:r>
        <w:rPr>
          <w:rFonts w:ascii="Arial" w:hAnsi="Arial"/>
        </w:rPr>
        <w:t>CEP:</w:t>
      </w:r>
      <w:r>
        <w:rPr>
          <w:rFonts w:ascii="Arial" w:hAnsi="Arial"/>
          <w:spacing w:val="-4"/>
        </w:rPr>
        <w:t xml:space="preserve"> </w:t>
      </w:r>
      <w:r>
        <w:rPr>
          <w:rFonts w:ascii="Arial" w:hAnsi="Arial"/>
        </w:rPr>
        <w:t>75024-</w:t>
      </w:r>
      <w:r>
        <w:rPr>
          <w:rFonts w:ascii="Arial" w:hAnsi="Arial"/>
          <w:spacing w:val="-5"/>
        </w:rPr>
        <w:t>030</w:t>
      </w:r>
    </w:p>
    <w:p w:rsidR="009D60B7" w:rsidRDefault="00425C09">
      <w:pPr>
        <w:pStyle w:val="Ttulo1"/>
        <w:ind w:left="101"/>
        <w:rPr>
          <w:rFonts w:ascii="Arial" w:hAnsi="Arial"/>
          <w:sz w:val="20"/>
          <w:szCs w:val="20"/>
        </w:rPr>
      </w:pPr>
      <w:r>
        <w:rPr>
          <w:noProof/>
        </w:rPr>
        <w:lastRenderedPageBreak/>
        <mc:AlternateContent>
          <mc:Choice Requires="wps">
            <w:drawing>
              <wp:anchor distT="0" distB="0" distL="0" distR="0" simplePos="0" relativeHeight="251658240" behindDoc="0" locked="0" layoutInCell="0" allowOverlap="1">
                <wp:simplePos x="0" y="0"/>
                <wp:positionH relativeFrom="page">
                  <wp:posOffset>883285</wp:posOffset>
                </wp:positionH>
                <wp:positionV relativeFrom="paragraph">
                  <wp:posOffset>58420</wp:posOffset>
                </wp:positionV>
                <wp:extent cx="5888990" cy="9525"/>
                <wp:effectExtent l="0" t="0" r="0" b="0"/>
                <wp:wrapNone/>
                <wp:docPr id="15" name="Graphic 9"/>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9" o:spid="_x0000_s1026" o:spt="100" style="position:absolute;left:0pt;margin-left:69.55pt;margin-top:4.6pt;height:0.75pt;width:463.7pt;mso-position-horizontal-relative:page;z-index:251659264;mso-width-relative:page;mso-height-relative:page;" fillcolor="#9ABA59" filled="t" stroked="f" coordsize="5888990,9525" o:allowincell="f" o:gfxdata="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f&#10;rRgL1QAAAAkBAAAPAAAAAAAAAAEAIAAAACIAAABkcnMvZG93bnJldi54bWxQSwECFAAUAAAACACH&#10;TuJAvb0aLmACAACnBQAADgAAAAAAAAABACAAAAAkAQAAZHJzL2Uyb0RvYy54bWxQSwUGAAAAAAYA&#10;BgBZAQAA9gUAAAAA&#10;" path="m5888473,9144l0,9144,0,0,5888473,0,5888473,9144xe">
                <v:fill on="t" focussize="0,0"/>
                <v:stroke on="f" weight="0pt"/>
                <v:imagedata o:title=""/>
                <o:lock v:ext="edit" aspectratio="f"/>
              </v:shape>
            </w:pict>
          </mc:Fallback>
        </mc:AlternateContent>
      </w:r>
      <w:r>
        <w:rPr>
          <w:noProof/>
        </w:rPr>
        <mc:AlternateContent>
          <mc:Choice Requires="wps">
            <w:drawing>
              <wp:anchor distT="0" distB="0" distL="0" distR="0" simplePos="0" relativeHeight="251659264" behindDoc="0" locked="0" layoutInCell="0" allowOverlap="1">
                <wp:simplePos x="0" y="0"/>
                <wp:positionH relativeFrom="page">
                  <wp:posOffset>6979920</wp:posOffset>
                </wp:positionH>
                <wp:positionV relativeFrom="page">
                  <wp:posOffset>9104630</wp:posOffset>
                </wp:positionV>
                <wp:extent cx="352425" cy="565785"/>
                <wp:effectExtent l="0" t="0" r="0" b="0"/>
                <wp:wrapNone/>
                <wp:docPr id="16" name="Textbox 11"/>
                <wp:cNvGraphicFramePr/>
                <a:graphic xmlns:a="http://schemas.openxmlformats.org/drawingml/2006/main">
                  <a:graphicData uri="http://schemas.microsoft.com/office/word/2010/wordprocessingShape">
                    <wps:wsp>
                      <wps:cNvSpPr/>
                      <wps:spPr>
                        <a:xfrm>
                          <a:off x="0" y="0"/>
                          <a:ext cx="352440" cy="5659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3</w:t>
                            </w:r>
                          </w:p>
                        </w:txbxContent>
                      </wps:txbx>
                      <wps:bodyPr vert="vert270" lIns="0" tIns="0" rIns="0" bIns="0" anchor="t">
                        <a:noAutofit/>
                      </wps:bodyPr>
                    </wps:wsp>
                  </a:graphicData>
                </a:graphic>
              </wp:anchor>
            </w:drawing>
          </mc:Choice>
          <mc:Fallback>
            <w:pict>
              <v:rect id="Textbox 11" o:spid="_x0000_s1028" style="position:absolute;left:0;text-align:left;margin-left:549.6pt;margin-top:716.9pt;width:27.75pt;height:44.5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" o:allowincell="f" filled="f" stroked="f" strokeweight="0">
                <v:textbox style="layout-flow:vertical;mso-layout-flow-alt:bottom-to-top" inset="0,0,0,0">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3</w:t>
                      </w:r>
                    </w:p>
                  </w:txbxContent>
                </v:textbox>
                <w10:wrap anchorx="page" anchory="page"/>
              </v:rect>
            </w:pict>
          </mc:Fallback>
        </mc:AlternateContent>
      </w:r>
      <w:r>
        <w:rPr>
          <w:rFonts w:ascii="Arial" w:hAnsi="Arial"/>
          <w:color w:val="1F497C"/>
          <w:spacing w:val="23"/>
          <w:sz w:val="20"/>
          <w:szCs w:val="20"/>
        </w:rPr>
        <w:t>AUTORES</w:t>
      </w:r>
    </w:p>
    <w:p w:rsidR="009D60B7" w:rsidRDefault="00425C09">
      <w:pPr>
        <w:pStyle w:val="Corpodetexto"/>
        <w:spacing w:line="276" w:lineRule="auto"/>
        <w:ind w:right="3408"/>
        <w:jc w:val="both"/>
        <w:rPr>
          <w:rFonts w:ascii="Arial" w:hAnsi="Arial"/>
        </w:rPr>
      </w:pPr>
      <w:r>
        <w:rPr>
          <w:rFonts w:ascii="Arial" w:hAnsi="Arial"/>
          <w:noProof/>
        </w:rPr>
        <mc:AlternateContent>
          <mc:Choice Requires="wps">
            <w:drawing>
              <wp:anchor distT="0" distB="0" distL="0" distR="0" simplePos="0" relativeHeight="251660288" behindDoc="0" locked="0" layoutInCell="0" allowOverlap="1">
                <wp:simplePos x="0" y="0"/>
                <wp:positionH relativeFrom="page">
                  <wp:posOffset>892810</wp:posOffset>
                </wp:positionH>
                <wp:positionV relativeFrom="paragraph">
                  <wp:posOffset>113030</wp:posOffset>
                </wp:positionV>
                <wp:extent cx="5888990" cy="9525"/>
                <wp:effectExtent l="0" t="0" r="0" b="0"/>
                <wp:wrapNone/>
                <wp:docPr id="17" name="Graphic 10"/>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10" o:spid="_x0000_s1026" o:spt="100" style="position:absolute;left:0pt;margin-left:70.3pt;margin-top:8.9pt;height:0.75pt;width:463.7pt;mso-position-horizontal-relative:page;z-index:251659264;mso-width-relative:page;mso-height-relative:page;" fillcolor="#9ABA59" filled="t" stroked="f" coordsize="5888990,9525" o:allowincell="f" o:gfxdata="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u&#10;TwFH1QAAAAoBAAAPAAAAAAAAAAEAIAAAACIAAABkcnMvZG93bnJldi54bWxQSwECFAAUAAAACACH&#10;TuJAcYfTTGACAACoBQAADgAAAAAAAAABACAAAAAkAQAAZHJzL2Uyb0RvYy54bWxQSwUGAAAAAAYA&#10;BgBZAQAA9gUAAAAA&#10;" path="m5888473,9144l0,9144,0,0,5888473,0,5888473,9144xe">
                <v:fill on="t" focussize="0,0"/>
                <v:stroke on="f" weight="0pt"/>
                <v:imagedata o:title=""/>
                <o:lock v:ext="edit" aspectratio="f"/>
              </v:shape>
            </w:pict>
          </mc:Fallback>
        </mc:AlternateContent>
      </w:r>
    </w:p>
    <w:p w:rsidR="009D60B7" w:rsidRDefault="00425C09">
      <w:pPr>
        <w:pStyle w:val="Corpodetexto"/>
        <w:ind w:right="138"/>
        <w:jc w:val="center"/>
        <w:rPr>
          <w:rFonts w:ascii="Arial" w:hAnsi="Arial"/>
        </w:rPr>
      </w:pPr>
      <w:r>
        <w:rPr>
          <w:rFonts w:ascii="Arial" w:eastAsia="ArialMT" w:hAnsi="Arial"/>
          <w:bCs/>
        </w:rPr>
        <w:t>ADEDILSON DIMAS FERREIRA</w:t>
      </w:r>
      <w:r>
        <w:rPr>
          <w:rFonts w:ascii="Arial" w:eastAsia="ArialMT" w:hAnsi="Arial"/>
          <w:bCs/>
          <w:lang w:val="pt-BR"/>
        </w:rPr>
        <w:t xml:space="preserve"> </w:t>
      </w:r>
      <w:r>
        <w:rPr>
          <w:rFonts w:ascii="Arial" w:eastAsia="ArialMT" w:hAnsi="Arial"/>
          <w:bCs/>
        </w:rPr>
        <w:t>SANTANA</w:t>
      </w:r>
    </w:p>
    <w:p w:rsidR="009D60B7" w:rsidRDefault="00425C09">
      <w:pPr>
        <w:pStyle w:val="Corpodetexto"/>
        <w:ind w:right="138"/>
        <w:jc w:val="center"/>
        <w:rPr>
          <w:rFonts w:ascii="Arial" w:hAnsi="Arial"/>
        </w:rPr>
      </w:pPr>
      <w:r>
        <w:rPr>
          <w:rFonts w:ascii="Arial" w:hAnsi="Arial" w:cs="Arial"/>
          <w:spacing w:val="-2"/>
        </w:rPr>
        <w:t xml:space="preserve">AMANDA GABRIELA SANTOS GIRALDES </w:t>
      </w:r>
    </w:p>
    <w:p w:rsidR="009D60B7" w:rsidRDefault="00425C09">
      <w:pPr>
        <w:pStyle w:val="Corpodetexto"/>
        <w:ind w:right="138"/>
        <w:jc w:val="center"/>
        <w:rPr>
          <w:rFonts w:ascii="Arial" w:hAnsi="Arial"/>
        </w:rPr>
      </w:pPr>
      <w:r>
        <w:rPr>
          <w:rFonts w:ascii="Arial" w:hAnsi="Arial" w:cs="Arial"/>
          <w:spacing w:val="-2"/>
        </w:rPr>
        <w:t>AMANDA GABRIELLE SILVA RODRIGUES</w:t>
      </w:r>
    </w:p>
    <w:p w:rsidR="009D60B7" w:rsidRDefault="00425C09">
      <w:pPr>
        <w:pStyle w:val="Corpodetexto"/>
        <w:ind w:right="138"/>
        <w:jc w:val="center"/>
        <w:rPr>
          <w:rFonts w:ascii="Arial" w:hAnsi="Arial"/>
        </w:rPr>
      </w:pPr>
      <w:r>
        <w:rPr>
          <w:rFonts w:ascii="Arial" w:hAnsi="Arial" w:cs="Arial"/>
          <w:spacing w:val="-2"/>
        </w:rPr>
        <w:t xml:space="preserve">ANA BEATRIZ DOS SANTOS SILVA </w:t>
      </w:r>
    </w:p>
    <w:p w:rsidR="009D60B7" w:rsidRDefault="00425C09">
      <w:pPr>
        <w:pStyle w:val="Corpodetexto"/>
        <w:ind w:right="138"/>
        <w:jc w:val="center"/>
        <w:rPr>
          <w:rFonts w:ascii="Arial" w:hAnsi="Arial"/>
        </w:rPr>
      </w:pPr>
      <w:r>
        <w:rPr>
          <w:rFonts w:ascii="Arial" w:hAnsi="Arial" w:cs="Arial"/>
          <w:spacing w:val="-2"/>
        </w:rPr>
        <w:t xml:space="preserve">ANA JÚLIA ROSA RODRIGUES </w:t>
      </w:r>
    </w:p>
    <w:p w:rsidR="009D60B7" w:rsidRDefault="00425C09">
      <w:pPr>
        <w:pStyle w:val="Corpodetexto"/>
        <w:ind w:right="138"/>
        <w:jc w:val="center"/>
        <w:rPr>
          <w:rFonts w:ascii="Arial" w:hAnsi="Arial"/>
        </w:rPr>
      </w:pPr>
      <w:r>
        <w:rPr>
          <w:rFonts w:ascii="Arial" w:hAnsi="Arial" w:cs="Arial"/>
          <w:spacing w:val="-2"/>
        </w:rPr>
        <w:t>ANA VITORIA CARVALHO MOREIRA</w:t>
      </w:r>
    </w:p>
    <w:p w:rsidR="009D60B7" w:rsidRDefault="00425C09">
      <w:pPr>
        <w:pStyle w:val="Corpodetexto"/>
        <w:ind w:right="138"/>
        <w:jc w:val="center"/>
        <w:rPr>
          <w:rFonts w:ascii="Arial" w:hAnsi="Arial"/>
        </w:rPr>
      </w:pPr>
      <w:r>
        <w:rPr>
          <w:rFonts w:ascii="Arial" w:hAnsi="Arial" w:cs="Arial"/>
          <w:spacing w:val="-2"/>
        </w:rPr>
        <w:t>ANNA CLARA MIRANDA LOPES</w:t>
      </w:r>
    </w:p>
    <w:p w:rsidR="009D60B7" w:rsidRDefault="00425C09">
      <w:pPr>
        <w:pStyle w:val="Corpodetexto"/>
        <w:ind w:right="138"/>
        <w:jc w:val="center"/>
        <w:rPr>
          <w:rFonts w:ascii="Arial" w:hAnsi="Arial"/>
        </w:rPr>
      </w:pPr>
      <w:r>
        <w:rPr>
          <w:rFonts w:ascii="Arial" w:hAnsi="Arial" w:cs="Arial"/>
          <w:spacing w:val="-2"/>
        </w:rPr>
        <w:t xml:space="preserve">BENEDITO CÉSAR PEREIRA REZENDE </w:t>
      </w:r>
    </w:p>
    <w:p w:rsidR="009D60B7" w:rsidRDefault="00425C09">
      <w:pPr>
        <w:tabs>
          <w:tab w:val="left" w:pos="5940"/>
          <w:tab w:val="left" w:pos="6160"/>
          <w:tab w:val="left" w:pos="6521"/>
        </w:tabs>
        <w:spacing w:line="274" w:lineRule="auto"/>
        <w:ind w:leftChars="1030" w:left="2266" w:rightChars="1030" w:right="2266"/>
        <w:jc w:val="center"/>
        <w:rPr>
          <w:rFonts w:ascii="Arial" w:hAnsi="Arial"/>
          <w:sz w:val="20"/>
          <w:szCs w:val="20"/>
        </w:rPr>
      </w:pPr>
      <w:r>
        <w:rPr>
          <w:rFonts w:ascii="Arial" w:hAnsi="Arial"/>
          <w:sz w:val="20"/>
          <w:szCs w:val="20"/>
        </w:rPr>
        <w:t xml:space="preserve">BRUNA FELIPE </w:t>
      </w:r>
      <w:r>
        <w:rPr>
          <w:rFonts w:ascii="Arial" w:hAnsi="Arial"/>
          <w:sz w:val="20"/>
          <w:szCs w:val="20"/>
          <w:lang w:val="pt-BR"/>
        </w:rPr>
        <w:t xml:space="preserve">DE ARAÚJO </w:t>
      </w:r>
      <w:r>
        <w:rPr>
          <w:rFonts w:ascii="Arial" w:hAnsi="Arial"/>
          <w:sz w:val="20"/>
          <w:szCs w:val="20"/>
        </w:rPr>
        <w:t>OLIVEIRA</w:t>
      </w:r>
    </w:p>
    <w:p w:rsidR="009D60B7" w:rsidRDefault="00425C09">
      <w:pPr>
        <w:pStyle w:val="Corpodetexto"/>
        <w:ind w:right="138"/>
        <w:jc w:val="center"/>
        <w:rPr>
          <w:rFonts w:ascii="Arial" w:hAnsi="Arial"/>
        </w:rPr>
      </w:pPr>
      <w:r>
        <w:rPr>
          <w:rFonts w:ascii="Arial" w:hAnsi="Arial" w:cs="Arial"/>
          <w:spacing w:val="-2"/>
        </w:rPr>
        <w:t>BRUNA VITÓRIA DA SILVA LOPES</w:t>
      </w:r>
    </w:p>
    <w:p w:rsidR="009D60B7" w:rsidRDefault="00425C09">
      <w:pPr>
        <w:pStyle w:val="Corpodetexto"/>
        <w:ind w:right="138"/>
        <w:jc w:val="center"/>
        <w:rPr>
          <w:rFonts w:ascii="Arial" w:hAnsi="Arial"/>
        </w:rPr>
      </w:pPr>
      <w:r>
        <w:rPr>
          <w:rFonts w:ascii="Arial" w:hAnsi="Arial" w:cs="Arial"/>
          <w:spacing w:val="-2"/>
        </w:rPr>
        <w:t xml:space="preserve">CAMILLY VICTÓRIA CABRAL FENATO </w:t>
      </w:r>
    </w:p>
    <w:p w:rsidR="009D60B7" w:rsidRDefault="00425C09">
      <w:pPr>
        <w:pStyle w:val="Corpodetexto"/>
        <w:ind w:right="138"/>
        <w:jc w:val="center"/>
        <w:rPr>
          <w:rFonts w:ascii="Arial" w:hAnsi="Arial"/>
        </w:rPr>
      </w:pPr>
      <w:r>
        <w:rPr>
          <w:rFonts w:ascii="Arial" w:hAnsi="Arial" w:cs="Arial"/>
          <w:spacing w:val="-2"/>
        </w:rPr>
        <w:t>CAROLINA PINHEIRO ANDRADE</w:t>
      </w:r>
    </w:p>
    <w:p w:rsidR="009D60B7" w:rsidRDefault="00425C09">
      <w:pPr>
        <w:tabs>
          <w:tab w:val="left" w:pos="5940"/>
          <w:tab w:val="left" w:pos="6160"/>
          <w:tab w:val="left" w:pos="6521"/>
        </w:tabs>
        <w:spacing w:line="274" w:lineRule="auto"/>
        <w:ind w:leftChars="1030" w:left="2266" w:rightChars="1030" w:right="2266"/>
        <w:jc w:val="center"/>
        <w:rPr>
          <w:rFonts w:ascii="Arial" w:hAnsi="Arial"/>
          <w:sz w:val="20"/>
          <w:szCs w:val="20"/>
        </w:rPr>
      </w:pPr>
      <w:r>
        <w:rPr>
          <w:rFonts w:ascii="Arial" w:hAnsi="Arial"/>
          <w:sz w:val="20"/>
          <w:szCs w:val="20"/>
        </w:rPr>
        <w:t>CÉSAR</w:t>
      </w:r>
      <w:r>
        <w:rPr>
          <w:rFonts w:ascii="Arial" w:hAnsi="Arial"/>
          <w:spacing w:val="-14"/>
          <w:sz w:val="20"/>
          <w:szCs w:val="20"/>
        </w:rPr>
        <w:t xml:space="preserve"> </w:t>
      </w:r>
      <w:r>
        <w:rPr>
          <w:rFonts w:ascii="Arial" w:hAnsi="Arial"/>
          <w:sz w:val="20"/>
          <w:szCs w:val="20"/>
        </w:rPr>
        <w:t>GRATÃO</w:t>
      </w:r>
      <w:r>
        <w:rPr>
          <w:rFonts w:ascii="Arial" w:hAnsi="Arial"/>
          <w:spacing w:val="-13"/>
          <w:sz w:val="20"/>
          <w:szCs w:val="20"/>
        </w:rPr>
        <w:t xml:space="preserve"> </w:t>
      </w:r>
      <w:r>
        <w:rPr>
          <w:rFonts w:ascii="Arial" w:hAnsi="Arial"/>
          <w:sz w:val="20"/>
          <w:szCs w:val="20"/>
        </w:rPr>
        <w:t>DE</w:t>
      </w:r>
      <w:r>
        <w:rPr>
          <w:rFonts w:ascii="Arial" w:hAnsi="Arial"/>
          <w:spacing w:val="-14"/>
          <w:sz w:val="20"/>
          <w:szCs w:val="20"/>
        </w:rPr>
        <w:t xml:space="preserve"> </w:t>
      </w:r>
      <w:r>
        <w:rPr>
          <w:rFonts w:ascii="Arial" w:hAnsi="Arial"/>
          <w:sz w:val="20"/>
          <w:szCs w:val="20"/>
        </w:rPr>
        <w:t>OLIVEIRA</w:t>
      </w:r>
    </w:p>
    <w:p w:rsidR="009D60B7" w:rsidRDefault="00425C09">
      <w:pPr>
        <w:pStyle w:val="Corpodetexto"/>
        <w:ind w:rightChars="59" w:right="130"/>
        <w:jc w:val="center"/>
        <w:rPr>
          <w:rFonts w:ascii="Arial" w:hAnsi="Arial"/>
        </w:rPr>
      </w:pPr>
      <w:r>
        <w:rPr>
          <w:rFonts w:ascii="Arial" w:hAnsi="Arial"/>
          <w:bCs/>
        </w:rPr>
        <w:t>CRISTIANE</w:t>
      </w:r>
      <w:r>
        <w:rPr>
          <w:rFonts w:ascii="Arial" w:hAnsi="Arial"/>
          <w:bCs/>
          <w:spacing w:val="-11"/>
        </w:rPr>
        <w:t xml:space="preserve"> </w:t>
      </w:r>
      <w:r>
        <w:rPr>
          <w:rFonts w:ascii="Arial" w:hAnsi="Arial"/>
          <w:bCs/>
        </w:rPr>
        <w:t>INGRID</w:t>
      </w:r>
      <w:r>
        <w:rPr>
          <w:rFonts w:ascii="Arial" w:hAnsi="Arial"/>
          <w:bCs/>
          <w:spacing w:val="-11"/>
        </w:rPr>
        <w:t xml:space="preserve"> </w:t>
      </w:r>
      <w:r>
        <w:rPr>
          <w:rFonts w:ascii="Arial" w:hAnsi="Arial"/>
          <w:bCs/>
        </w:rPr>
        <w:t>DE</w:t>
      </w:r>
      <w:r>
        <w:rPr>
          <w:rFonts w:ascii="Arial" w:hAnsi="Arial"/>
          <w:bCs/>
          <w:spacing w:val="-9"/>
        </w:rPr>
        <w:t xml:space="preserve"> </w:t>
      </w:r>
      <w:r>
        <w:rPr>
          <w:rFonts w:ascii="Arial" w:hAnsi="Arial"/>
          <w:bCs/>
        </w:rPr>
        <w:t>SOUZA</w:t>
      </w:r>
      <w:r>
        <w:rPr>
          <w:rFonts w:ascii="Arial" w:hAnsi="Arial"/>
          <w:bCs/>
          <w:spacing w:val="-11"/>
        </w:rPr>
        <w:t xml:space="preserve"> </w:t>
      </w:r>
      <w:r>
        <w:rPr>
          <w:rFonts w:ascii="Arial" w:hAnsi="Arial"/>
          <w:bCs/>
        </w:rPr>
        <w:t>BONFIM</w:t>
      </w:r>
    </w:p>
    <w:p w:rsidR="009D60B7" w:rsidRDefault="00425C09">
      <w:pPr>
        <w:pStyle w:val="Corpodetexto"/>
        <w:ind w:right="138"/>
        <w:jc w:val="center"/>
        <w:rPr>
          <w:rFonts w:ascii="Arial" w:hAnsi="Arial"/>
        </w:rPr>
      </w:pPr>
      <w:r>
        <w:rPr>
          <w:rFonts w:ascii="Arial" w:hAnsi="Arial" w:cs="Arial"/>
          <w:spacing w:val="-2"/>
        </w:rPr>
        <w:t xml:space="preserve">EDUARDA CRISTINA DE SOUZA AGUIAR </w:t>
      </w:r>
    </w:p>
    <w:p w:rsidR="009D60B7" w:rsidRDefault="00425C09">
      <w:pPr>
        <w:pStyle w:val="Corpodetexto"/>
        <w:ind w:right="138"/>
        <w:jc w:val="center"/>
        <w:rPr>
          <w:rFonts w:ascii="Arial" w:hAnsi="Arial"/>
        </w:rPr>
      </w:pPr>
      <w:r>
        <w:rPr>
          <w:rFonts w:ascii="Arial" w:hAnsi="Arial" w:cs="Arial"/>
          <w:spacing w:val="-2"/>
        </w:rPr>
        <w:t xml:space="preserve">EMANUELLY GUERRES DE AGUIAR </w:t>
      </w:r>
    </w:p>
    <w:p w:rsidR="009D60B7" w:rsidRDefault="00425C09">
      <w:pPr>
        <w:pStyle w:val="Corpodetexto"/>
        <w:ind w:rightChars="59" w:right="130"/>
        <w:jc w:val="center"/>
        <w:rPr>
          <w:rFonts w:ascii="Arial" w:hAnsi="Arial"/>
        </w:rPr>
      </w:pPr>
      <w:r>
        <w:rPr>
          <w:rFonts w:ascii="Arial" w:hAnsi="Arial"/>
        </w:rPr>
        <w:t>GABRIEL</w:t>
      </w:r>
      <w:r>
        <w:rPr>
          <w:rFonts w:ascii="Arial" w:hAnsi="Arial"/>
          <w:spacing w:val="-5"/>
        </w:rPr>
        <w:t xml:space="preserve"> </w:t>
      </w:r>
      <w:r>
        <w:rPr>
          <w:rFonts w:ascii="Arial" w:hAnsi="Arial"/>
        </w:rPr>
        <w:t>DE</w:t>
      </w:r>
      <w:r>
        <w:rPr>
          <w:rFonts w:ascii="Arial" w:hAnsi="Arial"/>
          <w:spacing w:val="-5"/>
        </w:rPr>
        <w:t xml:space="preserve"> </w:t>
      </w:r>
      <w:r>
        <w:rPr>
          <w:rFonts w:ascii="Arial" w:hAnsi="Arial"/>
        </w:rPr>
        <w:t>CASTRO</w:t>
      </w:r>
      <w:r>
        <w:rPr>
          <w:rFonts w:ascii="Arial" w:hAnsi="Arial"/>
          <w:spacing w:val="-5"/>
        </w:rPr>
        <w:t xml:space="preserve"> </w:t>
      </w:r>
      <w:r>
        <w:rPr>
          <w:rFonts w:ascii="Arial" w:hAnsi="Arial"/>
        </w:rPr>
        <w:t>BORGES</w:t>
      </w:r>
      <w:r>
        <w:rPr>
          <w:rFonts w:ascii="Arial" w:hAnsi="Arial"/>
          <w:spacing w:val="-5"/>
        </w:rPr>
        <w:t xml:space="preserve"> </w:t>
      </w:r>
      <w:r>
        <w:rPr>
          <w:rFonts w:ascii="Arial" w:hAnsi="Arial"/>
        </w:rPr>
        <w:t>REIS</w:t>
      </w:r>
    </w:p>
    <w:p w:rsidR="009D60B7" w:rsidRDefault="00425C09">
      <w:pPr>
        <w:pStyle w:val="Corpodetexto"/>
        <w:ind w:right="138"/>
        <w:jc w:val="center"/>
        <w:rPr>
          <w:rFonts w:ascii="Arial" w:hAnsi="Arial"/>
        </w:rPr>
      </w:pPr>
      <w:r>
        <w:rPr>
          <w:rFonts w:ascii="Arial" w:hAnsi="Arial" w:cs="Arial"/>
          <w:spacing w:val="-2"/>
        </w:rPr>
        <w:t xml:space="preserve">GABRIEL FLORÊNCIO RODRIGUES </w:t>
      </w:r>
    </w:p>
    <w:p w:rsidR="009D60B7" w:rsidRDefault="00425C09">
      <w:pPr>
        <w:pStyle w:val="Corpodetexto"/>
        <w:ind w:right="138"/>
        <w:jc w:val="center"/>
        <w:rPr>
          <w:rFonts w:ascii="Arial" w:hAnsi="Arial"/>
        </w:rPr>
      </w:pPr>
      <w:r>
        <w:rPr>
          <w:rFonts w:ascii="Arial" w:hAnsi="Arial" w:cs="Arial"/>
          <w:spacing w:val="-2"/>
        </w:rPr>
        <w:t>GEGISLENE COSTA RIBEIRO</w:t>
      </w:r>
    </w:p>
    <w:p w:rsidR="009D60B7" w:rsidRDefault="00425C09">
      <w:pPr>
        <w:pStyle w:val="Corpodetexto"/>
        <w:tabs>
          <w:tab w:val="left" w:pos="5940"/>
          <w:tab w:val="left" w:pos="6160"/>
          <w:tab w:val="left" w:pos="6521"/>
        </w:tabs>
        <w:spacing w:before="2" w:line="276" w:lineRule="auto"/>
        <w:ind w:leftChars="1030" w:left="2266" w:rightChars="1030" w:right="2266"/>
        <w:jc w:val="center"/>
        <w:rPr>
          <w:rFonts w:ascii="Arial" w:hAnsi="Arial"/>
        </w:rPr>
      </w:pPr>
      <w:r>
        <w:rPr>
          <w:rFonts w:ascii="Arial" w:hAnsi="Arial"/>
          <w:lang w:val="pt-BR"/>
        </w:rPr>
        <w:t>HELDER LINCOLN CALAÇA</w:t>
      </w:r>
    </w:p>
    <w:p w:rsidR="009D60B7" w:rsidRDefault="00425C09">
      <w:pPr>
        <w:pStyle w:val="Corpodetexto"/>
        <w:ind w:right="138"/>
        <w:jc w:val="center"/>
        <w:rPr>
          <w:rFonts w:ascii="Arial" w:hAnsi="Arial"/>
        </w:rPr>
      </w:pPr>
      <w:r>
        <w:rPr>
          <w:rFonts w:ascii="Arial" w:hAnsi="Arial" w:cs="Arial"/>
          <w:spacing w:val="-2"/>
        </w:rPr>
        <w:t xml:space="preserve">HELLIENAY FERNANDES OLIVEIRA </w:t>
      </w:r>
    </w:p>
    <w:p w:rsidR="009D60B7" w:rsidRDefault="00425C09">
      <w:pPr>
        <w:pStyle w:val="Corpodetexto"/>
        <w:ind w:right="138"/>
        <w:jc w:val="center"/>
        <w:rPr>
          <w:rFonts w:ascii="Arial" w:hAnsi="Arial"/>
        </w:rPr>
      </w:pPr>
      <w:r>
        <w:rPr>
          <w:rFonts w:ascii="Arial" w:hAnsi="Arial" w:cs="Arial"/>
          <w:spacing w:val="-2"/>
        </w:rPr>
        <w:t xml:space="preserve">ISABELA KARINA DE SOUZA </w:t>
      </w:r>
    </w:p>
    <w:p w:rsidR="009D60B7" w:rsidRDefault="00425C09">
      <w:pPr>
        <w:pStyle w:val="Corpodetexto"/>
        <w:ind w:right="138"/>
        <w:jc w:val="center"/>
        <w:rPr>
          <w:rFonts w:ascii="Arial" w:hAnsi="Arial"/>
        </w:rPr>
      </w:pPr>
      <w:r>
        <w:rPr>
          <w:rFonts w:ascii="Arial" w:hAnsi="Arial" w:cs="Arial"/>
          <w:spacing w:val="-2"/>
        </w:rPr>
        <w:t xml:space="preserve">JAKELLYNE MARQUES RIBEIRO </w:t>
      </w:r>
    </w:p>
    <w:p w:rsidR="009D60B7" w:rsidRDefault="00425C09">
      <w:pPr>
        <w:pStyle w:val="Corpodetexto"/>
        <w:ind w:right="138"/>
        <w:jc w:val="center"/>
        <w:rPr>
          <w:rFonts w:ascii="Arial" w:hAnsi="Arial"/>
        </w:rPr>
      </w:pPr>
      <w:r>
        <w:rPr>
          <w:rFonts w:ascii="Arial" w:hAnsi="Arial" w:cs="Arial"/>
          <w:spacing w:val="-2"/>
        </w:rPr>
        <w:t>JANAÍNA ALVES DE LISBOA ALMEIDA</w:t>
      </w:r>
    </w:p>
    <w:p w:rsidR="009D60B7" w:rsidRDefault="00425C09">
      <w:pPr>
        <w:pStyle w:val="Corpodetexto"/>
        <w:ind w:right="138"/>
        <w:jc w:val="center"/>
        <w:rPr>
          <w:rFonts w:ascii="Arial" w:hAnsi="Arial"/>
        </w:rPr>
      </w:pPr>
      <w:r>
        <w:rPr>
          <w:rFonts w:ascii="Arial" w:hAnsi="Arial" w:cs="Arial"/>
          <w:spacing w:val="-2"/>
        </w:rPr>
        <w:t xml:space="preserve">JENNIFER VICTORIA  DE SOUSA MORAIS </w:t>
      </w:r>
    </w:p>
    <w:p w:rsidR="009D60B7" w:rsidRDefault="00425C09">
      <w:pPr>
        <w:pStyle w:val="Corpodetexto"/>
        <w:ind w:right="138"/>
        <w:jc w:val="center"/>
        <w:rPr>
          <w:rFonts w:ascii="Arial" w:hAnsi="Arial"/>
        </w:rPr>
      </w:pPr>
      <w:r>
        <w:rPr>
          <w:rFonts w:ascii="Arial" w:hAnsi="Arial" w:cs="Arial"/>
          <w:spacing w:val="-2"/>
        </w:rPr>
        <w:t xml:space="preserve">JOALES SOUSA NUNES </w:t>
      </w:r>
    </w:p>
    <w:p w:rsidR="009D60B7" w:rsidRDefault="00425C09">
      <w:pPr>
        <w:pStyle w:val="Corpodetexto"/>
        <w:ind w:right="138"/>
        <w:jc w:val="center"/>
        <w:rPr>
          <w:rFonts w:ascii="Arial" w:hAnsi="Arial"/>
        </w:rPr>
      </w:pPr>
      <w:r>
        <w:rPr>
          <w:rFonts w:ascii="Arial" w:hAnsi="Arial" w:cs="Arial"/>
          <w:spacing w:val="-2"/>
        </w:rPr>
        <w:t xml:space="preserve">KAIQUE VALERIANO DE BARROS </w:t>
      </w:r>
    </w:p>
    <w:p w:rsidR="009D60B7" w:rsidRDefault="00425C09">
      <w:pPr>
        <w:pStyle w:val="Corpodetexto"/>
        <w:ind w:right="138"/>
        <w:jc w:val="center"/>
        <w:rPr>
          <w:rFonts w:ascii="Arial" w:hAnsi="Arial"/>
        </w:rPr>
      </w:pPr>
      <w:r>
        <w:rPr>
          <w:rFonts w:ascii="Arial" w:hAnsi="Arial" w:cs="Arial"/>
          <w:spacing w:val="-2"/>
        </w:rPr>
        <w:t>KARINE RODRIGUES DE OLIVEIRA</w:t>
      </w:r>
    </w:p>
    <w:p w:rsidR="009D60B7" w:rsidRDefault="00425C09">
      <w:pPr>
        <w:pStyle w:val="Corpodetexto"/>
        <w:ind w:right="138"/>
        <w:jc w:val="center"/>
        <w:rPr>
          <w:rFonts w:ascii="Arial" w:hAnsi="Arial"/>
        </w:rPr>
      </w:pPr>
      <w:r>
        <w:rPr>
          <w:rFonts w:ascii="Arial" w:hAnsi="Arial" w:cs="Arial"/>
          <w:spacing w:val="-2"/>
        </w:rPr>
        <w:t>LAÍS CARLA ABADE SILVA</w:t>
      </w:r>
    </w:p>
    <w:p w:rsidR="009D60B7" w:rsidRDefault="00425C09">
      <w:pPr>
        <w:pStyle w:val="Corpodetexto"/>
        <w:ind w:right="138"/>
        <w:jc w:val="center"/>
        <w:rPr>
          <w:rFonts w:ascii="Arial" w:hAnsi="Arial"/>
        </w:rPr>
      </w:pPr>
      <w:r>
        <w:rPr>
          <w:rFonts w:ascii="Arial" w:hAnsi="Arial" w:cs="Arial"/>
          <w:spacing w:val="-2"/>
        </w:rPr>
        <w:t xml:space="preserve">LUANA LUIZA CARDOSO PEIXOTO </w:t>
      </w:r>
    </w:p>
    <w:p w:rsidR="009D60B7" w:rsidRDefault="00425C09">
      <w:pPr>
        <w:pStyle w:val="Corpodetexto"/>
        <w:ind w:right="138"/>
        <w:jc w:val="center"/>
        <w:rPr>
          <w:rFonts w:ascii="Arial" w:hAnsi="Arial"/>
        </w:rPr>
      </w:pPr>
      <w:r>
        <w:rPr>
          <w:rFonts w:ascii="Arial" w:hAnsi="Arial" w:cs="Arial"/>
          <w:spacing w:val="-2"/>
        </w:rPr>
        <w:t>LUANA MARTINS DOS SANTOS</w:t>
      </w:r>
    </w:p>
    <w:p w:rsidR="009D60B7" w:rsidRDefault="00425C09">
      <w:pPr>
        <w:pStyle w:val="Corpodetexto"/>
        <w:tabs>
          <w:tab w:val="left" w:pos="8360"/>
        </w:tabs>
        <w:ind w:rightChars="59" w:right="130"/>
        <w:jc w:val="center"/>
        <w:rPr>
          <w:rFonts w:ascii="Arial" w:hAnsi="Arial"/>
        </w:rPr>
      </w:pPr>
      <w:r>
        <w:rPr>
          <w:rFonts w:ascii="Arial" w:hAnsi="Arial"/>
          <w:bCs/>
        </w:rPr>
        <w:t>LUCAS SANTANA DE LIMA</w:t>
      </w:r>
    </w:p>
    <w:p w:rsidR="009D60B7" w:rsidRDefault="00425C09">
      <w:pPr>
        <w:pStyle w:val="Corpodetexto"/>
        <w:ind w:right="138"/>
        <w:jc w:val="center"/>
        <w:rPr>
          <w:rFonts w:ascii="Arial" w:hAnsi="Arial"/>
        </w:rPr>
      </w:pPr>
      <w:r>
        <w:rPr>
          <w:rFonts w:ascii="Arial" w:hAnsi="Arial" w:cs="Arial"/>
          <w:spacing w:val="-2"/>
        </w:rPr>
        <w:t>LUÍS FELIPE VIANA DIAS</w:t>
      </w:r>
    </w:p>
    <w:p w:rsidR="009D60B7" w:rsidRDefault="00425C09">
      <w:pPr>
        <w:pStyle w:val="Corpodetexto"/>
        <w:ind w:right="138"/>
        <w:jc w:val="center"/>
        <w:rPr>
          <w:rFonts w:ascii="Arial" w:hAnsi="Arial"/>
        </w:rPr>
      </w:pPr>
      <w:r>
        <w:rPr>
          <w:rFonts w:ascii="Arial" w:hAnsi="Arial" w:cs="Arial"/>
          <w:spacing w:val="-2"/>
        </w:rPr>
        <w:t xml:space="preserve">MÁRCIO SILÂNIO BORGES JUNIOR </w:t>
      </w:r>
    </w:p>
    <w:p w:rsidR="009D60B7" w:rsidRDefault="00425C09">
      <w:pPr>
        <w:pStyle w:val="Corpodetexto"/>
        <w:ind w:right="138"/>
        <w:jc w:val="center"/>
        <w:rPr>
          <w:rFonts w:ascii="Arial" w:hAnsi="Arial"/>
        </w:rPr>
      </w:pPr>
      <w:r>
        <w:rPr>
          <w:rFonts w:ascii="Arial" w:eastAsia="ArialMT" w:hAnsi="Arial"/>
          <w:bCs/>
        </w:rPr>
        <w:t>MARCUS PHILIPPE</w:t>
      </w:r>
      <w:r>
        <w:rPr>
          <w:rFonts w:ascii="Arial" w:eastAsia="ArialMT" w:hAnsi="Arial"/>
          <w:bCs/>
          <w:lang w:val="pt-BR"/>
        </w:rPr>
        <w:t xml:space="preserve"> </w:t>
      </w:r>
      <w:r>
        <w:rPr>
          <w:rFonts w:ascii="Arial" w:eastAsia="ArialMT" w:hAnsi="Arial"/>
          <w:bCs/>
        </w:rPr>
        <w:t>DE OLIVEIRA GOMES ARANHA</w:t>
      </w:r>
    </w:p>
    <w:p w:rsidR="009D60B7" w:rsidRDefault="00425C09">
      <w:pPr>
        <w:pStyle w:val="Corpodetexto"/>
        <w:ind w:right="138"/>
        <w:jc w:val="center"/>
        <w:rPr>
          <w:rFonts w:ascii="Arial" w:hAnsi="Arial"/>
        </w:rPr>
      </w:pPr>
      <w:r>
        <w:rPr>
          <w:rFonts w:ascii="Arial" w:hAnsi="Arial"/>
        </w:rPr>
        <w:t xml:space="preserve">MARIA CLARA GRATÃO DE OLIVEIRA </w:t>
      </w:r>
    </w:p>
    <w:p w:rsidR="009D60B7" w:rsidRDefault="00425C09">
      <w:pPr>
        <w:pStyle w:val="Corpodetexto"/>
        <w:ind w:right="138"/>
        <w:jc w:val="center"/>
        <w:rPr>
          <w:rFonts w:ascii="Arial" w:hAnsi="Arial"/>
        </w:rPr>
      </w:pPr>
      <w:r>
        <w:rPr>
          <w:rFonts w:ascii="Arial" w:hAnsi="Arial" w:cs="Arial"/>
          <w:spacing w:val="-2"/>
        </w:rPr>
        <w:t>MARIA EDUARA GUILHERME SANTANA</w:t>
      </w:r>
    </w:p>
    <w:p w:rsidR="009D60B7" w:rsidRDefault="00425C09">
      <w:pPr>
        <w:pStyle w:val="Corpodetexto"/>
        <w:ind w:right="138"/>
        <w:jc w:val="center"/>
        <w:rPr>
          <w:rFonts w:ascii="Arial" w:hAnsi="Arial"/>
        </w:rPr>
      </w:pPr>
      <w:r>
        <w:rPr>
          <w:rFonts w:ascii="Arial" w:hAnsi="Arial" w:cs="Arial"/>
          <w:spacing w:val="-2"/>
        </w:rPr>
        <w:t>MARIA EDUARDA DE SOUZA MOREIRA</w:t>
      </w:r>
    </w:p>
    <w:p w:rsidR="009D60B7" w:rsidRDefault="00425C09">
      <w:pPr>
        <w:pStyle w:val="Corpodetexto"/>
        <w:ind w:right="138"/>
        <w:jc w:val="center"/>
        <w:rPr>
          <w:rFonts w:ascii="Arial" w:hAnsi="Arial"/>
        </w:rPr>
      </w:pPr>
      <w:r>
        <w:rPr>
          <w:rFonts w:ascii="Arial" w:hAnsi="Arial" w:cs="Arial"/>
          <w:spacing w:val="-2"/>
        </w:rPr>
        <w:t xml:space="preserve">MARIA ROSEANA DA SILVA SOARES </w:t>
      </w:r>
    </w:p>
    <w:p w:rsidR="009D60B7" w:rsidRDefault="00425C09">
      <w:pPr>
        <w:pStyle w:val="Corpodetexto"/>
        <w:ind w:rightChars="59" w:right="130"/>
        <w:jc w:val="center"/>
        <w:rPr>
          <w:rFonts w:ascii="Arial" w:hAnsi="Arial"/>
        </w:rPr>
      </w:pPr>
      <w:r>
        <w:rPr>
          <w:rFonts w:ascii="Arial" w:hAnsi="Arial"/>
          <w:bCs/>
          <w:lang w:val="pt-BR"/>
        </w:rPr>
        <w:t>M</w:t>
      </w:r>
      <w:r>
        <w:rPr>
          <w:rFonts w:ascii="Arial" w:hAnsi="Arial"/>
          <w:bCs/>
        </w:rPr>
        <w:t>AXILENE SOARES CORR</w:t>
      </w:r>
      <w:r w:rsidR="00060C32">
        <w:rPr>
          <w:rFonts w:ascii="Arial" w:hAnsi="Arial"/>
          <w:bCs/>
        </w:rPr>
        <w:t>Ê</w:t>
      </w:r>
      <w:r>
        <w:rPr>
          <w:rFonts w:ascii="Arial" w:hAnsi="Arial"/>
          <w:bCs/>
        </w:rPr>
        <w:t>A</w:t>
      </w:r>
    </w:p>
    <w:p w:rsidR="009D60B7" w:rsidRDefault="00425C09">
      <w:pPr>
        <w:pStyle w:val="Corpodetexto"/>
        <w:tabs>
          <w:tab w:val="left" w:pos="5940"/>
          <w:tab w:val="left" w:pos="6160"/>
          <w:tab w:val="left" w:pos="6521"/>
        </w:tabs>
        <w:spacing w:line="276" w:lineRule="auto"/>
        <w:ind w:leftChars="1030" w:left="2266" w:rightChars="1030" w:right="2266"/>
        <w:jc w:val="center"/>
        <w:rPr>
          <w:rFonts w:ascii="Arial" w:hAnsi="Arial"/>
        </w:rPr>
      </w:pPr>
      <w:r>
        <w:rPr>
          <w:rFonts w:ascii="Arial" w:hAnsi="Arial"/>
        </w:rPr>
        <w:t>MYLENA</w:t>
      </w:r>
      <w:r>
        <w:rPr>
          <w:rFonts w:ascii="Arial" w:hAnsi="Arial"/>
          <w:spacing w:val="-14"/>
        </w:rPr>
        <w:t xml:space="preserve"> </w:t>
      </w:r>
      <w:r>
        <w:rPr>
          <w:rFonts w:ascii="Arial" w:hAnsi="Arial"/>
        </w:rPr>
        <w:t>SEABRA</w:t>
      </w:r>
      <w:r>
        <w:rPr>
          <w:rFonts w:ascii="Arial" w:hAnsi="Arial"/>
          <w:spacing w:val="-14"/>
        </w:rPr>
        <w:t xml:space="preserve"> </w:t>
      </w:r>
      <w:r>
        <w:rPr>
          <w:rFonts w:ascii="Arial" w:hAnsi="Arial"/>
        </w:rPr>
        <w:t>TOSCHI</w:t>
      </w:r>
    </w:p>
    <w:p w:rsidR="009D60B7" w:rsidRDefault="00425C09">
      <w:pPr>
        <w:pStyle w:val="Corpodetexto"/>
        <w:ind w:right="138"/>
        <w:jc w:val="center"/>
        <w:rPr>
          <w:rFonts w:ascii="Arial" w:hAnsi="Arial"/>
        </w:rPr>
      </w:pPr>
      <w:r>
        <w:rPr>
          <w:rFonts w:ascii="Arial" w:hAnsi="Arial" w:cs="Arial"/>
          <w:spacing w:val="-2"/>
        </w:rPr>
        <w:t xml:space="preserve">NAIARA FONSECA DE OLIVEIRA </w:t>
      </w:r>
    </w:p>
    <w:p w:rsidR="009D60B7" w:rsidRDefault="00425C09">
      <w:pPr>
        <w:pStyle w:val="Corpodetexto"/>
        <w:ind w:right="138"/>
        <w:jc w:val="center"/>
        <w:rPr>
          <w:rFonts w:ascii="Arial" w:hAnsi="Arial"/>
        </w:rPr>
      </w:pPr>
      <w:r>
        <w:rPr>
          <w:rFonts w:ascii="Arial" w:hAnsi="Arial" w:cs="Arial"/>
          <w:spacing w:val="-2"/>
        </w:rPr>
        <w:t xml:space="preserve">OSIEL RODRIGUES DOS SANTOS </w:t>
      </w:r>
    </w:p>
    <w:p w:rsidR="009D60B7" w:rsidRDefault="00425C09">
      <w:pPr>
        <w:pStyle w:val="Corpodetexto"/>
        <w:ind w:right="138"/>
        <w:jc w:val="center"/>
        <w:rPr>
          <w:rFonts w:ascii="Arial" w:hAnsi="Arial"/>
        </w:rPr>
      </w:pPr>
      <w:r>
        <w:rPr>
          <w:rFonts w:ascii="Arial" w:eastAsia="ArialMT" w:hAnsi="Arial"/>
          <w:bCs/>
        </w:rPr>
        <w:t>PEDRO LUCAS YWATA</w:t>
      </w:r>
    </w:p>
    <w:p w:rsidR="009D60B7" w:rsidRDefault="00425C09">
      <w:pPr>
        <w:pStyle w:val="Corpodetexto"/>
        <w:ind w:rightChars="59" w:right="130"/>
        <w:jc w:val="center"/>
        <w:rPr>
          <w:rFonts w:ascii="Arial" w:hAnsi="Arial"/>
        </w:rPr>
      </w:pPr>
      <w:r>
        <w:rPr>
          <w:rFonts w:ascii="Arial" w:hAnsi="Arial"/>
        </w:rPr>
        <w:t>PRISCILLA</w:t>
      </w:r>
      <w:r>
        <w:rPr>
          <w:rFonts w:ascii="Arial" w:hAnsi="Arial"/>
          <w:spacing w:val="-2"/>
        </w:rPr>
        <w:t xml:space="preserve"> </w:t>
      </w:r>
      <w:r>
        <w:rPr>
          <w:rFonts w:ascii="Arial" w:hAnsi="Arial"/>
        </w:rPr>
        <w:t>RAÍSA</w:t>
      </w:r>
      <w:r>
        <w:rPr>
          <w:rFonts w:ascii="Arial" w:hAnsi="Arial"/>
          <w:spacing w:val="-2"/>
        </w:rPr>
        <w:t xml:space="preserve"> </w:t>
      </w:r>
      <w:r>
        <w:rPr>
          <w:rFonts w:ascii="Arial" w:hAnsi="Arial"/>
        </w:rPr>
        <w:t>MOTA</w:t>
      </w:r>
      <w:r>
        <w:rPr>
          <w:rFonts w:ascii="Arial" w:hAnsi="Arial"/>
          <w:spacing w:val="-2"/>
        </w:rPr>
        <w:t xml:space="preserve"> </w:t>
      </w:r>
      <w:r>
        <w:rPr>
          <w:rFonts w:ascii="Arial" w:hAnsi="Arial"/>
        </w:rPr>
        <w:t>CAVALCANTI</w:t>
      </w:r>
    </w:p>
    <w:p w:rsidR="009D60B7" w:rsidRDefault="00425C09">
      <w:pPr>
        <w:pStyle w:val="Corpodetexto"/>
        <w:ind w:right="138"/>
        <w:jc w:val="center"/>
        <w:rPr>
          <w:rFonts w:ascii="Arial" w:hAnsi="Arial"/>
        </w:rPr>
      </w:pPr>
      <w:r>
        <w:rPr>
          <w:rFonts w:ascii="Arial" w:hAnsi="Arial" w:cs="Arial"/>
          <w:spacing w:val="-2"/>
        </w:rPr>
        <w:t>RAFAELA PEREIRA DA SILVA</w:t>
      </w:r>
    </w:p>
    <w:p w:rsidR="009D60B7" w:rsidRDefault="00425C09">
      <w:pPr>
        <w:pStyle w:val="Corpodetexto"/>
        <w:ind w:right="138"/>
        <w:jc w:val="center"/>
        <w:rPr>
          <w:rFonts w:ascii="Arial" w:hAnsi="Arial"/>
        </w:rPr>
      </w:pPr>
      <w:r>
        <w:rPr>
          <w:rFonts w:ascii="Arial" w:hAnsi="Arial" w:cs="Arial"/>
          <w:spacing w:val="-2"/>
        </w:rPr>
        <w:t>SAYONARA CARNEIRO KANAIAMA</w:t>
      </w:r>
    </w:p>
    <w:p w:rsidR="009D60B7" w:rsidRDefault="00425C09">
      <w:pPr>
        <w:pStyle w:val="Corpodetexto"/>
        <w:ind w:right="138"/>
        <w:jc w:val="center"/>
        <w:rPr>
          <w:rFonts w:ascii="Arial" w:hAnsi="Arial"/>
        </w:rPr>
      </w:pPr>
      <w:r>
        <w:rPr>
          <w:rFonts w:ascii="Arial" w:hAnsi="Arial" w:cs="Arial"/>
          <w:spacing w:val="-2"/>
        </w:rPr>
        <w:t xml:space="preserve">SÉRGIO GABRIEL SIMÕES FIGUEIREDO </w:t>
      </w:r>
    </w:p>
    <w:p w:rsidR="009D60B7" w:rsidRDefault="00425C09">
      <w:pPr>
        <w:pStyle w:val="Corpodetexto"/>
        <w:ind w:right="138"/>
        <w:jc w:val="center"/>
        <w:rPr>
          <w:rFonts w:ascii="Arial" w:hAnsi="Arial"/>
        </w:rPr>
      </w:pPr>
      <w:r>
        <w:rPr>
          <w:rFonts w:ascii="Arial" w:hAnsi="Arial" w:cs="Arial"/>
          <w:spacing w:val="-2"/>
        </w:rPr>
        <w:t>SIMONE BATISTA MATOS</w:t>
      </w:r>
    </w:p>
    <w:p w:rsidR="009D60B7" w:rsidRDefault="00425C09">
      <w:pPr>
        <w:pStyle w:val="Corpodetexto"/>
        <w:ind w:rightChars="59" w:right="130"/>
        <w:jc w:val="center"/>
        <w:rPr>
          <w:rFonts w:ascii="Arial" w:hAnsi="Arial"/>
        </w:rPr>
      </w:pPr>
      <w:r>
        <w:rPr>
          <w:rFonts w:ascii="Arial" w:eastAsia="Times New Roman" w:hAnsi="Arial"/>
          <w:bCs/>
        </w:rPr>
        <w:t>SIMONE DE FÁTIMA SILVA</w:t>
      </w:r>
    </w:p>
    <w:p w:rsidR="009D60B7" w:rsidRDefault="00425C09">
      <w:pPr>
        <w:pStyle w:val="Corpodetexto"/>
        <w:ind w:right="138"/>
        <w:jc w:val="center"/>
        <w:rPr>
          <w:rFonts w:ascii="Arial" w:hAnsi="Arial"/>
        </w:rPr>
      </w:pPr>
      <w:r>
        <w:rPr>
          <w:rFonts w:ascii="Arial" w:hAnsi="Arial" w:cs="Arial"/>
          <w:spacing w:val="-2"/>
        </w:rPr>
        <w:t xml:space="preserve">THALITA RIBEIRO RODRIGUIES </w:t>
      </w:r>
    </w:p>
    <w:p w:rsidR="009D60B7" w:rsidRDefault="00425C09">
      <w:pPr>
        <w:pStyle w:val="Corpodetexto"/>
        <w:ind w:right="138"/>
        <w:jc w:val="center"/>
        <w:rPr>
          <w:rFonts w:ascii="Arial" w:hAnsi="Arial"/>
        </w:rPr>
      </w:pPr>
      <w:r>
        <w:rPr>
          <w:rFonts w:ascii="Arial" w:hAnsi="Arial" w:cs="Arial"/>
          <w:spacing w:val="-2"/>
        </w:rPr>
        <w:t>THAYSSA PIETRA RAINE LIMA</w:t>
      </w:r>
    </w:p>
    <w:p w:rsidR="009D60B7" w:rsidRDefault="00425C09">
      <w:pPr>
        <w:pStyle w:val="Corpodetexto"/>
        <w:ind w:right="138"/>
        <w:jc w:val="center"/>
        <w:rPr>
          <w:rFonts w:ascii="Arial" w:hAnsi="Arial"/>
        </w:rPr>
      </w:pPr>
      <w:r>
        <w:rPr>
          <w:rFonts w:ascii="Arial" w:hAnsi="Arial" w:cs="Arial"/>
          <w:spacing w:val="-2"/>
        </w:rPr>
        <w:t xml:space="preserve">THIAGO ARAÚJO RODRIGUES </w:t>
      </w:r>
    </w:p>
    <w:p w:rsidR="009D60B7" w:rsidRDefault="00425C09">
      <w:pPr>
        <w:pStyle w:val="Corpodetexto"/>
        <w:ind w:right="138"/>
        <w:jc w:val="center"/>
        <w:rPr>
          <w:rFonts w:ascii="Arial" w:hAnsi="Arial"/>
        </w:rPr>
      </w:pPr>
      <w:r>
        <w:rPr>
          <w:rFonts w:ascii="Arial" w:hAnsi="Arial" w:cs="Arial"/>
          <w:spacing w:val="-2"/>
        </w:rPr>
        <w:t xml:space="preserve">VICTOR GABRIEL LOURENÇO DA SILVA </w:t>
      </w:r>
    </w:p>
    <w:p w:rsidR="009D60B7" w:rsidRDefault="00425C09">
      <w:pPr>
        <w:pStyle w:val="Corpodetexto"/>
        <w:ind w:right="138"/>
        <w:jc w:val="center"/>
        <w:rPr>
          <w:rFonts w:ascii="Arial" w:hAnsi="Arial"/>
        </w:rPr>
      </w:pPr>
      <w:r>
        <w:rPr>
          <w:rFonts w:ascii="Arial" w:hAnsi="Arial" w:cs="Arial"/>
          <w:spacing w:val="-2"/>
        </w:rPr>
        <w:t xml:space="preserve">VICTOR HUGO MARTINS SILVA </w:t>
      </w:r>
    </w:p>
    <w:p w:rsidR="009D60B7" w:rsidRDefault="00425C09">
      <w:pPr>
        <w:pStyle w:val="Ttulo1"/>
        <w:ind w:left="102"/>
        <w:rPr>
          <w:rFonts w:ascii="Arial" w:hAnsi="Arial"/>
          <w:sz w:val="20"/>
          <w:szCs w:val="20"/>
        </w:rPr>
      </w:pPr>
      <w:r>
        <w:rPr>
          <w:rFonts w:ascii="Arial" w:hAnsi="Arial"/>
          <w:sz w:val="20"/>
          <w:szCs w:val="20"/>
        </w:rPr>
        <w:lastRenderedPageBreak/>
        <w:t xml:space="preserve"> </w:t>
      </w:r>
    </w:p>
    <w:p w:rsidR="009D60B7" w:rsidRDefault="00425C09">
      <w:pPr>
        <w:pStyle w:val="Ttulo1"/>
        <w:ind w:left="102"/>
        <w:rPr>
          <w:rFonts w:ascii="Arial" w:hAnsi="Arial"/>
          <w:sz w:val="20"/>
          <w:szCs w:val="20"/>
        </w:rPr>
      </w:pPr>
      <w:r>
        <w:rPr>
          <w:noProof/>
        </w:rPr>
        <mc:AlternateContent>
          <mc:Choice Requires="wps">
            <w:drawing>
              <wp:anchor distT="0" distB="0" distL="0" distR="0" simplePos="0" relativeHeight="251661312" behindDoc="0" locked="0" layoutInCell="0" allowOverlap="1">
                <wp:simplePos x="0" y="0"/>
                <wp:positionH relativeFrom="page">
                  <wp:posOffset>883285</wp:posOffset>
                </wp:positionH>
                <wp:positionV relativeFrom="paragraph">
                  <wp:posOffset>58420</wp:posOffset>
                </wp:positionV>
                <wp:extent cx="5888990" cy="9525"/>
                <wp:effectExtent l="0" t="0" r="0" b="0"/>
                <wp:wrapNone/>
                <wp:docPr id="18" name="Graphic 12"/>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12" o:spid="_x0000_s1026" o:spt="100" style="position:absolute;left:0pt;margin-left:69.55pt;margin-top:4.6pt;height:0.75pt;width:463.7pt;mso-position-horizontal-relative:page;z-index:251659264;mso-width-relative:page;mso-height-relative:page;" fillcolor="#9ABA59" filled="t" stroked="f" coordsize="5888990,9525" o:allowincell="f" o:gfxdata="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F+t&#10;GAvVAAAACQEAAA8AAAAAAAAAAQAgAAAAIgAAAGRycy9kb3ducmV2LnhtbFBLAQIUABQAAAAIAIdO&#10;4kDEZV60XwIAAKgFAAAOAAAAAAAAAAEAIAAAACQBAABkcnMvZTJvRG9jLnhtbFBLBQYAAAAABgAG&#10;AFkBAAD1BQAAAAA=&#10;" path="m5888473,9144l0,9144,0,0,5888473,0,5888473,9144xe">
                <v:fill on="t" focussize="0,0"/>
                <v:stroke on="f" weight="0pt"/>
                <v:imagedata o:title=""/>
                <o:lock v:ext="edit" aspectratio="f"/>
              </v:shape>
            </w:pict>
          </mc:Fallback>
        </mc:AlternateContent>
      </w:r>
      <w:r>
        <w:rPr>
          <w:noProof/>
        </w:rPr>
        <mc:AlternateContent>
          <mc:Choice Requires="wps">
            <w:drawing>
              <wp:anchor distT="0" distB="0" distL="0" distR="0" simplePos="0" relativeHeight="251662336" behindDoc="0" locked="0" layoutInCell="0" allowOverlap="1">
                <wp:simplePos x="0" y="0"/>
                <wp:positionH relativeFrom="page">
                  <wp:posOffset>883285</wp:posOffset>
                </wp:positionH>
                <wp:positionV relativeFrom="paragraph">
                  <wp:posOffset>503555</wp:posOffset>
                </wp:positionV>
                <wp:extent cx="5888990" cy="9525"/>
                <wp:effectExtent l="0" t="0" r="0" b="0"/>
                <wp:wrapNone/>
                <wp:docPr id="19" name="Graphic 13"/>
                <wp:cNvGraphicFramePr/>
                <a:graphic xmlns:a="http://schemas.openxmlformats.org/drawingml/2006/main">
                  <a:graphicData uri="http://schemas.microsoft.com/office/word/2010/wordprocessingShape">
                    <wps:wsp>
                      <wps:cNvSpPr/>
                      <wps:spPr>
                        <a:xfrm>
                          <a:off x="0" y="0"/>
                          <a:ext cx="5888880" cy="9360"/>
                        </a:xfrm>
                        <a:custGeom>
                          <a:avLst/>
                          <a:gdLst>
                            <a:gd name="textAreaLeft" fmla="*/ 0 w 3338640"/>
                            <a:gd name="textAreaRight" fmla="*/ 3339360 w 3338640"/>
                            <a:gd name="textAreaTop" fmla="*/ 0 h 5400"/>
                            <a:gd name="textAreaBottom" fmla="*/ 6120 h 5400"/>
                          </a:gdLst>
                          <a:ahLst/>
                          <a:cxnLst/>
                          <a:rect l="textAreaLeft" t="textAreaTop" r="textAreaRight" b="textAreaBottom"/>
                          <a:pathLst>
                            <a:path w="5888990" h="9525">
                              <a:moveTo>
                                <a:pt x="5888473" y="9144"/>
                              </a:moveTo>
                              <a:lnTo>
                                <a:pt x="0" y="9144"/>
                              </a:lnTo>
                              <a:lnTo>
                                <a:pt x="0" y="0"/>
                              </a:lnTo>
                              <a:lnTo>
                                <a:pt x="5888473" y="0"/>
                              </a:lnTo>
                              <a:lnTo>
                                <a:pt x="5888473" y="9144"/>
                              </a:lnTo>
                              <a:close/>
                            </a:path>
                          </a:pathLst>
                        </a:custGeom>
                        <a:solidFill>
                          <a:srgbClr val="9ABA59"/>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Graphic 13" o:spid="_x0000_s1026" o:spt="100" style="position:absolute;left:0pt;margin-left:69.55pt;margin-top:39.65pt;height:0.75pt;width:463.7pt;mso-position-horizontal-relative:page;z-index:251659264;mso-width-relative:page;mso-height-relative:page;" fillcolor="#9ABA59" filled="t" stroked="f" coordsize="5888990,9525" o:allowincell="f" o:gfxdata="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ja9FDXAAAACgEAAA8AAAAAAAAAAQAgAAAAIgAAAGRycy9kb3ducmV2LnhtbFBLAQIUABQAAAAI&#10;AIdO4kCB07gOYAIAAKgFAAAOAAAAAAAAAAEAIAAAACYBAABkcnMvZTJvRG9jLnhtbFBLBQYAAAAA&#10;BgAGAFkBAAD4BQAAAAA=&#10;" path="m5888473,9144l0,9144,0,0,5888473,0,5888473,9144xe">
                <v:fill on="t" focussize="0,0"/>
                <v:stroke on="f" weight="0pt"/>
                <v:imagedata o:title=""/>
                <o:lock v:ext="edit" aspectratio="f"/>
              </v:shape>
            </w:pict>
          </mc:Fallback>
        </mc:AlternateContent>
      </w:r>
      <w:r>
        <w:rPr>
          <w:noProof/>
        </w:rPr>
        <mc:AlternateContent>
          <mc:Choice Requires="wps">
            <w:drawing>
              <wp:anchor distT="0" distB="0" distL="0" distR="0" simplePos="0" relativeHeight="251663360" behindDoc="0" locked="0" layoutInCell="0" allowOverlap="1">
                <wp:simplePos x="0" y="0"/>
                <wp:positionH relativeFrom="page">
                  <wp:posOffset>6979920</wp:posOffset>
                </wp:positionH>
                <wp:positionV relativeFrom="page">
                  <wp:posOffset>9104630</wp:posOffset>
                </wp:positionV>
                <wp:extent cx="352425" cy="565785"/>
                <wp:effectExtent l="0" t="0" r="0" b="0"/>
                <wp:wrapNone/>
                <wp:docPr id="20" name="Textbox 14"/>
                <wp:cNvGraphicFramePr/>
                <a:graphic xmlns:a="http://schemas.openxmlformats.org/drawingml/2006/main">
                  <a:graphicData uri="http://schemas.microsoft.com/office/word/2010/wordprocessingShape">
                    <wps:wsp>
                      <wps:cNvSpPr/>
                      <wps:spPr>
                        <a:xfrm>
                          <a:off x="0" y="0"/>
                          <a:ext cx="352440" cy="5659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4</w:t>
                            </w:r>
                          </w:p>
                        </w:txbxContent>
                      </wps:txbx>
                      <wps:bodyPr vert="vert270" lIns="0" tIns="0" rIns="0" bIns="0" anchor="t">
                        <a:noAutofit/>
                      </wps:bodyPr>
                    </wps:wsp>
                  </a:graphicData>
                </a:graphic>
              </wp:anchor>
            </w:drawing>
          </mc:Choice>
          <mc:Fallback>
            <w:pict>
              <v:rect id="Textbox 14" o:spid="_x0000_s1029" style="position:absolute;left:0;text-align:left;margin-left:549.6pt;margin-top:716.9pt;width:27.75pt;height:44.5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" o:allowincell="f" filled="f" stroked="f" strokeweight="0">
                <v:textbox style="layout-flow:vertical;mso-layout-flow-alt:bottom-to-top" inset="0,0,0,0">
                  <w:txbxContent>
                    <w:p w:rsidR="00C052DD" w:rsidRDefault="00C052DD">
                      <w:pPr>
                        <w:pStyle w:val="Contedodoquadrouser"/>
                        <w:spacing w:before="19"/>
                        <w:ind w:left="20"/>
                        <w:rPr>
                          <w:rFonts w:ascii="Cambria" w:hAnsi="Cambria"/>
                          <w:sz w:val="44"/>
                        </w:rPr>
                      </w:pPr>
                      <w:r>
                        <w:rPr>
                          <w:rFonts w:ascii="Cambria" w:hAnsi="Cambria"/>
                          <w:color w:val="000000"/>
                          <w:spacing w:val="-2"/>
                          <w:sz w:val="21"/>
                        </w:rPr>
                        <w:t>Página</w:t>
                      </w:r>
                      <w:r>
                        <w:rPr>
                          <w:rFonts w:ascii="Cambria" w:hAnsi="Cambria"/>
                          <w:color w:val="000000"/>
                          <w:spacing w:val="-2"/>
                          <w:sz w:val="44"/>
                        </w:rPr>
                        <w:t>4</w:t>
                      </w:r>
                    </w:p>
                  </w:txbxContent>
                </v:textbox>
                <w10:wrap anchorx="page" anchory="page"/>
              </v:rect>
            </w:pict>
          </mc:Fallback>
        </mc:AlternateContent>
      </w:r>
      <w:r>
        <w:rPr>
          <w:rFonts w:ascii="Arial" w:hAnsi="Arial"/>
          <w:color w:val="1F497C"/>
          <w:spacing w:val="23"/>
          <w:sz w:val="20"/>
          <w:szCs w:val="20"/>
        </w:rPr>
        <w:t>SUMÁRIO</w:t>
      </w:r>
    </w:p>
    <w:p w:rsidR="009D60B7" w:rsidRDefault="009D60B7">
      <w:pPr>
        <w:pStyle w:val="Corpodetexto"/>
        <w:rPr>
          <w:rFonts w:ascii="Arial" w:hAnsi="Arial"/>
        </w:rPr>
      </w:pPr>
    </w:p>
    <w:p w:rsidR="009D60B7" w:rsidRDefault="009D60B7">
      <w:pPr>
        <w:pStyle w:val="Corpodetexto"/>
        <w:spacing w:before="41"/>
        <w:rPr>
          <w:rFonts w:ascii="Arial" w:hAnsi="Arial"/>
          <w:lang w:val="pt-BR"/>
        </w:rPr>
      </w:pPr>
    </w:p>
    <w:p w:rsidR="009D60B7" w:rsidRDefault="009D60B7">
      <w:pPr>
        <w:pStyle w:val="Ttulo1"/>
        <w:spacing w:before="60"/>
        <w:ind w:leftChars="44" w:left="197" w:hangingChars="50" w:hanging="100"/>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 INVISIBILIDADE DA VIOLÊNCIA OBSTÉTRICA NO</w:t>
      </w:r>
      <w:r>
        <w:rPr>
          <w:rFonts w:ascii="Arial" w:eastAsia="Arial-BoldMT" w:hAnsi="Arial"/>
          <w:bCs/>
          <w:sz w:val="20"/>
          <w:szCs w:val="20"/>
          <w:lang w:val="pt-BR"/>
        </w:rPr>
        <w:t xml:space="preserve"> </w:t>
      </w:r>
      <w:r>
        <w:rPr>
          <w:rFonts w:ascii="Arial" w:eastAsia="Arial-BoldMT" w:hAnsi="Arial"/>
          <w:bCs/>
          <w:sz w:val="20"/>
          <w:szCs w:val="20"/>
        </w:rPr>
        <w:t>ORDENAMENTO JURÍDICO PENAL BRASILEIRO: DESAFIOS DA</w:t>
      </w:r>
      <w:r>
        <w:rPr>
          <w:rFonts w:ascii="Arial" w:eastAsia="Arial-BoldMT" w:hAnsi="Arial"/>
          <w:bCs/>
          <w:sz w:val="20"/>
          <w:szCs w:val="20"/>
          <w:lang w:val="pt-BR"/>
        </w:rPr>
        <w:t xml:space="preserve"> </w:t>
      </w:r>
      <w:r>
        <w:rPr>
          <w:rFonts w:ascii="Arial" w:eastAsia="Arial-BoldMT" w:hAnsi="Arial"/>
          <w:bCs/>
          <w:sz w:val="20"/>
          <w:szCs w:val="20"/>
        </w:rPr>
        <w:t>TIPIFICAÇÃO E PROVA.</w:t>
      </w:r>
    </w:p>
    <w:p w:rsidR="009D60B7" w:rsidRDefault="00425C09">
      <w:pPr>
        <w:pStyle w:val="Corpodetexto"/>
        <w:ind w:right="250"/>
        <w:jc w:val="both"/>
        <w:rPr>
          <w:rFonts w:ascii="Arial" w:hAnsi="Arial"/>
        </w:rPr>
      </w:pPr>
      <w:r>
        <w:rPr>
          <w:rFonts w:ascii="Arial" w:eastAsia="ArialMT" w:hAnsi="Arial"/>
          <w:bCs/>
        </w:rPr>
        <w:t xml:space="preserve">Gabriel </w:t>
      </w:r>
      <w:r>
        <w:rPr>
          <w:rFonts w:ascii="Arial" w:eastAsia="ArialMT" w:hAnsi="Arial"/>
          <w:bCs/>
          <w:lang w:val="pt-BR"/>
        </w:rPr>
        <w:t>F</w:t>
      </w:r>
      <w:r>
        <w:rPr>
          <w:rFonts w:ascii="Arial" w:eastAsia="ArialMT" w:hAnsi="Arial"/>
          <w:bCs/>
        </w:rPr>
        <w:t xml:space="preserve">lorêncio </w:t>
      </w:r>
      <w:r>
        <w:rPr>
          <w:rFonts w:ascii="Arial" w:eastAsia="ArialMT" w:hAnsi="Arial"/>
          <w:bCs/>
          <w:lang w:val="pt-BR"/>
        </w:rPr>
        <w:t>R</w:t>
      </w:r>
      <w:r>
        <w:rPr>
          <w:rFonts w:ascii="Arial" w:eastAsia="ArialMT" w:hAnsi="Arial"/>
          <w:bCs/>
        </w:rPr>
        <w:t>odrigues, Maria Eduarda Moreira</w:t>
      </w:r>
      <w:r>
        <w:rPr>
          <w:rFonts w:ascii="Arial" w:eastAsia="ArialMT" w:hAnsi="Arial"/>
          <w:bCs/>
          <w:lang w:val="pt-BR"/>
        </w:rPr>
        <w:t xml:space="preserve"> e</w:t>
      </w:r>
      <w:r>
        <w:rPr>
          <w:rFonts w:ascii="Arial" w:eastAsia="ArialMT" w:hAnsi="Arial"/>
          <w:bCs/>
        </w:rPr>
        <w:t xml:space="preserve"> Cristiane</w:t>
      </w:r>
      <w:r>
        <w:rPr>
          <w:rFonts w:ascii="Arial" w:eastAsia="ArialMT" w:hAnsi="Arial"/>
          <w:bCs/>
          <w:lang w:val="pt-BR"/>
        </w:rPr>
        <w:t xml:space="preserve"> </w:t>
      </w:r>
      <w:r>
        <w:rPr>
          <w:rFonts w:ascii="Arial" w:eastAsia="ArialMT" w:hAnsi="Arial"/>
          <w:bCs/>
        </w:rPr>
        <w:t>Ingrid</w:t>
      </w:r>
      <w:r>
        <w:rPr>
          <w:rFonts w:ascii="Arial" w:eastAsia="ArialMT" w:hAnsi="Arial"/>
          <w:bCs/>
          <w:lang w:val="pt-BR"/>
        </w:rPr>
        <w:t xml:space="preserve"> de Souza Bonfim</w:t>
      </w:r>
    </w:p>
    <w:p w:rsidR="009D60B7" w:rsidRDefault="009D60B7">
      <w:pPr>
        <w:ind w:right="136"/>
        <w:jc w:val="both"/>
        <w:rPr>
          <w:rFonts w:ascii="Arial"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 AFETIVIDADE COMO FUNDAMENTO PARA O</w:t>
      </w:r>
      <w:r>
        <w:rPr>
          <w:rFonts w:ascii="Arial" w:eastAsia="Arial-BoldMT" w:hAnsi="Arial"/>
          <w:bCs/>
          <w:sz w:val="20"/>
          <w:szCs w:val="20"/>
          <w:lang w:val="pt-BR"/>
        </w:rPr>
        <w:t xml:space="preserve"> </w:t>
      </w:r>
      <w:r>
        <w:rPr>
          <w:rFonts w:ascii="Arial" w:eastAsia="Arial-BoldMT" w:hAnsi="Arial"/>
          <w:bCs/>
          <w:sz w:val="20"/>
          <w:szCs w:val="20"/>
        </w:rPr>
        <w:t>RECONHECIMENTO DA MULTIPARENTALIDADE NO</w:t>
      </w:r>
      <w:r>
        <w:rPr>
          <w:rFonts w:ascii="Arial" w:eastAsia="Arial-BoldMT" w:hAnsi="Arial"/>
          <w:bCs/>
          <w:sz w:val="20"/>
          <w:szCs w:val="20"/>
          <w:lang w:val="pt-BR"/>
        </w:rPr>
        <w:t xml:space="preserve"> </w:t>
      </w:r>
      <w:r>
        <w:rPr>
          <w:rFonts w:ascii="Arial" w:eastAsia="Arial-BoldMT" w:hAnsi="Arial"/>
          <w:bCs/>
          <w:sz w:val="20"/>
          <w:szCs w:val="20"/>
        </w:rPr>
        <w:t>DIREITO DE FAMÍLIA</w:t>
      </w:r>
    </w:p>
    <w:p w:rsidR="009D60B7" w:rsidRDefault="00425C09">
      <w:pPr>
        <w:jc w:val="both"/>
        <w:rPr>
          <w:rFonts w:ascii="Arial" w:hAnsi="Arial"/>
          <w:sz w:val="20"/>
          <w:szCs w:val="20"/>
        </w:rPr>
      </w:pPr>
      <w:r>
        <w:rPr>
          <w:rFonts w:ascii="Arial" w:eastAsia="ArialMT" w:hAnsi="Arial"/>
          <w:bCs/>
          <w:sz w:val="20"/>
          <w:szCs w:val="20"/>
        </w:rPr>
        <w:t xml:space="preserve">Eduarda </w:t>
      </w:r>
      <w:r>
        <w:rPr>
          <w:rFonts w:ascii="Arial" w:eastAsia="ArialMT" w:hAnsi="Arial"/>
          <w:bCs/>
          <w:sz w:val="20"/>
          <w:szCs w:val="20"/>
          <w:lang w:val="pt-BR"/>
        </w:rPr>
        <w:t>C</w:t>
      </w:r>
      <w:r>
        <w:rPr>
          <w:rFonts w:ascii="Arial" w:eastAsia="ArialMT" w:hAnsi="Arial"/>
          <w:bCs/>
          <w:sz w:val="20"/>
          <w:szCs w:val="20"/>
        </w:rPr>
        <w:t xml:space="preserve">ristina de </w:t>
      </w:r>
      <w:r>
        <w:rPr>
          <w:rFonts w:ascii="Arial" w:eastAsia="ArialMT" w:hAnsi="Arial"/>
          <w:bCs/>
          <w:sz w:val="20"/>
          <w:szCs w:val="20"/>
          <w:lang w:val="pt-BR"/>
        </w:rPr>
        <w:t>S</w:t>
      </w:r>
      <w:r>
        <w:rPr>
          <w:rFonts w:ascii="Arial" w:eastAsia="ArialMT" w:hAnsi="Arial"/>
          <w:bCs/>
          <w:sz w:val="20"/>
          <w:szCs w:val="20"/>
        </w:rPr>
        <w:t xml:space="preserve">ouza </w:t>
      </w:r>
      <w:r>
        <w:rPr>
          <w:rFonts w:ascii="Arial" w:eastAsia="ArialMT" w:hAnsi="Arial"/>
          <w:bCs/>
          <w:sz w:val="20"/>
          <w:szCs w:val="20"/>
          <w:lang w:val="pt-BR"/>
        </w:rPr>
        <w:t>A</w:t>
      </w:r>
      <w:r>
        <w:rPr>
          <w:rFonts w:ascii="Arial" w:eastAsia="ArialMT" w:hAnsi="Arial"/>
          <w:bCs/>
          <w:sz w:val="20"/>
          <w:szCs w:val="20"/>
        </w:rPr>
        <w:t>guiar, Karine Rodrigues</w:t>
      </w:r>
      <w:r>
        <w:rPr>
          <w:rFonts w:ascii="Arial" w:eastAsia="ArialMT" w:hAnsi="Arial"/>
          <w:bCs/>
          <w:sz w:val="20"/>
          <w:szCs w:val="20"/>
          <w:lang w:val="pt-BR"/>
        </w:rPr>
        <w:t xml:space="preserve"> de Oliveira e</w:t>
      </w:r>
      <w:r>
        <w:rPr>
          <w:rFonts w:ascii="Arial" w:eastAsia="ArialMT" w:hAnsi="Arial"/>
          <w:bCs/>
          <w:sz w:val="20"/>
          <w:szCs w:val="20"/>
        </w:rPr>
        <w:t xml:space="preserve"> César</w:t>
      </w:r>
      <w:r>
        <w:rPr>
          <w:rFonts w:ascii="Arial" w:eastAsia="ArialMT" w:hAnsi="Arial"/>
          <w:bCs/>
          <w:sz w:val="20"/>
          <w:szCs w:val="20"/>
          <w:lang w:val="pt-BR"/>
        </w:rPr>
        <w:t xml:space="preserve"> </w:t>
      </w:r>
      <w:r>
        <w:rPr>
          <w:rFonts w:ascii="Arial" w:eastAsia="ArialMT" w:hAnsi="Arial"/>
          <w:bCs/>
          <w:sz w:val="20"/>
          <w:szCs w:val="20"/>
        </w:rPr>
        <w:t>Gratão</w:t>
      </w:r>
      <w:r>
        <w:rPr>
          <w:rFonts w:ascii="Arial" w:eastAsia="ArialMT" w:hAnsi="Arial"/>
          <w:bCs/>
          <w:sz w:val="20"/>
          <w:szCs w:val="20"/>
          <w:lang w:val="pt-BR"/>
        </w:rPr>
        <w:t xml:space="preserve"> de Oliveira</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 PROTEÇÃO DOS DIREITOS DAS PESSOAS</w:t>
      </w:r>
      <w:r>
        <w:rPr>
          <w:rFonts w:ascii="Arial" w:eastAsia="Arial-BoldMT" w:hAnsi="Arial"/>
          <w:bCs/>
          <w:sz w:val="20"/>
          <w:szCs w:val="20"/>
          <w:lang w:val="pt-BR"/>
        </w:rPr>
        <w:t xml:space="preserve"> </w:t>
      </w:r>
      <w:r>
        <w:rPr>
          <w:rFonts w:ascii="Arial" w:eastAsia="Arial-BoldMT" w:hAnsi="Arial"/>
          <w:bCs/>
          <w:sz w:val="20"/>
          <w:szCs w:val="20"/>
        </w:rPr>
        <w:t>COM TRANSTORNO DO ESPECTRO AUTISTA DIANTE</w:t>
      </w:r>
      <w:r>
        <w:rPr>
          <w:rFonts w:ascii="Arial" w:eastAsia="Arial-BoldMT" w:hAnsi="Arial"/>
          <w:bCs/>
          <w:sz w:val="20"/>
          <w:szCs w:val="20"/>
          <w:lang w:val="pt-BR"/>
        </w:rPr>
        <w:t xml:space="preserve"> </w:t>
      </w:r>
      <w:r>
        <w:rPr>
          <w:rFonts w:ascii="Arial" w:eastAsia="Arial-BoldMT" w:hAnsi="Arial"/>
          <w:bCs/>
          <w:sz w:val="20"/>
          <w:szCs w:val="20"/>
        </w:rPr>
        <w:t>DAS</w:t>
      </w:r>
      <w:r>
        <w:rPr>
          <w:rFonts w:ascii="Arial" w:eastAsia="Arial-BoldMT" w:hAnsi="Arial"/>
          <w:bCs/>
          <w:sz w:val="20"/>
          <w:szCs w:val="20"/>
          <w:lang w:val="pt-BR"/>
        </w:rPr>
        <w:t xml:space="preserve"> </w:t>
      </w:r>
      <w:r>
        <w:rPr>
          <w:rFonts w:ascii="Arial" w:eastAsia="Arial-BoldMT" w:hAnsi="Arial"/>
          <w:bCs/>
          <w:sz w:val="20"/>
          <w:szCs w:val="20"/>
        </w:rPr>
        <w:t>BARREIRAS IMPOSTAS AO USO DE CÃES DE</w:t>
      </w:r>
      <w:r>
        <w:rPr>
          <w:rFonts w:ascii="Arial" w:eastAsia="Arial-BoldMT" w:hAnsi="Arial"/>
          <w:bCs/>
          <w:sz w:val="20"/>
          <w:szCs w:val="20"/>
          <w:lang w:val="pt-BR"/>
        </w:rPr>
        <w:t xml:space="preserve"> </w:t>
      </w:r>
      <w:r>
        <w:rPr>
          <w:rFonts w:ascii="Arial" w:eastAsia="Arial-BoldMT" w:hAnsi="Arial"/>
          <w:bCs/>
          <w:sz w:val="20"/>
          <w:szCs w:val="20"/>
        </w:rPr>
        <w:t>APOIO EMOCIONAL.</w:t>
      </w:r>
    </w:p>
    <w:p w:rsidR="009D60B7" w:rsidRDefault="00425C09">
      <w:pPr>
        <w:ind w:right="136"/>
        <w:jc w:val="both"/>
        <w:rPr>
          <w:rFonts w:ascii="Arial" w:hAnsi="Arial"/>
          <w:sz w:val="20"/>
          <w:szCs w:val="20"/>
        </w:rPr>
      </w:pPr>
      <w:r>
        <w:rPr>
          <w:rFonts w:ascii="Arial" w:eastAsia="ArialMT" w:hAnsi="Arial"/>
          <w:bCs/>
          <w:sz w:val="20"/>
          <w:szCs w:val="20"/>
        </w:rPr>
        <w:t>Márcio Silânio Borges Júnior, Kaique Valeriano</w:t>
      </w:r>
      <w:r>
        <w:rPr>
          <w:rFonts w:ascii="Arial" w:eastAsia="ArialMT" w:hAnsi="Arial"/>
          <w:bCs/>
          <w:sz w:val="20"/>
          <w:szCs w:val="20"/>
          <w:lang w:val="pt-BR"/>
        </w:rPr>
        <w:t xml:space="preserve"> </w:t>
      </w:r>
      <w:r w:rsidR="007349E7">
        <w:rPr>
          <w:rFonts w:ascii="Arial" w:eastAsia="ArialMT" w:hAnsi="Arial"/>
          <w:bCs/>
          <w:sz w:val="20"/>
          <w:szCs w:val="20"/>
          <w:lang w:val="pt-BR"/>
        </w:rPr>
        <w:t xml:space="preserve">de </w:t>
      </w:r>
      <w:r w:rsidR="00CA6BE8">
        <w:rPr>
          <w:rFonts w:ascii="Arial" w:eastAsia="ArialMT" w:hAnsi="Arial"/>
          <w:bCs/>
          <w:sz w:val="20"/>
          <w:szCs w:val="20"/>
          <w:lang w:val="pt-BR"/>
        </w:rPr>
        <w:t xml:space="preserve">Barros </w:t>
      </w:r>
      <w:r>
        <w:rPr>
          <w:rFonts w:ascii="Arial" w:eastAsia="ArialMT" w:hAnsi="Arial"/>
          <w:bCs/>
          <w:sz w:val="20"/>
          <w:szCs w:val="20"/>
          <w:lang w:val="pt-BR"/>
        </w:rPr>
        <w:t>e</w:t>
      </w:r>
      <w:r>
        <w:rPr>
          <w:rFonts w:ascii="Arial" w:eastAsia="ArialMT" w:hAnsi="Arial"/>
          <w:bCs/>
          <w:sz w:val="20"/>
          <w:szCs w:val="20"/>
        </w:rPr>
        <w:t xml:space="preserve"> Simone </w:t>
      </w:r>
      <w:r>
        <w:rPr>
          <w:rFonts w:ascii="Arial" w:eastAsia="ArialMT" w:hAnsi="Arial"/>
          <w:bCs/>
          <w:sz w:val="20"/>
          <w:szCs w:val="20"/>
          <w:lang w:val="pt-BR"/>
        </w:rPr>
        <w:t xml:space="preserve">de Fátima </w:t>
      </w:r>
      <w:r>
        <w:rPr>
          <w:rFonts w:ascii="Arial" w:eastAsia="ArialMT" w:hAnsi="Arial"/>
          <w:bCs/>
          <w:sz w:val="20"/>
          <w:szCs w:val="20"/>
        </w:rPr>
        <w:t>Silva</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APOSENTADORIA ESPECIAL: A</w:t>
      </w:r>
      <w:r>
        <w:rPr>
          <w:rFonts w:ascii="Arial" w:eastAsia="Arial-BoldMT" w:hAnsi="Arial"/>
          <w:bCs/>
          <w:sz w:val="20"/>
          <w:szCs w:val="20"/>
          <w:lang w:val="pt-BR"/>
        </w:rPr>
        <w:t xml:space="preserve"> </w:t>
      </w:r>
      <w:r>
        <w:rPr>
          <w:rFonts w:ascii="Arial" w:eastAsia="Arial-BoldMT" w:hAnsi="Arial"/>
          <w:bCs/>
          <w:sz w:val="20"/>
          <w:szCs w:val="20"/>
        </w:rPr>
        <w:t>IMPOSSIBILIDADE DE CONVERSÃO DO TEMPO</w:t>
      </w:r>
      <w:r>
        <w:rPr>
          <w:rFonts w:ascii="Arial" w:eastAsia="Arial-BoldMT" w:hAnsi="Arial"/>
          <w:bCs/>
          <w:sz w:val="20"/>
          <w:szCs w:val="20"/>
          <w:lang w:val="pt-BR"/>
        </w:rPr>
        <w:t xml:space="preserve"> </w:t>
      </w:r>
      <w:r>
        <w:rPr>
          <w:rFonts w:ascii="Arial" w:eastAsia="Arial-BoldMT" w:hAnsi="Arial"/>
          <w:bCs/>
          <w:sz w:val="20"/>
          <w:szCs w:val="20"/>
        </w:rPr>
        <w:t>ESPECIAL EM COMUM APÓS A EMENDA</w:t>
      </w:r>
      <w:r>
        <w:rPr>
          <w:rFonts w:ascii="Arial" w:eastAsia="Arial-BoldMT" w:hAnsi="Arial"/>
          <w:bCs/>
          <w:sz w:val="20"/>
          <w:szCs w:val="20"/>
          <w:lang w:val="pt-BR"/>
        </w:rPr>
        <w:t xml:space="preserve"> </w:t>
      </w:r>
      <w:r>
        <w:rPr>
          <w:rFonts w:ascii="Arial" w:eastAsia="Arial-BoldMT" w:hAnsi="Arial"/>
          <w:bCs/>
          <w:sz w:val="20"/>
          <w:szCs w:val="20"/>
        </w:rPr>
        <w:t>CONSTITUCIONAL 103/2019</w:t>
      </w:r>
    </w:p>
    <w:p w:rsidR="009D60B7" w:rsidRDefault="00425C09">
      <w:pPr>
        <w:jc w:val="both"/>
        <w:rPr>
          <w:rFonts w:ascii="Arial" w:hAnsi="Arial"/>
          <w:sz w:val="20"/>
          <w:szCs w:val="20"/>
        </w:rPr>
      </w:pPr>
      <w:r>
        <w:rPr>
          <w:rFonts w:ascii="Arial" w:eastAsia="ArialMT" w:hAnsi="Arial"/>
          <w:bCs/>
          <w:sz w:val="20"/>
          <w:szCs w:val="20"/>
        </w:rPr>
        <w:t xml:space="preserve">Ana </w:t>
      </w:r>
      <w:r w:rsidR="00CA6BE8">
        <w:rPr>
          <w:rFonts w:ascii="Arial" w:eastAsia="ArialMT" w:hAnsi="Arial"/>
          <w:bCs/>
          <w:sz w:val="20"/>
          <w:szCs w:val="20"/>
        </w:rPr>
        <w:t>V</w:t>
      </w:r>
      <w:r>
        <w:rPr>
          <w:rFonts w:ascii="Arial" w:eastAsia="ArialMT" w:hAnsi="Arial"/>
          <w:bCs/>
          <w:sz w:val="20"/>
          <w:szCs w:val="20"/>
        </w:rPr>
        <w:t>itória Carvalho Moreira, Carolina Pinheiro Andrade</w:t>
      </w:r>
      <w:r>
        <w:rPr>
          <w:rFonts w:ascii="Arial" w:eastAsia="ArialMT" w:hAnsi="Arial"/>
          <w:bCs/>
          <w:sz w:val="20"/>
          <w:szCs w:val="20"/>
          <w:lang w:val="pt-BR"/>
        </w:rPr>
        <w:t xml:space="preserve"> e </w:t>
      </w:r>
      <w:r>
        <w:rPr>
          <w:rFonts w:ascii="Arial" w:eastAsia="ArialMT" w:hAnsi="Arial"/>
          <w:bCs/>
          <w:sz w:val="20"/>
          <w:szCs w:val="20"/>
        </w:rPr>
        <w:t xml:space="preserve">Priscilla </w:t>
      </w:r>
      <w:r>
        <w:rPr>
          <w:rFonts w:ascii="Arial" w:eastAsia="ArialMT" w:hAnsi="Arial"/>
          <w:bCs/>
          <w:sz w:val="20"/>
          <w:szCs w:val="20"/>
          <w:lang w:val="pt-BR"/>
        </w:rPr>
        <w:t xml:space="preserve">Raísa Mota </w:t>
      </w:r>
      <w:r>
        <w:rPr>
          <w:rFonts w:ascii="Arial" w:eastAsia="ArialMT" w:hAnsi="Arial"/>
          <w:bCs/>
          <w:sz w:val="20"/>
          <w:szCs w:val="20"/>
        </w:rPr>
        <w:t>Cavalcant</w:t>
      </w:r>
      <w:r>
        <w:rPr>
          <w:rFonts w:ascii="Arial" w:eastAsia="ArialMT" w:hAnsi="Arial"/>
          <w:bCs/>
          <w:sz w:val="20"/>
          <w:szCs w:val="20"/>
          <w:lang w:val="pt-BR"/>
        </w:rPr>
        <w:t xml:space="preserve">i </w:t>
      </w:r>
    </w:p>
    <w:p w:rsidR="009D60B7" w:rsidRDefault="009D60B7">
      <w:pPr>
        <w:ind w:right="136"/>
        <w:jc w:val="both"/>
        <w:rPr>
          <w:rFonts w:ascii="Arial" w:eastAsia="ArialMT" w:hAnsi="Arial"/>
          <w:b/>
          <w:sz w:val="20"/>
          <w:szCs w:val="20"/>
        </w:rPr>
      </w:pPr>
    </w:p>
    <w:p w:rsidR="009D60B7" w:rsidRDefault="00425C09">
      <w:pPr>
        <w:jc w:val="both"/>
        <w:rPr>
          <w:rFonts w:ascii="Arial" w:hAnsi="Arial"/>
          <w:sz w:val="20"/>
          <w:szCs w:val="20"/>
        </w:rPr>
      </w:pPr>
      <w:r>
        <w:rPr>
          <w:rFonts w:ascii="Arial" w:eastAsia="Arial-BoldMT" w:hAnsi="Arial"/>
          <w:bCs/>
          <w:sz w:val="20"/>
          <w:szCs w:val="20"/>
        </w:rPr>
        <w:t>A EFETIVIDADE DOS DIREITOS DAS PESSOAS</w:t>
      </w:r>
      <w:r>
        <w:rPr>
          <w:rFonts w:ascii="Arial" w:eastAsia="Arial-BoldMT" w:hAnsi="Arial"/>
          <w:bCs/>
          <w:sz w:val="20"/>
          <w:szCs w:val="20"/>
          <w:lang w:val="pt-BR"/>
        </w:rPr>
        <w:t xml:space="preserve"> </w:t>
      </w:r>
      <w:r>
        <w:rPr>
          <w:rFonts w:ascii="Arial" w:eastAsia="Arial-BoldMT" w:hAnsi="Arial"/>
          <w:bCs/>
          <w:sz w:val="20"/>
          <w:szCs w:val="20"/>
        </w:rPr>
        <w:t>COM DEFICIÊNCIA NO SISTEMA EDUCACIONAL</w:t>
      </w:r>
      <w:r>
        <w:rPr>
          <w:rFonts w:ascii="Arial" w:eastAsia="Arial-BoldMT" w:hAnsi="Arial"/>
          <w:bCs/>
          <w:sz w:val="20"/>
          <w:szCs w:val="20"/>
          <w:lang w:val="pt-BR"/>
        </w:rPr>
        <w:t xml:space="preserve"> </w:t>
      </w:r>
      <w:r>
        <w:rPr>
          <w:rFonts w:ascii="Arial" w:eastAsia="Arial-BoldMT" w:hAnsi="Arial"/>
          <w:bCs/>
          <w:sz w:val="20"/>
          <w:szCs w:val="20"/>
        </w:rPr>
        <w:t>BRASILEIRO: AVANÇOS E DESAFIOS NA INCLUSÃO</w:t>
      </w:r>
      <w:r>
        <w:rPr>
          <w:rFonts w:ascii="Arial" w:eastAsia="Arial-BoldMT" w:hAnsi="Arial"/>
          <w:bCs/>
          <w:sz w:val="20"/>
          <w:szCs w:val="20"/>
          <w:lang w:val="pt-BR"/>
        </w:rPr>
        <w:t xml:space="preserve"> </w:t>
      </w:r>
      <w:r>
        <w:rPr>
          <w:rFonts w:ascii="Arial" w:eastAsia="Arial-BoldMT" w:hAnsi="Arial"/>
          <w:bCs/>
          <w:sz w:val="20"/>
          <w:szCs w:val="20"/>
        </w:rPr>
        <w:t>DOS ESTUDANTES COM DEFICIÊNCIA</w:t>
      </w:r>
    </w:p>
    <w:p w:rsidR="009D60B7" w:rsidRDefault="00425C09">
      <w:pPr>
        <w:jc w:val="both"/>
        <w:rPr>
          <w:rFonts w:ascii="Arial" w:hAnsi="Arial"/>
          <w:sz w:val="20"/>
          <w:szCs w:val="20"/>
        </w:rPr>
      </w:pPr>
      <w:r>
        <w:rPr>
          <w:rFonts w:ascii="Arial" w:eastAsia="ArialMT" w:hAnsi="Arial"/>
          <w:bCs/>
          <w:sz w:val="20"/>
          <w:szCs w:val="20"/>
        </w:rPr>
        <w:t>V</w:t>
      </w:r>
      <w:r>
        <w:rPr>
          <w:rFonts w:ascii="Arial" w:eastAsia="ArialMT" w:hAnsi="Arial"/>
          <w:bCs/>
          <w:sz w:val="20"/>
          <w:szCs w:val="20"/>
          <w:lang w:val="pt-BR"/>
        </w:rPr>
        <w:t xml:space="preserve">ictor Hugo Martins  Silva, </w:t>
      </w:r>
      <w:r>
        <w:rPr>
          <w:rFonts w:ascii="Arial" w:eastAsia="ArialMT" w:hAnsi="Arial"/>
          <w:bCs/>
          <w:sz w:val="20"/>
          <w:szCs w:val="20"/>
        </w:rPr>
        <w:t>Helienay Fernandes</w:t>
      </w:r>
      <w:r>
        <w:rPr>
          <w:rFonts w:ascii="Arial" w:eastAsia="ArialMT" w:hAnsi="Arial"/>
          <w:bCs/>
          <w:sz w:val="20"/>
          <w:szCs w:val="20"/>
          <w:lang w:val="pt-BR"/>
        </w:rPr>
        <w:t xml:space="preserve"> </w:t>
      </w:r>
      <w:r w:rsidR="00CA6BE8">
        <w:rPr>
          <w:rFonts w:ascii="Arial" w:eastAsia="ArialMT" w:hAnsi="Arial"/>
          <w:bCs/>
          <w:sz w:val="20"/>
          <w:szCs w:val="20"/>
          <w:lang w:val="pt-BR"/>
        </w:rPr>
        <w:t xml:space="preserve">Oliveira </w:t>
      </w:r>
      <w:r>
        <w:rPr>
          <w:rFonts w:ascii="Arial" w:eastAsia="ArialMT" w:hAnsi="Arial"/>
          <w:bCs/>
          <w:sz w:val="20"/>
          <w:szCs w:val="20"/>
          <w:lang w:val="pt-BR"/>
        </w:rPr>
        <w:t xml:space="preserve">e </w:t>
      </w:r>
      <w:r>
        <w:rPr>
          <w:rFonts w:ascii="Arial" w:eastAsia="ArialMT" w:hAnsi="Arial"/>
          <w:bCs/>
          <w:sz w:val="20"/>
          <w:szCs w:val="20"/>
        </w:rPr>
        <w:t>Bruna Felipe de Araujo</w:t>
      </w:r>
      <w:r>
        <w:rPr>
          <w:rFonts w:ascii="Arial" w:eastAsia="ArialMT" w:hAnsi="Arial"/>
          <w:bCs/>
          <w:sz w:val="20"/>
          <w:szCs w:val="20"/>
          <w:lang w:val="pt-BR"/>
        </w:rPr>
        <w:t xml:space="preserve"> </w:t>
      </w:r>
      <w:r>
        <w:rPr>
          <w:rFonts w:ascii="Arial" w:eastAsia="ArialMT" w:hAnsi="Arial"/>
          <w:bCs/>
          <w:sz w:val="20"/>
          <w:szCs w:val="20"/>
        </w:rPr>
        <w:t>Oliveira</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 CENTRALIDADE DA VÍTIMA NO PROCESSO</w:t>
      </w:r>
      <w:r>
        <w:rPr>
          <w:rFonts w:ascii="Arial" w:eastAsia="Arial-BoldMT" w:hAnsi="Arial"/>
          <w:bCs/>
          <w:sz w:val="20"/>
          <w:szCs w:val="20"/>
          <w:lang w:val="pt-BR"/>
        </w:rPr>
        <w:t xml:space="preserve"> </w:t>
      </w:r>
      <w:r>
        <w:rPr>
          <w:rFonts w:ascii="Arial" w:eastAsia="Arial-BoldMT" w:hAnsi="Arial"/>
          <w:bCs/>
          <w:sz w:val="20"/>
          <w:szCs w:val="20"/>
        </w:rPr>
        <w:t>PENAL BRASILEIRO: A JUSTIÇA RESTAURATIVA</w:t>
      </w:r>
      <w:r>
        <w:rPr>
          <w:rFonts w:ascii="Arial" w:eastAsia="Arial-BoldMT" w:hAnsi="Arial"/>
          <w:bCs/>
          <w:sz w:val="20"/>
          <w:szCs w:val="20"/>
          <w:lang w:val="pt-BR"/>
        </w:rPr>
        <w:t xml:space="preserve"> </w:t>
      </w:r>
      <w:r>
        <w:rPr>
          <w:rFonts w:ascii="Arial" w:eastAsia="Arial-BoldMT" w:hAnsi="Arial"/>
          <w:bCs/>
          <w:sz w:val="20"/>
          <w:szCs w:val="20"/>
        </w:rPr>
        <w:t>COMO INSTRUMENTO DE EFETIVAÇÃO DE DIREITOS</w:t>
      </w:r>
    </w:p>
    <w:p w:rsidR="009D60B7" w:rsidRDefault="00425C09">
      <w:pPr>
        <w:jc w:val="both"/>
        <w:rPr>
          <w:rFonts w:ascii="Arial" w:hAnsi="Arial"/>
          <w:sz w:val="20"/>
          <w:szCs w:val="20"/>
        </w:rPr>
      </w:pPr>
      <w:r>
        <w:rPr>
          <w:rFonts w:ascii="Arial" w:eastAsia="ArialMT" w:hAnsi="Arial"/>
          <w:bCs/>
          <w:sz w:val="20"/>
          <w:szCs w:val="20"/>
        </w:rPr>
        <w:t xml:space="preserve">Thayssa Pietra Raine Lima, </w:t>
      </w:r>
      <w:r>
        <w:rPr>
          <w:rFonts w:ascii="Arial" w:eastAsia="ArialMT" w:hAnsi="Arial"/>
          <w:bCs/>
          <w:sz w:val="20"/>
          <w:szCs w:val="20"/>
          <w:lang w:val="pt-BR"/>
        </w:rPr>
        <w:t>B</w:t>
      </w:r>
      <w:r>
        <w:rPr>
          <w:rFonts w:ascii="Arial" w:eastAsia="ArialMT" w:hAnsi="Arial"/>
          <w:bCs/>
          <w:sz w:val="20"/>
          <w:szCs w:val="20"/>
        </w:rPr>
        <w:t xml:space="preserve">runa </w:t>
      </w:r>
      <w:r>
        <w:rPr>
          <w:rFonts w:ascii="Arial" w:eastAsia="ArialMT" w:hAnsi="Arial"/>
          <w:bCs/>
          <w:sz w:val="20"/>
          <w:szCs w:val="20"/>
          <w:lang w:val="pt-BR"/>
        </w:rPr>
        <w:t>V</w:t>
      </w:r>
      <w:r>
        <w:rPr>
          <w:rFonts w:ascii="Arial" w:eastAsia="ArialMT" w:hAnsi="Arial"/>
          <w:bCs/>
          <w:sz w:val="20"/>
          <w:szCs w:val="20"/>
        </w:rPr>
        <w:t xml:space="preserve">itória da </w:t>
      </w:r>
      <w:r>
        <w:rPr>
          <w:rFonts w:ascii="Arial" w:eastAsia="ArialMT" w:hAnsi="Arial"/>
          <w:bCs/>
          <w:sz w:val="20"/>
          <w:szCs w:val="20"/>
          <w:lang w:val="pt-BR"/>
        </w:rPr>
        <w:t>S</w:t>
      </w:r>
      <w:r>
        <w:rPr>
          <w:rFonts w:ascii="Arial" w:eastAsia="ArialMT" w:hAnsi="Arial"/>
          <w:bCs/>
          <w:sz w:val="20"/>
          <w:szCs w:val="20"/>
        </w:rPr>
        <w:t xml:space="preserve">ilva </w:t>
      </w:r>
      <w:r>
        <w:rPr>
          <w:rFonts w:ascii="Arial" w:eastAsia="ArialMT" w:hAnsi="Arial"/>
          <w:bCs/>
          <w:sz w:val="20"/>
          <w:szCs w:val="20"/>
          <w:lang w:val="pt-BR"/>
        </w:rPr>
        <w:t>L</w:t>
      </w:r>
      <w:r>
        <w:rPr>
          <w:rFonts w:ascii="Arial" w:eastAsia="ArialMT" w:hAnsi="Arial"/>
          <w:bCs/>
          <w:sz w:val="20"/>
          <w:szCs w:val="20"/>
        </w:rPr>
        <w:t>opes, Gabriel</w:t>
      </w:r>
      <w:r>
        <w:rPr>
          <w:rFonts w:ascii="Arial" w:eastAsia="ArialMT" w:hAnsi="Arial"/>
          <w:bCs/>
          <w:sz w:val="20"/>
          <w:szCs w:val="20"/>
          <w:lang w:val="pt-BR"/>
        </w:rPr>
        <w:t xml:space="preserve"> </w:t>
      </w:r>
      <w:r>
        <w:rPr>
          <w:rFonts w:ascii="Arial" w:eastAsia="ArialMT" w:hAnsi="Arial"/>
          <w:bCs/>
          <w:sz w:val="20"/>
          <w:szCs w:val="20"/>
        </w:rPr>
        <w:t>de Castro Borges Reis</w:t>
      </w:r>
      <w:r>
        <w:rPr>
          <w:rFonts w:ascii="Arial" w:eastAsia="ArialMT" w:hAnsi="Arial"/>
          <w:bCs/>
          <w:sz w:val="20"/>
          <w:szCs w:val="20"/>
          <w:lang w:val="pt-BR"/>
        </w:rPr>
        <w:t xml:space="preserve"> e </w:t>
      </w:r>
      <w:r>
        <w:rPr>
          <w:rFonts w:ascii="Arial" w:eastAsia="ArialMT" w:hAnsi="Arial"/>
          <w:bCs/>
          <w:sz w:val="20"/>
          <w:szCs w:val="20"/>
        </w:rPr>
        <w:t>Cristiane</w:t>
      </w:r>
      <w:r>
        <w:rPr>
          <w:rFonts w:ascii="Arial" w:eastAsia="ArialMT" w:hAnsi="Arial"/>
          <w:bCs/>
          <w:sz w:val="20"/>
          <w:szCs w:val="20"/>
          <w:lang w:val="pt-BR"/>
        </w:rPr>
        <w:t xml:space="preserve"> </w:t>
      </w:r>
      <w:r>
        <w:rPr>
          <w:rFonts w:ascii="Arial" w:eastAsia="ArialMT" w:hAnsi="Arial"/>
          <w:bCs/>
          <w:sz w:val="20"/>
          <w:szCs w:val="20"/>
        </w:rPr>
        <w:t>Ingrid</w:t>
      </w:r>
      <w:r>
        <w:rPr>
          <w:rFonts w:ascii="Arial" w:eastAsia="ArialMT" w:hAnsi="Arial"/>
          <w:bCs/>
          <w:sz w:val="20"/>
          <w:szCs w:val="20"/>
          <w:lang w:val="pt-BR"/>
        </w:rPr>
        <w:t xml:space="preserve"> de Souza Bonfim</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 (IM)POSSIBILIDADE DA PRISÃO PREVENTIVA</w:t>
      </w:r>
      <w:r>
        <w:rPr>
          <w:rFonts w:ascii="Arial" w:eastAsia="Arial-BoldMT" w:hAnsi="Arial"/>
          <w:bCs/>
          <w:sz w:val="20"/>
          <w:szCs w:val="20"/>
          <w:lang w:val="pt-BR"/>
        </w:rPr>
        <w:t xml:space="preserve"> </w:t>
      </w:r>
      <w:r>
        <w:rPr>
          <w:rFonts w:ascii="Arial" w:eastAsia="Arial-BoldMT" w:hAnsi="Arial"/>
          <w:bCs/>
          <w:sz w:val="20"/>
          <w:szCs w:val="20"/>
        </w:rPr>
        <w:t>DE OFÍCIO NO ÂMBITO DA LEI MARIA DA PENHA APÓS</w:t>
      </w:r>
      <w:r>
        <w:rPr>
          <w:rFonts w:ascii="Arial" w:eastAsia="Arial-BoldMT" w:hAnsi="Arial"/>
          <w:bCs/>
          <w:sz w:val="20"/>
          <w:szCs w:val="20"/>
          <w:lang w:val="pt-BR"/>
        </w:rPr>
        <w:t xml:space="preserve"> </w:t>
      </w:r>
      <w:r>
        <w:rPr>
          <w:rFonts w:ascii="Arial" w:eastAsia="Arial-BoldMT" w:hAnsi="Arial"/>
          <w:bCs/>
          <w:sz w:val="20"/>
          <w:szCs w:val="20"/>
        </w:rPr>
        <w:t>O PACOTE ANTICRIME</w:t>
      </w:r>
    </w:p>
    <w:p w:rsidR="009D60B7" w:rsidRDefault="00425C09">
      <w:pPr>
        <w:ind w:right="142"/>
        <w:jc w:val="both"/>
        <w:rPr>
          <w:rFonts w:ascii="Arial" w:hAnsi="Arial"/>
          <w:sz w:val="20"/>
          <w:szCs w:val="20"/>
          <w:lang w:val="pt-BR"/>
        </w:rPr>
      </w:pPr>
      <w:r>
        <w:rPr>
          <w:rFonts w:ascii="Arial" w:eastAsia="ArialMT" w:hAnsi="Arial"/>
          <w:bCs/>
          <w:sz w:val="20"/>
          <w:szCs w:val="20"/>
        </w:rPr>
        <w:t>Maria Roseana da Silva Soares</w:t>
      </w:r>
      <w:r>
        <w:rPr>
          <w:rFonts w:ascii="Arial" w:eastAsia="ArialMT" w:hAnsi="Arial"/>
          <w:bCs/>
          <w:sz w:val="20"/>
          <w:szCs w:val="20"/>
          <w:lang w:val="pt-BR"/>
        </w:rPr>
        <w:t xml:space="preserve"> e </w:t>
      </w:r>
      <w:r>
        <w:rPr>
          <w:rFonts w:ascii="Arial" w:hAnsi="Arial" w:cs="Arial"/>
          <w:sz w:val="20"/>
          <w:szCs w:val="20"/>
        </w:rPr>
        <w:t>Ma</w:t>
      </w:r>
      <w:r>
        <w:rPr>
          <w:rFonts w:ascii="Arial" w:hAnsi="Arial" w:cs="Arial"/>
          <w:sz w:val="20"/>
          <w:szCs w:val="20"/>
          <w:lang w:val="pt-BR"/>
        </w:rPr>
        <w:t>xilene</w:t>
      </w:r>
      <w:r>
        <w:rPr>
          <w:rFonts w:ascii="Arial" w:hAnsi="Arial" w:cs="Arial"/>
          <w:sz w:val="20"/>
          <w:szCs w:val="20"/>
        </w:rPr>
        <w:t xml:space="preserve"> </w:t>
      </w:r>
      <w:r>
        <w:rPr>
          <w:rFonts w:ascii="Arial" w:hAnsi="Arial" w:cs="Arial"/>
          <w:sz w:val="20"/>
          <w:szCs w:val="20"/>
          <w:lang w:val="pt-BR"/>
        </w:rPr>
        <w:t>Soares Correa</w:t>
      </w:r>
    </w:p>
    <w:p w:rsidR="009D60B7" w:rsidRDefault="009D60B7">
      <w:pPr>
        <w:ind w:right="136"/>
        <w:jc w:val="both"/>
        <w:rPr>
          <w:rFonts w:ascii="Arial" w:hAnsi="Arial"/>
          <w:sz w:val="20"/>
          <w:szCs w:val="20"/>
        </w:rPr>
      </w:pP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ALIENAÇÃO PARENTAL NO DIREITO DE FAMÍLIA:</w:t>
      </w:r>
      <w:r>
        <w:rPr>
          <w:rFonts w:ascii="Arial" w:eastAsia="Arial-BoldMT" w:hAnsi="Arial"/>
          <w:bCs/>
          <w:sz w:val="20"/>
          <w:szCs w:val="20"/>
          <w:lang w:val="pt-BR"/>
        </w:rPr>
        <w:t xml:space="preserve"> </w:t>
      </w:r>
      <w:r>
        <w:rPr>
          <w:rFonts w:ascii="Arial" w:eastAsia="Arial-BoldMT" w:hAnsi="Arial"/>
          <w:bCs/>
          <w:sz w:val="20"/>
          <w:szCs w:val="20"/>
        </w:rPr>
        <w:t>ANÁLISE DOS EFEITOS JURÍDICOS E DA INTERVENÇÃO DO</w:t>
      </w:r>
      <w:r>
        <w:rPr>
          <w:rFonts w:ascii="Arial" w:eastAsia="Arial-BoldMT" w:hAnsi="Arial"/>
          <w:bCs/>
          <w:sz w:val="20"/>
          <w:szCs w:val="20"/>
          <w:lang w:val="pt-BR"/>
        </w:rPr>
        <w:t xml:space="preserve"> </w:t>
      </w:r>
      <w:r>
        <w:rPr>
          <w:rFonts w:ascii="Arial" w:eastAsia="Arial-BoldMT" w:hAnsi="Arial"/>
          <w:bCs/>
          <w:sz w:val="20"/>
          <w:szCs w:val="20"/>
        </w:rPr>
        <w:t>PODER JUDICIÁRIO</w:t>
      </w:r>
    </w:p>
    <w:p w:rsidR="009D60B7" w:rsidRDefault="00425C09">
      <w:pPr>
        <w:ind w:right="136"/>
        <w:jc w:val="both"/>
        <w:rPr>
          <w:rFonts w:ascii="Arial" w:hAnsi="Arial"/>
          <w:sz w:val="20"/>
          <w:szCs w:val="20"/>
        </w:rPr>
      </w:pPr>
      <w:r>
        <w:rPr>
          <w:rFonts w:ascii="Arial" w:eastAsia="ArialMT" w:hAnsi="Arial"/>
          <w:bCs/>
          <w:sz w:val="20"/>
          <w:szCs w:val="20"/>
        </w:rPr>
        <w:t>Camilly Victoria Cabral Fenato, Thalita Ribeiro Rodrigues</w:t>
      </w:r>
      <w:r>
        <w:rPr>
          <w:rFonts w:ascii="Arial" w:eastAsia="ArialMT" w:hAnsi="Arial"/>
          <w:bCs/>
          <w:sz w:val="20"/>
          <w:szCs w:val="20"/>
          <w:lang w:val="pt-BR"/>
        </w:rPr>
        <w:t xml:space="preserve"> e Simone de Fátima Silva</w:t>
      </w:r>
    </w:p>
    <w:p w:rsidR="009D60B7" w:rsidRDefault="009D60B7">
      <w:pPr>
        <w:ind w:right="136"/>
        <w:jc w:val="both"/>
        <w:rPr>
          <w:rFonts w:ascii="Arial" w:hAnsi="Arial"/>
          <w:sz w:val="20"/>
          <w:szCs w:val="20"/>
        </w:rPr>
      </w:pPr>
    </w:p>
    <w:p w:rsidR="009D60B7" w:rsidRDefault="009D60B7">
      <w:pPr>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DIREITO À APOSENTADORIA RURAL:</w:t>
      </w:r>
      <w:r>
        <w:rPr>
          <w:rFonts w:ascii="Arial" w:eastAsia="Arial-BoldMT" w:hAnsi="Arial"/>
          <w:bCs/>
          <w:sz w:val="20"/>
          <w:szCs w:val="20"/>
          <w:lang w:val="pt-BR"/>
        </w:rPr>
        <w:t xml:space="preserve"> </w:t>
      </w:r>
      <w:r>
        <w:rPr>
          <w:rFonts w:ascii="Arial" w:eastAsia="Arial-BoldMT" w:hAnsi="Arial"/>
          <w:bCs/>
          <w:sz w:val="20"/>
          <w:szCs w:val="20"/>
        </w:rPr>
        <w:t>DESAFIOS JURÍDICOS E A INSEGURANÇA GERADA</w:t>
      </w:r>
      <w:r>
        <w:rPr>
          <w:rFonts w:ascii="Arial" w:eastAsia="Arial-BoldMT" w:hAnsi="Arial"/>
          <w:bCs/>
          <w:sz w:val="20"/>
          <w:szCs w:val="20"/>
          <w:lang w:val="pt-BR"/>
        </w:rPr>
        <w:t xml:space="preserve"> </w:t>
      </w:r>
      <w:r>
        <w:rPr>
          <w:rFonts w:ascii="Arial" w:eastAsia="Arial-BoldMT" w:hAnsi="Arial"/>
          <w:bCs/>
          <w:sz w:val="20"/>
          <w:szCs w:val="20"/>
        </w:rPr>
        <w:t>PELA INFORMALIDADE NAS RELAÇÕES DE</w:t>
      </w:r>
      <w:r>
        <w:rPr>
          <w:rFonts w:ascii="Arial" w:eastAsia="Arial-BoldMT" w:hAnsi="Arial"/>
          <w:bCs/>
          <w:sz w:val="20"/>
          <w:szCs w:val="20"/>
          <w:lang w:val="pt-BR"/>
        </w:rPr>
        <w:t xml:space="preserve"> </w:t>
      </w:r>
      <w:r>
        <w:rPr>
          <w:rFonts w:ascii="Arial" w:eastAsia="Arial-BoldMT" w:hAnsi="Arial"/>
          <w:bCs/>
          <w:sz w:val="20"/>
          <w:szCs w:val="20"/>
        </w:rPr>
        <w:t>TRABALHO NO CAMPO.</w:t>
      </w:r>
    </w:p>
    <w:p w:rsidR="009D60B7" w:rsidRDefault="00425C09">
      <w:pPr>
        <w:jc w:val="both"/>
        <w:rPr>
          <w:rFonts w:ascii="Arial" w:hAnsi="Arial"/>
          <w:sz w:val="20"/>
          <w:szCs w:val="20"/>
          <w:lang w:val="pt-BR"/>
        </w:rPr>
      </w:pPr>
      <w:r>
        <w:rPr>
          <w:rFonts w:ascii="Arial" w:eastAsia="ArialMT" w:hAnsi="Arial"/>
          <w:bCs/>
          <w:sz w:val="20"/>
          <w:szCs w:val="20"/>
        </w:rPr>
        <w:t>Naiara Fonseca de Oliveira, Jakellyne Marques Ribeiro</w:t>
      </w:r>
      <w:r>
        <w:rPr>
          <w:rFonts w:ascii="Arial" w:eastAsia="ArialMT" w:hAnsi="Arial"/>
          <w:bCs/>
          <w:sz w:val="20"/>
          <w:szCs w:val="20"/>
          <w:lang w:val="pt-BR"/>
        </w:rPr>
        <w:t xml:space="preserve"> e</w:t>
      </w:r>
      <w:r>
        <w:rPr>
          <w:rFonts w:ascii="Arial" w:eastAsia="ArialMT" w:hAnsi="Arial"/>
          <w:bCs/>
          <w:sz w:val="20"/>
          <w:szCs w:val="20"/>
        </w:rPr>
        <w:t xml:space="preserve"> Helder</w:t>
      </w:r>
      <w:r>
        <w:rPr>
          <w:rFonts w:ascii="Arial" w:eastAsia="ArialMT" w:hAnsi="Arial"/>
          <w:bCs/>
          <w:sz w:val="20"/>
          <w:szCs w:val="20"/>
          <w:lang w:val="pt-BR"/>
        </w:rPr>
        <w:t xml:space="preserve"> </w:t>
      </w:r>
      <w:r>
        <w:rPr>
          <w:rFonts w:ascii="Arial" w:eastAsia="ArialMT" w:hAnsi="Arial"/>
          <w:bCs/>
          <w:sz w:val="20"/>
          <w:szCs w:val="20"/>
        </w:rPr>
        <w:t>Lincoln Calaça</w:t>
      </w:r>
      <w:r>
        <w:rPr>
          <w:rFonts w:ascii="Arial" w:eastAsia="ArialMT" w:hAnsi="Arial"/>
          <w:bCs/>
          <w:sz w:val="20"/>
          <w:szCs w:val="20"/>
          <w:lang w:val="pt-BR"/>
        </w:rPr>
        <w:t>.</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DIREITOS DAS PESSOAS COM DEFICIÊNCIA E</w:t>
      </w:r>
      <w:r>
        <w:rPr>
          <w:rFonts w:ascii="Arial" w:eastAsia="Arial-BoldMT" w:hAnsi="Arial"/>
          <w:bCs/>
          <w:sz w:val="20"/>
          <w:szCs w:val="20"/>
          <w:lang w:val="pt-BR"/>
        </w:rPr>
        <w:t xml:space="preserve"> </w:t>
      </w:r>
      <w:r>
        <w:rPr>
          <w:rFonts w:ascii="Arial" w:eastAsia="Arial-BoldMT" w:hAnsi="Arial"/>
          <w:bCs/>
          <w:sz w:val="20"/>
          <w:szCs w:val="20"/>
        </w:rPr>
        <w:t>ACESSIBILIDADE URBANA EM ANÁPOLIS/GO:</w:t>
      </w:r>
      <w:r>
        <w:rPr>
          <w:rFonts w:ascii="Arial" w:eastAsia="Arial-BoldMT" w:hAnsi="Arial"/>
          <w:bCs/>
          <w:sz w:val="20"/>
          <w:szCs w:val="20"/>
          <w:lang w:val="pt-BR"/>
        </w:rPr>
        <w:t xml:space="preserve"> </w:t>
      </w:r>
      <w:r>
        <w:rPr>
          <w:rFonts w:ascii="Arial" w:eastAsia="Arial-BoldMT" w:hAnsi="Arial"/>
          <w:bCs/>
          <w:sz w:val="20"/>
          <w:szCs w:val="20"/>
        </w:rPr>
        <w:t>DESAFIOS E PERSPECTIVAS</w:t>
      </w:r>
    </w:p>
    <w:p w:rsidR="009D60B7" w:rsidRDefault="00425C09">
      <w:pPr>
        <w:jc w:val="both"/>
        <w:rPr>
          <w:rFonts w:ascii="Arial" w:hAnsi="Arial"/>
          <w:sz w:val="20"/>
          <w:szCs w:val="20"/>
        </w:rPr>
      </w:pPr>
      <w:r>
        <w:rPr>
          <w:rFonts w:ascii="Arial" w:eastAsia="ArialMT" w:hAnsi="Arial"/>
          <w:bCs/>
          <w:sz w:val="20"/>
          <w:szCs w:val="20"/>
        </w:rPr>
        <w:t xml:space="preserve">Thiago Araujo Rodrigues, Janaina Alves </w:t>
      </w:r>
      <w:r>
        <w:rPr>
          <w:rFonts w:ascii="Arial" w:eastAsia="ArialMT" w:hAnsi="Arial"/>
          <w:bCs/>
          <w:sz w:val="20"/>
          <w:szCs w:val="20"/>
          <w:lang w:val="pt-BR"/>
        </w:rPr>
        <w:t>d</w:t>
      </w:r>
      <w:r>
        <w:rPr>
          <w:rFonts w:ascii="Arial" w:eastAsia="ArialMT" w:hAnsi="Arial"/>
          <w:bCs/>
          <w:sz w:val="20"/>
          <w:szCs w:val="20"/>
        </w:rPr>
        <w:t>e Lisboa Almeida</w:t>
      </w:r>
      <w:r>
        <w:rPr>
          <w:rFonts w:ascii="Arial" w:eastAsia="ArialMT" w:hAnsi="Arial"/>
          <w:bCs/>
          <w:sz w:val="20"/>
          <w:szCs w:val="20"/>
          <w:lang w:val="pt-BR"/>
        </w:rPr>
        <w:t xml:space="preserve"> e </w:t>
      </w:r>
      <w:r>
        <w:rPr>
          <w:rFonts w:ascii="Arial" w:eastAsia="ArialMT" w:hAnsi="Arial"/>
          <w:bCs/>
          <w:sz w:val="20"/>
          <w:szCs w:val="20"/>
        </w:rPr>
        <w:t>Bruna Felipe de Araujo Oliveira</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ENTRE A JUSTIÇA E O PROCESSO: A</w:t>
      </w:r>
      <w:r>
        <w:rPr>
          <w:rFonts w:ascii="Arial" w:eastAsia="Arial-BoldMT" w:hAnsi="Arial"/>
          <w:bCs/>
          <w:sz w:val="20"/>
          <w:szCs w:val="20"/>
          <w:lang w:val="pt-BR"/>
        </w:rPr>
        <w:t xml:space="preserve"> </w:t>
      </w:r>
      <w:r>
        <w:rPr>
          <w:rFonts w:ascii="Arial" w:eastAsia="Arial-BoldMT" w:hAnsi="Arial"/>
          <w:bCs/>
          <w:sz w:val="20"/>
          <w:szCs w:val="20"/>
        </w:rPr>
        <w:t>PERFORMATIVIDADE ESTADO-GÊNERO NOS</w:t>
      </w:r>
      <w:r>
        <w:rPr>
          <w:rFonts w:ascii="Arial" w:eastAsia="Arial-BoldMT" w:hAnsi="Arial"/>
          <w:bCs/>
          <w:sz w:val="20"/>
          <w:szCs w:val="20"/>
          <w:lang w:val="pt-BR"/>
        </w:rPr>
        <w:t xml:space="preserve"> </w:t>
      </w:r>
      <w:r>
        <w:rPr>
          <w:rFonts w:ascii="Arial" w:eastAsia="Arial-BoldMT" w:hAnsi="Arial"/>
          <w:bCs/>
          <w:sz w:val="20"/>
          <w:szCs w:val="20"/>
        </w:rPr>
        <w:t>PROCESSOS DE FEMINICÍDIO</w:t>
      </w:r>
    </w:p>
    <w:p w:rsidR="009D60B7" w:rsidRDefault="00425C09">
      <w:pPr>
        <w:jc w:val="both"/>
        <w:rPr>
          <w:rFonts w:ascii="Arial" w:hAnsi="Arial"/>
          <w:sz w:val="20"/>
          <w:szCs w:val="20"/>
        </w:rPr>
      </w:pPr>
      <w:r>
        <w:rPr>
          <w:rFonts w:ascii="Arial" w:eastAsia="ArialMT" w:hAnsi="Arial"/>
          <w:bCs/>
          <w:sz w:val="20"/>
          <w:szCs w:val="20"/>
        </w:rPr>
        <w:t>Simone</w:t>
      </w:r>
      <w:r w:rsidR="00CA6BE8">
        <w:rPr>
          <w:rFonts w:ascii="Arial" w:eastAsia="ArialMT" w:hAnsi="Arial"/>
          <w:bCs/>
          <w:sz w:val="20"/>
          <w:szCs w:val="20"/>
        </w:rPr>
        <w:t xml:space="preserve"> Batista</w:t>
      </w:r>
      <w:r>
        <w:rPr>
          <w:rFonts w:ascii="Arial" w:eastAsia="ArialMT" w:hAnsi="Arial"/>
          <w:bCs/>
          <w:sz w:val="20"/>
          <w:szCs w:val="20"/>
        </w:rPr>
        <w:t xml:space="preserve"> Matos, Amanda Gabriela Santos Giraldes</w:t>
      </w:r>
      <w:r>
        <w:rPr>
          <w:rFonts w:ascii="Arial" w:eastAsia="ArialMT" w:hAnsi="Arial"/>
          <w:bCs/>
          <w:sz w:val="20"/>
          <w:szCs w:val="20"/>
          <w:lang w:val="pt-BR"/>
        </w:rPr>
        <w:t xml:space="preserve"> e</w:t>
      </w:r>
      <w:r>
        <w:rPr>
          <w:rFonts w:ascii="Arial" w:eastAsia="ArialMT" w:hAnsi="Arial"/>
          <w:bCs/>
          <w:sz w:val="20"/>
          <w:szCs w:val="20"/>
        </w:rPr>
        <w:t xml:space="preserve"> Cristiane</w:t>
      </w:r>
      <w:r>
        <w:rPr>
          <w:rFonts w:ascii="Arial" w:eastAsia="ArialMT" w:hAnsi="Arial"/>
          <w:bCs/>
          <w:sz w:val="20"/>
          <w:szCs w:val="20"/>
          <w:lang w:val="pt-BR"/>
        </w:rPr>
        <w:t xml:space="preserve"> </w:t>
      </w:r>
      <w:r>
        <w:rPr>
          <w:rFonts w:ascii="Arial" w:eastAsia="ArialMT" w:hAnsi="Arial"/>
          <w:bCs/>
          <w:sz w:val="20"/>
          <w:szCs w:val="20"/>
        </w:rPr>
        <w:t>Ingrid</w:t>
      </w:r>
      <w:r>
        <w:rPr>
          <w:rFonts w:ascii="Arial" w:eastAsia="ArialMT" w:hAnsi="Arial"/>
          <w:bCs/>
          <w:sz w:val="20"/>
          <w:szCs w:val="20"/>
          <w:lang w:val="pt-BR"/>
        </w:rPr>
        <w:t xml:space="preserve"> de Souza Bonfim</w:t>
      </w:r>
    </w:p>
    <w:p w:rsidR="009D60B7" w:rsidRDefault="009D60B7">
      <w:pPr>
        <w:jc w:val="both"/>
        <w:rPr>
          <w:rFonts w:ascii="Arial" w:eastAsia="ArialMT" w:hAnsi="Arial"/>
          <w:bCs/>
          <w:sz w:val="20"/>
          <w:szCs w:val="20"/>
          <w:lang w:val="pt-BR"/>
        </w:rPr>
      </w:pPr>
    </w:p>
    <w:p w:rsidR="009D60B7" w:rsidRDefault="00425C09">
      <w:pPr>
        <w:jc w:val="both"/>
        <w:rPr>
          <w:rFonts w:ascii="Arial" w:hAnsi="Arial"/>
          <w:sz w:val="20"/>
          <w:szCs w:val="20"/>
        </w:rPr>
      </w:pPr>
      <w:r>
        <w:rPr>
          <w:rFonts w:ascii="Arial" w:eastAsia="Arial-BoldMT" w:hAnsi="Arial"/>
          <w:bCs/>
          <w:sz w:val="20"/>
          <w:szCs w:val="20"/>
        </w:rPr>
        <w:t>ENTRE LIKES E LUCROS: PLATAFORMAS</w:t>
      </w:r>
      <w:r>
        <w:rPr>
          <w:rFonts w:ascii="Arial" w:eastAsia="Arial-BoldMT" w:hAnsi="Arial"/>
          <w:bCs/>
          <w:sz w:val="20"/>
          <w:szCs w:val="20"/>
          <w:lang w:val="pt-BR"/>
        </w:rPr>
        <w:t xml:space="preserve"> </w:t>
      </w:r>
      <w:r>
        <w:rPr>
          <w:rFonts w:ascii="Arial" w:eastAsia="Arial-BoldMT" w:hAnsi="Arial"/>
          <w:bCs/>
          <w:sz w:val="20"/>
          <w:szCs w:val="20"/>
        </w:rPr>
        <w:t>DIGITAIS E ALGORÍTIMOS NA AMPLIFICAÇÃO DA</w:t>
      </w:r>
      <w:r>
        <w:rPr>
          <w:rFonts w:ascii="Arial" w:eastAsia="Arial-BoldMT" w:hAnsi="Arial"/>
          <w:bCs/>
          <w:sz w:val="20"/>
          <w:szCs w:val="20"/>
          <w:lang w:val="pt-BR"/>
        </w:rPr>
        <w:t xml:space="preserve"> </w:t>
      </w:r>
      <w:r>
        <w:rPr>
          <w:rFonts w:ascii="Arial" w:eastAsia="Arial-BoldMT" w:hAnsi="Arial"/>
          <w:bCs/>
          <w:sz w:val="20"/>
          <w:szCs w:val="20"/>
        </w:rPr>
        <w:t>MISOGINIA E DO ESTUPRO VIRTUAL</w:t>
      </w:r>
    </w:p>
    <w:p w:rsidR="009D60B7" w:rsidRDefault="00425C09">
      <w:pPr>
        <w:ind w:right="136"/>
        <w:jc w:val="both"/>
        <w:rPr>
          <w:rFonts w:ascii="Arial" w:hAnsi="Arial"/>
          <w:sz w:val="20"/>
          <w:szCs w:val="20"/>
        </w:rPr>
      </w:pPr>
      <w:r>
        <w:rPr>
          <w:rFonts w:ascii="Arial" w:eastAsia="ArialMT" w:hAnsi="Arial"/>
          <w:bCs/>
          <w:sz w:val="20"/>
          <w:szCs w:val="20"/>
        </w:rPr>
        <w:t>Isabela Karina de Souza, Amanda Gabrielle Silva Rodrigues</w:t>
      </w:r>
      <w:r>
        <w:rPr>
          <w:rFonts w:ascii="Arial" w:eastAsia="ArialMT" w:hAnsi="Arial"/>
          <w:bCs/>
          <w:sz w:val="20"/>
          <w:szCs w:val="20"/>
          <w:lang w:val="pt-BR"/>
        </w:rPr>
        <w:t xml:space="preserve"> e </w:t>
      </w:r>
      <w:r>
        <w:rPr>
          <w:rFonts w:ascii="Arial" w:eastAsia="ArialMT" w:hAnsi="Arial"/>
          <w:bCs/>
          <w:sz w:val="20"/>
          <w:szCs w:val="20"/>
        </w:rPr>
        <w:t>Cristiane</w:t>
      </w:r>
      <w:r>
        <w:rPr>
          <w:rFonts w:ascii="Arial" w:eastAsia="ArialMT" w:hAnsi="Arial"/>
          <w:bCs/>
          <w:sz w:val="20"/>
          <w:szCs w:val="20"/>
          <w:lang w:val="pt-BR"/>
        </w:rPr>
        <w:t xml:space="preserve"> </w:t>
      </w:r>
      <w:r>
        <w:rPr>
          <w:rFonts w:ascii="Arial" w:eastAsia="ArialMT" w:hAnsi="Arial"/>
          <w:bCs/>
          <w:sz w:val="20"/>
          <w:szCs w:val="20"/>
        </w:rPr>
        <w:t>Ingrid</w:t>
      </w:r>
      <w:r>
        <w:rPr>
          <w:rFonts w:ascii="Arial" w:eastAsia="ArialMT" w:hAnsi="Arial"/>
          <w:bCs/>
          <w:sz w:val="20"/>
          <w:szCs w:val="20"/>
          <w:lang w:val="pt-BR"/>
        </w:rPr>
        <w:t xml:space="preserve"> de Souza Bonfim</w:t>
      </w:r>
    </w:p>
    <w:p w:rsidR="009D60B7" w:rsidRDefault="009D60B7">
      <w:pPr>
        <w:jc w:val="both"/>
        <w:rPr>
          <w:rFonts w:ascii="Arial" w:eastAsia="ArialMT" w:hAnsi="Arial"/>
          <w:bCs/>
          <w:sz w:val="20"/>
          <w:szCs w:val="20"/>
          <w:lang w:val="pt-BR"/>
        </w:rPr>
      </w:pPr>
    </w:p>
    <w:p w:rsidR="009D60B7" w:rsidRDefault="00425C09">
      <w:pPr>
        <w:jc w:val="both"/>
        <w:rPr>
          <w:rFonts w:ascii="Arial" w:hAnsi="Arial"/>
          <w:sz w:val="20"/>
          <w:szCs w:val="20"/>
        </w:rPr>
      </w:pPr>
      <w:r>
        <w:rPr>
          <w:rFonts w:ascii="Arial" w:eastAsia="Arial-BoldMT" w:hAnsi="Arial"/>
          <w:bCs/>
          <w:sz w:val="20"/>
          <w:szCs w:val="20"/>
        </w:rPr>
        <w:t>FILIAÇÃO SOCIOAFETIVA E A</w:t>
      </w:r>
      <w:r>
        <w:rPr>
          <w:rFonts w:ascii="Arial" w:eastAsia="Arial-BoldMT" w:hAnsi="Arial"/>
          <w:bCs/>
          <w:sz w:val="20"/>
          <w:szCs w:val="20"/>
          <w:lang w:val="pt-BR"/>
        </w:rPr>
        <w:t xml:space="preserve"> </w:t>
      </w:r>
      <w:r>
        <w:rPr>
          <w:rFonts w:ascii="Arial" w:eastAsia="Arial-BoldMT" w:hAnsi="Arial"/>
          <w:bCs/>
          <w:sz w:val="20"/>
          <w:szCs w:val="20"/>
        </w:rPr>
        <w:t>MULTIPARENTALIDADE NO DIREITO DE FAMÍLIA</w:t>
      </w:r>
    </w:p>
    <w:p w:rsidR="009D60B7" w:rsidRDefault="00425C09">
      <w:pPr>
        <w:jc w:val="both"/>
        <w:rPr>
          <w:rFonts w:ascii="Arial" w:hAnsi="Arial"/>
          <w:sz w:val="20"/>
          <w:szCs w:val="20"/>
        </w:rPr>
      </w:pPr>
      <w:r>
        <w:rPr>
          <w:rFonts w:ascii="Arial" w:eastAsia="ArialMT" w:hAnsi="Arial"/>
          <w:bCs/>
          <w:sz w:val="20"/>
          <w:szCs w:val="20"/>
        </w:rPr>
        <w:t>Emanuelly Guerres De Aguiar, Laís Karla Abade Silva</w:t>
      </w:r>
      <w:r>
        <w:rPr>
          <w:rFonts w:ascii="Arial" w:eastAsia="ArialMT" w:hAnsi="Arial"/>
          <w:bCs/>
          <w:sz w:val="20"/>
          <w:szCs w:val="20"/>
          <w:lang w:val="pt-BR"/>
        </w:rPr>
        <w:t xml:space="preserve"> e</w:t>
      </w:r>
      <w:r>
        <w:rPr>
          <w:rFonts w:ascii="Arial" w:eastAsia="ArialMT" w:hAnsi="Arial"/>
          <w:bCs/>
          <w:sz w:val="20"/>
          <w:szCs w:val="20"/>
        </w:rPr>
        <w:t xml:space="preserve"> César</w:t>
      </w:r>
      <w:r>
        <w:rPr>
          <w:rFonts w:ascii="Arial" w:eastAsia="ArialMT" w:hAnsi="Arial"/>
          <w:bCs/>
          <w:sz w:val="20"/>
          <w:szCs w:val="20"/>
          <w:lang w:val="pt-BR"/>
        </w:rPr>
        <w:t xml:space="preserve"> </w:t>
      </w:r>
      <w:r>
        <w:rPr>
          <w:rFonts w:ascii="Arial" w:eastAsia="ArialMT" w:hAnsi="Arial"/>
          <w:bCs/>
          <w:sz w:val="20"/>
          <w:szCs w:val="20"/>
        </w:rPr>
        <w:t>Gratão</w:t>
      </w:r>
      <w:r>
        <w:rPr>
          <w:rFonts w:ascii="Arial" w:eastAsia="ArialMT" w:hAnsi="Arial"/>
          <w:bCs/>
          <w:sz w:val="20"/>
          <w:szCs w:val="20"/>
          <w:lang w:val="pt-BR"/>
        </w:rPr>
        <w:t xml:space="preserve"> de Oliveira</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HERANÇA DIGITAL NO BRASIL: DESAFIOS</w:t>
      </w:r>
      <w:r>
        <w:rPr>
          <w:rFonts w:ascii="Arial" w:eastAsia="Arial-BoldMT" w:hAnsi="Arial"/>
          <w:bCs/>
          <w:sz w:val="20"/>
          <w:szCs w:val="20"/>
          <w:lang w:val="pt-BR"/>
        </w:rPr>
        <w:t xml:space="preserve"> </w:t>
      </w:r>
      <w:r>
        <w:rPr>
          <w:rFonts w:ascii="Arial" w:eastAsia="Arial-BoldMT" w:hAnsi="Arial"/>
          <w:bCs/>
          <w:sz w:val="20"/>
          <w:szCs w:val="20"/>
        </w:rPr>
        <w:t>ENTRE O DIREITO SUCESSÓRIO E A PROTEÇÃO DA</w:t>
      </w:r>
      <w:r>
        <w:rPr>
          <w:rFonts w:ascii="Arial" w:eastAsia="Arial-BoldMT" w:hAnsi="Arial"/>
          <w:bCs/>
          <w:sz w:val="20"/>
          <w:szCs w:val="20"/>
          <w:lang w:val="pt-BR"/>
        </w:rPr>
        <w:t xml:space="preserve"> </w:t>
      </w:r>
      <w:r>
        <w:rPr>
          <w:rFonts w:ascii="Arial" w:eastAsia="Arial-BoldMT" w:hAnsi="Arial"/>
          <w:bCs/>
          <w:sz w:val="20"/>
          <w:szCs w:val="20"/>
        </w:rPr>
        <w:t>PERSONALIDADE APÓS A MORTE</w:t>
      </w:r>
    </w:p>
    <w:p w:rsidR="009D60B7" w:rsidRDefault="00425C09">
      <w:pPr>
        <w:jc w:val="both"/>
        <w:rPr>
          <w:rFonts w:ascii="Arial" w:hAnsi="Arial"/>
          <w:sz w:val="20"/>
          <w:szCs w:val="20"/>
        </w:rPr>
      </w:pPr>
      <w:r>
        <w:rPr>
          <w:rFonts w:ascii="Arial" w:eastAsia="ArialMT" w:hAnsi="Arial"/>
          <w:bCs/>
          <w:sz w:val="20"/>
          <w:szCs w:val="20"/>
        </w:rPr>
        <w:t>Sergio Gabriel Simoes Figueiredo, Osie</w:t>
      </w:r>
      <w:r>
        <w:rPr>
          <w:rFonts w:ascii="Arial" w:eastAsia="ArialMT" w:hAnsi="Arial"/>
          <w:bCs/>
          <w:sz w:val="20"/>
          <w:szCs w:val="20"/>
          <w:lang w:val="pt-BR"/>
        </w:rPr>
        <w:t>l</w:t>
      </w:r>
      <w:r>
        <w:rPr>
          <w:rFonts w:ascii="Arial" w:eastAsia="ArialMT" w:hAnsi="Arial"/>
          <w:bCs/>
          <w:sz w:val="20"/>
          <w:szCs w:val="20"/>
        </w:rPr>
        <w:t xml:space="preserve"> Rodrigues</w:t>
      </w:r>
      <w:r>
        <w:rPr>
          <w:rFonts w:ascii="Arial" w:eastAsia="ArialMT" w:hAnsi="Arial"/>
          <w:bCs/>
          <w:sz w:val="20"/>
          <w:szCs w:val="20"/>
          <w:lang w:val="pt-BR"/>
        </w:rPr>
        <w:t xml:space="preserve"> </w:t>
      </w:r>
      <w:r>
        <w:rPr>
          <w:rFonts w:ascii="Arial" w:eastAsia="ArialMT" w:hAnsi="Arial"/>
          <w:bCs/>
          <w:sz w:val="20"/>
          <w:szCs w:val="20"/>
        </w:rPr>
        <w:t>Dos Santos</w:t>
      </w:r>
      <w:r>
        <w:rPr>
          <w:rFonts w:ascii="Arial" w:eastAsia="ArialMT" w:hAnsi="Arial"/>
          <w:bCs/>
          <w:sz w:val="20"/>
          <w:szCs w:val="20"/>
          <w:lang w:val="pt-BR"/>
        </w:rPr>
        <w:t xml:space="preserve"> e Lucas Santana de Lima</w:t>
      </w:r>
    </w:p>
    <w:p w:rsidR="009D60B7" w:rsidRDefault="009D60B7">
      <w:pPr>
        <w:jc w:val="both"/>
        <w:rPr>
          <w:rFonts w:ascii="Arial" w:hAnsi="Arial"/>
          <w:sz w:val="20"/>
          <w:szCs w:val="20"/>
        </w:rPr>
      </w:pPr>
    </w:p>
    <w:p w:rsidR="009D60B7" w:rsidRDefault="009D60B7">
      <w:pPr>
        <w:jc w:val="both"/>
        <w:rPr>
          <w:rFonts w:ascii="Arial" w:eastAsia="ArialMT" w:hAnsi="Arial"/>
          <w:bCs/>
          <w:sz w:val="20"/>
          <w:szCs w:val="20"/>
          <w:lang w:val="pt-BR"/>
        </w:rPr>
      </w:pPr>
    </w:p>
    <w:p w:rsidR="009D60B7" w:rsidRDefault="00425C09">
      <w:pPr>
        <w:jc w:val="both"/>
        <w:rPr>
          <w:rFonts w:ascii="Arial" w:hAnsi="Arial"/>
          <w:sz w:val="20"/>
          <w:szCs w:val="20"/>
        </w:rPr>
      </w:pPr>
      <w:r>
        <w:rPr>
          <w:rFonts w:ascii="Arial" w:eastAsia="Arial-BoldMT" w:hAnsi="Arial"/>
          <w:bCs/>
          <w:sz w:val="20"/>
          <w:szCs w:val="20"/>
        </w:rPr>
        <w:t>INFLUÊNCIA DA CULTURA PATRIARCAL NA</w:t>
      </w:r>
      <w:r>
        <w:rPr>
          <w:rFonts w:ascii="Arial" w:eastAsia="Arial-BoldMT" w:hAnsi="Arial"/>
          <w:bCs/>
          <w:sz w:val="20"/>
          <w:szCs w:val="20"/>
          <w:lang w:val="pt-BR"/>
        </w:rPr>
        <w:t xml:space="preserve"> </w:t>
      </w:r>
      <w:r>
        <w:rPr>
          <w:rFonts w:ascii="Arial" w:eastAsia="Arial-BoldMT" w:hAnsi="Arial"/>
          <w:bCs/>
          <w:sz w:val="20"/>
          <w:szCs w:val="20"/>
        </w:rPr>
        <w:t>CULPABILIZAÇÃO DA VITIMA E SEUS REFLEXOS NA</w:t>
      </w:r>
      <w:r>
        <w:rPr>
          <w:rFonts w:ascii="Arial" w:eastAsia="Arial-BoldMT" w:hAnsi="Arial"/>
          <w:bCs/>
          <w:sz w:val="20"/>
          <w:szCs w:val="20"/>
          <w:lang w:val="pt-BR"/>
        </w:rPr>
        <w:t xml:space="preserve"> </w:t>
      </w:r>
      <w:r>
        <w:rPr>
          <w:rFonts w:ascii="Arial" w:eastAsia="Arial-BoldMT" w:hAnsi="Arial"/>
          <w:bCs/>
          <w:sz w:val="20"/>
          <w:szCs w:val="20"/>
        </w:rPr>
        <w:t>ATUAÇÃO DO SISTEMA PENAL NOS CASOS DE</w:t>
      </w:r>
      <w:r>
        <w:rPr>
          <w:rFonts w:ascii="Arial" w:eastAsia="Arial-BoldMT" w:hAnsi="Arial"/>
          <w:bCs/>
          <w:sz w:val="20"/>
          <w:szCs w:val="20"/>
          <w:lang w:val="pt-BR"/>
        </w:rPr>
        <w:t xml:space="preserve"> </w:t>
      </w:r>
      <w:r>
        <w:rPr>
          <w:rFonts w:ascii="Arial" w:eastAsia="Arial-BoldMT" w:hAnsi="Arial"/>
          <w:bCs/>
          <w:sz w:val="20"/>
          <w:szCs w:val="20"/>
        </w:rPr>
        <w:t>VIOLÊNCIA CONTRA A MULHERNA CENTRO-OESTE</w:t>
      </w:r>
      <w:r>
        <w:rPr>
          <w:rFonts w:ascii="Arial" w:eastAsia="Arial-BoldMT" w:hAnsi="Arial"/>
          <w:bCs/>
          <w:sz w:val="20"/>
          <w:szCs w:val="20"/>
          <w:lang w:val="pt-BR"/>
        </w:rPr>
        <w:t xml:space="preserve"> </w:t>
      </w:r>
      <w:r>
        <w:rPr>
          <w:rFonts w:ascii="Arial" w:eastAsia="Arial-BoldMT" w:hAnsi="Arial"/>
          <w:bCs/>
          <w:sz w:val="20"/>
          <w:szCs w:val="20"/>
        </w:rPr>
        <w:t>BRASILEIRO</w:t>
      </w:r>
    </w:p>
    <w:p w:rsidR="009D60B7" w:rsidRDefault="00425C09">
      <w:pPr>
        <w:jc w:val="both"/>
        <w:rPr>
          <w:rFonts w:ascii="Arial" w:hAnsi="Arial"/>
          <w:sz w:val="20"/>
          <w:szCs w:val="20"/>
        </w:rPr>
      </w:pPr>
      <w:r>
        <w:rPr>
          <w:rFonts w:ascii="Arial" w:eastAsia="ArialMT" w:hAnsi="Arial"/>
          <w:bCs/>
          <w:sz w:val="20"/>
          <w:szCs w:val="20"/>
        </w:rPr>
        <w:t>Anna Clara</w:t>
      </w:r>
      <w:r>
        <w:rPr>
          <w:rFonts w:ascii="Arial" w:eastAsia="ArialMT" w:hAnsi="Arial"/>
          <w:bCs/>
          <w:sz w:val="20"/>
          <w:szCs w:val="20"/>
          <w:lang w:val="pt-BR"/>
        </w:rPr>
        <w:t xml:space="preserve"> Miranda Lopes</w:t>
      </w:r>
      <w:r>
        <w:rPr>
          <w:rFonts w:ascii="Arial" w:eastAsia="ArialMT" w:hAnsi="Arial"/>
          <w:bCs/>
          <w:sz w:val="20"/>
          <w:szCs w:val="20"/>
        </w:rPr>
        <w:t xml:space="preserve">, Jennifer Vitória </w:t>
      </w:r>
      <w:r>
        <w:rPr>
          <w:rFonts w:ascii="Arial" w:eastAsia="ArialMT" w:hAnsi="Arial"/>
          <w:bCs/>
          <w:sz w:val="20"/>
          <w:szCs w:val="20"/>
          <w:lang w:val="pt-BR"/>
        </w:rPr>
        <w:t>d</w:t>
      </w:r>
      <w:r>
        <w:rPr>
          <w:rFonts w:ascii="Arial" w:eastAsia="ArialMT" w:hAnsi="Arial"/>
          <w:bCs/>
          <w:sz w:val="20"/>
          <w:szCs w:val="20"/>
        </w:rPr>
        <w:t>e Sousa Morais, Luís Felipe Viana</w:t>
      </w:r>
      <w:r>
        <w:rPr>
          <w:rFonts w:ascii="Arial" w:eastAsia="ArialMT" w:hAnsi="Arial"/>
          <w:bCs/>
          <w:sz w:val="20"/>
          <w:szCs w:val="20"/>
          <w:lang w:val="pt-BR"/>
        </w:rPr>
        <w:t xml:space="preserve"> </w:t>
      </w:r>
      <w:r>
        <w:rPr>
          <w:rFonts w:ascii="Arial" w:eastAsia="ArialMT" w:hAnsi="Arial"/>
          <w:bCs/>
          <w:sz w:val="20"/>
          <w:szCs w:val="20"/>
        </w:rPr>
        <w:t>Dias, Ana Beatriz Dos Santos Silva</w:t>
      </w:r>
      <w:r>
        <w:rPr>
          <w:rFonts w:ascii="Arial" w:eastAsia="ArialMT" w:hAnsi="Arial"/>
          <w:bCs/>
          <w:sz w:val="20"/>
          <w:szCs w:val="20"/>
          <w:lang w:val="pt-BR"/>
        </w:rPr>
        <w:t xml:space="preserve"> e </w:t>
      </w:r>
      <w:r>
        <w:rPr>
          <w:rFonts w:ascii="Arial" w:eastAsia="ArialMT" w:hAnsi="Arial"/>
          <w:bCs/>
          <w:sz w:val="20"/>
          <w:szCs w:val="20"/>
        </w:rPr>
        <w:t xml:space="preserve"> Cristiane</w:t>
      </w:r>
      <w:r>
        <w:rPr>
          <w:rFonts w:ascii="Arial" w:eastAsia="ArialMT" w:hAnsi="Arial"/>
          <w:bCs/>
          <w:sz w:val="20"/>
          <w:szCs w:val="20"/>
          <w:lang w:val="pt-BR"/>
        </w:rPr>
        <w:t xml:space="preserve"> </w:t>
      </w:r>
      <w:r>
        <w:rPr>
          <w:rFonts w:ascii="Arial" w:eastAsia="ArialMT" w:hAnsi="Arial"/>
          <w:bCs/>
          <w:sz w:val="20"/>
          <w:szCs w:val="20"/>
        </w:rPr>
        <w:t>Ingrid</w:t>
      </w:r>
      <w:r>
        <w:rPr>
          <w:rFonts w:ascii="Arial" w:eastAsia="ArialMT" w:hAnsi="Arial"/>
          <w:bCs/>
          <w:sz w:val="20"/>
          <w:szCs w:val="20"/>
          <w:lang w:val="pt-BR"/>
        </w:rPr>
        <w:t xml:space="preserve"> de Souza Bonfim</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OS PRINCIPAIS DESAFIOS DO LEGISLADOR</w:t>
      </w:r>
      <w:r>
        <w:rPr>
          <w:rFonts w:ascii="Arial" w:eastAsia="Arial-BoldMT" w:hAnsi="Arial"/>
          <w:bCs/>
          <w:sz w:val="20"/>
          <w:szCs w:val="20"/>
          <w:lang w:val="pt-BR"/>
        </w:rPr>
        <w:t xml:space="preserve"> </w:t>
      </w:r>
      <w:r>
        <w:rPr>
          <w:rFonts w:ascii="Arial" w:eastAsia="Arial-BoldMT" w:hAnsi="Arial"/>
          <w:bCs/>
          <w:sz w:val="20"/>
          <w:szCs w:val="20"/>
        </w:rPr>
        <w:t>PARA ALCANÇAR EFICÁCIA SOCIAL DA NORMA</w:t>
      </w:r>
    </w:p>
    <w:p w:rsidR="009D60B7" w:rsidRDefault="00425C09">
      <w:pPr>
        <w:jc w:val="both"/>
        <w:rPr>
          <w:rFonts w:ascii="Arial" w:hAnsi="Arial"/>
          <w:sz w:val="20"/>
          <w:szCs w:val="20"/>
        </w:rPr>
      </w:pPr>
      <w:r>
        <w:rPr>
          <w:rFonts w:ascii="Arial" w:eastAsia="ArialMT" w:hAnsi="Arial"/>
          <w:bCs/>
          <w:sz w:val="20"/>
          <w:szCs w:val="20"/>
        </w:rPr>
        <w:t>Joalis Sousa Nunes, Luana Martins dos Santos</w:t>
      </w:r>
      <w:r>
        <w:rPr>
          <w:rFonts w:ascii="Arial" w:eastAsia="ArialMT" w:hAnsi="Arial"/>
          <w:bCs/>
          <w:sz w:val="20"/>
          <w:szCs w:val="20"/>
          <w:lang w:val="pt-BR"/>
        </w:rPr>
        <w:t xml:space="preserve"> e </w:t>
      </w:r>
      <w:r>
        <w:rPr>
          <w:rFonts w:ascii="Arial" w:eastAsia="ArialMT" w:hAnsi="Arial"/>
          <w:bCs/>
          <w:sz w:val="20"/>
          <w:szCs w:val="20"/>
        </w:rPr>
        <w:t>Maxilene</w:t>
      </w:r>
      <w:r>
        <w:rPr>
          <w:rFonts w:ascii="Arial" w:eastAsia="ArialMT" w:hAnsi="Arial"/>
          <w:bCs/>
          <w:sz w:val="20"/>
          <w:szCs w:val="20"/>
          <w:lang w:val="pt-BR"/>
        </w:rPr>
        <w:t xml:space="preserve"> Soares </w:t>
      </w:r>
      <w:r>
        <w:rPr>
          <w:rFonts w:ascii="Arial" w:eastAsia="ArialMT" w:hAnsi="Arial"/>
          <w:bCs/>
          <w:sz w:val="20"/>
          <w:szCs w:val="20"/>
        </w:rPr>
        <w:t>Correa</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PAPEL DA ASSISTÊNCIA À ACUSAÇÃO NA</w:t>
      </w:r>
      <w:r>
        <w:rPr>
          <w:rFonts w:ascii="Arial" w:eastAsia="Arial-BoldMT" w:hAnsi="Arial"/>
          <w:bCs/>
          <w:sz w:val="20"/>
          <w:szCs w:val="20"/>
          <w:lang w:val="pt-BR"/>
        </w:rPr>
        <w:t xml:space="preserve"> </w:t>
      </w:r>
      <w:r>
        <w:rPr>
          <w:rFonts w:ascii="Arial" w:eastAsia="Arial-BoldMT" w:hAnsi="Arial"/>
          <w:bCs/>
          <w:sz w:val="20"/>
          <w:szCs w:val="20"/>
        </w:rPr>
        <w:t>EFETIVAÇÃO DOS DIREITOS DA VITIMA: A</w:t>
      </w:r>
      <w:r>
        <w:rPr>
          <w:rFonts w:ascii="Arial" w:eastAsia="Arial-BoldMT" w:hAnsi="Arial"/>
          <w:bCs/>
          <w:sz w:val="20"/>
          <w:szCs w:val="20"/>
          <w:lang w:val="pt-BR"/>
        </w:rPr>
        <w:t xml:space="preserve"> </w:t>
      </w:r>
      <w:r>
        <w:rPr>
          <w:rFonts w:ascii="Arial" w:eastAsia="Arial-BoldMT" w:hAnsi="Arial"/>
          <w:bCs/>
          <w:sz w:val="20"/>
          <w:szCs w:val="20"/>
        </w:rPr>
        <w:t>POSSIBILIDADE DE ATUAÇÃO DO ADVOGADO DA</w:t>
      </w:r>
      <w:r>
        <w:rPr>
          <w:rFonts w:ascii="Arial" w:eastAsia="Arial-BoldMT" w:hAnsi="Arial"/>
          <w:bCs/>
          <w:sz w:val="20"/>
          <w:szCs w:val="20"/>
          <w:lang w:val="pt-BR"/>
        </w:rPr>
        <w:t xml:space="preserve"> </w:t>
      </w:r>
      <w:r>
        <w:rPr>
          <w:rFonts w:ascii="Arial" w:eastAsia="Arial-BoldMT" w:hAnsi="Arial"/>
          <w:bCs/>
          <w:sz w:val="20"/>
          <w:szCs w:val="20"/>
        </w:rPr>
        <w:t>VITÍMA NA FASE INVESTIGATIVA</w:t>
      </w:r>
    </w:p>
    <w:p w:rsidR="009D60B7" w:rsidRDefault="00425C09">
      <w:pPr>
        <w:ind w:right="136"/>
        <w:jc w:val="both"/>
        <w:rPr>
          <w:rFonts w:ascii="Arial" w:hAnsi="Arial"/>
          <w:sz w:val="20"/>
          <w:szCs w:val="20"/>
        </w:rPr>
      </w:pPr>
      <w:r>
        <w:rPr>
          <w:rFonts w:ascii="Arial" w:eastAsia="ArialMT" w:hAnsi="Arial"/>
          <w:bCs/>
          <w:sz w:val="20"/>
          <w:szCs w:val="20"/>
        </w:rPr>
        <w:t xml:space="preserve">Victor Gabriel Lourenço </w:t>
      </w:r>
      <w:r w:rsidR="007349E7">
        <w:rPr>
          <w:rFonts w:ascii="Arial" w:eastAsia="ArialMT" w:hAnsi="Arial"/>
          <w:bCs/>
          <w:sz w:val="20"/>
          <w:szCs w:val="20"/>
        </w:rPr>
        <w:t>d</w:t>
      </w:r>
      <w:r>
        <w:rPr>
          <w:rFonts w:ascii="Arial" w:eastAsia="ArialMT" w:hAnsi="Arial"/>
          <w:bCs/>
          <w:sz w:val="20"/>
          <w:szCs w:val="20"/>
        </w:rPr>
        <w:t>a Silva, Maria Eduarda Guilherme</w:t>
      </w:r>
      <w:r>
        <w:rPr>
          <w:rFonts w:ascii="Arial" w:eastAsia="ArialMT" w:hAnsi="Arial"/>
          <w:bCs/>
          <w:sz w:val="20"/>
          <w:szCs w:val="20"/>
          <w:lang w:val="pt-BR"/>
        </w:rPr>
        <w:t xml:space="preserve"> </w:t>
      </w:r>
      <w:r>
        <w:rPr>
          <w:rFonts w:ascii="Arial" w:eastAsia="ArialMT" w:hAnsi="Arial"/>
          <w:bCs/>
          <w:sz w:val="20"/>
          <w:szCs w:val="20"/>
        </w:rPr>
        <w:t>Santana</w:t>
      </w:r>
      <w:r>
        <w:rPr>
          <w:rFonts w:ascii="Arial" w:eastAsia="ArialMT" w:hAnsi="Arial"/>
          <w:bCs/>
          <w:sz w:val="20"/>
          <w:szCs w:val="20"/>
          <w:lang w:val="pt-BR"/>
        </w:rPr>
        <w:t xml:space="preserve"> e</w:t>
      </w:r>
      <w:r>
        <w:rPr>
          <w:rFonts w:ascii="Arial" w:eastAsia="ArialMT" w:hAnsi="Arial"/>
          <w:bCs/>
          <w:sz w:val="20"/>
          <w:szCs w:val="20"/>
        </w:rPr>
        <w:t xml:space="preserve"> Gabriel de Castro Borges Reis</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RACISMO NOS ESTÁDIOS: ANÁLISE DA</w:t>
      </w:r>
      <w:r>
        <w:rPr>
          <w:rFonts w:ascii="Arial" w:eastAsia="Arial-BoldMT" w:hAnsi="Arial"/>
          <w:bCs/>
          <w:sz w:val="20"/>
          <w:szCs w:val="20"/>
          <w:lang w:val="pt-BR"/>
        </w:rPr>
        <w:t xml:space="preserve"> </w:t>
      </w:r>
      <w:r>
        <w:rPr>
          <w:rFonts w:ascii="Arial" w:eastAsia="Arial-BoldMT" w:hAnsi="Arial"/>
          <w:bCs/>
          <w:sz w:val="20"/>
          <w:szCs w:val="20"/>
        </w:rPr>
        <w:t>RESPONSABILIDADE PENAL DOS ENVOLVIDOS</w:t>
      </w:r>
    </w:p>
    <w:p w:rsidR="009D60B7" w:rsidRDefault="00425C09">
      <w:pPr>
        <w:jc w:val="both"/>
        <w:rPr>
          <w:rFonts w:ascii="Arial" w:hAnsi="Arial"/>
          <w:sz w:val="20"/>
          <w:szCs w:val="20"/>
        </w:rPr>
      </w:pPr>
      <w:r>
        <w:rPr>
          <w:rFonts w:ascii="Arial" w:eastAsia="ArialMT" w:hAnsi="Arial"/>
          <w:bCs/>
          <w:sz w:val="20"/>
          <w:szCs w:val="20"/>
        </w:rPr>
        <w:t>Gegislene Costa Ribeiro, Ana Júlia Rosa Rodrigues</w:t>
      </w:r>
      <w:r>
        <w:rPr>
          <w:rFonts w:ascii="Arial" w:eastAsia="ArialMT" w:hAnsi="Arial"/>
          <w:bCs/>
          <w:sz w:val="20"/>
          <w:szCs w:val="20"/>
          <w:lang w:val="pt-BR"/>
        </w:rPr>
        <w:t xml:space="preserve"> e</w:t>
      </w:r>
      <w:r>
        <w:rPr>
          <w:rFonts w:ascii="Arial" w:eastAsia="ArialMT" w:hAnsi="Arial"/>
          <w:bCs/>
          <w:sz w:val="20"/>
          <w:szCs w:val="20"/>
        </w:rPr>
        <w:t xml:space="preserve"> Cristiane</w:t>
      </w:r>
      <w:r>
        <w:rPr>
          <w:rFonts w:ascii="Arial" w:eastAsia="ArialMT" w:hAnsi="Arial"/>
          <w:bCs/>
          <w:sz w:val="20"/>
          <w:szCs w:val="20"/>
          <w:lang w:val="pt-BR"/>
        </w:rPr>
        <w:t xml:space="preserve"> </w:t>
      </w:r>
      <w:r>
        <w:rPr>
          <w:rFonts w:ascii="Arial" w:eastAsia="ArialMT" w:hAnsi="Arial"/>
          <w:bCs/>
          <w:sz w:val="20"/>
          <w:szCs w:val="20"/>
        </w:rPr>
        <w:t>Ingrid</w:t>
      </w:r>
      <w:r>
        <w:rPr>
          <w:rFonts w:ascii="Arial" w:eastAsia="ArialMT" w:hAnsi="Arial"/>
          <w:bCs/>
          <w:sz w:val="20"/>
          <w:szCs w:val="20"/>
          <w:lang w:val="pt-BR"/>
        </w:rPr>
        <w:t xml:space="preserve"> de Souza Bonfim</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TRÁFICO DE DROGAS E FACÇÕES</w:t>
      </w:r>
      <w:r>
        <w:rPr>
          <w:rFonts w:ascii="Arial" w:eastAsia="Arial-BoldMT" w:hAnsi="Arial"/>
          <w:bCs/>
          <w:sz w:val="20"/>
          <w:szCs w:val="20"/>
          <w:lang w:val="pt-BR"/>
        </w:rPr>
        <w:t xml:space="preserve"> </w:t>
      </w:r>
      <w:r>
        <w:rPr>
          <w:rFonts w:ascii="Arial" w:eastAsia="Arial-BoldMT" w:hAnsi="Arial"/>
          <w:bCs/>
          <w:sz w:val="20"/>
          <w:szCs w:val="20"/>
        </w:rPr>
        <w:t>CRIMINOSAS: UMA ANÁLISE CRÍTICA SOBRE</w:t>
      </w:r>
      <w:r>
        <w:rPr>
          <w:rFonts w:ascii="Arial" w:eastAsia="Arial-BoldMT" w:hAnsi="Arial"/>
          <w:bCs/>
          <w:sz w:val="20"/>
          <w:szCs w:val="20"/>
          <w:lang w:val="pt-BR"/>
        </w:rPr>
        <w:t xml:space="preserve"> </w:t>
      </w:r>
      <w:r>
        <w:rPr>
          <w:rFonts w:ascii="Arial" w:eastAsia="Arial-BoldMT" w:hAnsi="Arial"/>
          <w:bCs/>
          <w:sz w:val="20"/>
          <w:szCs w:val="20"/>
        </w:rPr>
        <w:t>SELETIVIDADE PENAL E A VULNERABILIDADE SOCIAL</w:t>
      </w:r>
      <w:r>
        <w:rPr>
          <w:rFonts w:ascii="Arial" w:eastAsia="Arial-BoldMT" w:hAnsi="Arial"/>
          <w:bCs/>
          <w:sz w:val="20"/>
          <w:szCs w:val="20"/>
          <w:lang w:val="pt-BR"/>
        </w:rPr>
        <w:t xml:space="preserve"> </w:t>
      </w:r>
      <w:r>
        <w:rPr>
          <w:rFonts w:ascii="Arial" w:eastAsia="Arial-BoldMT" w:hAnsi="Arial"/>
          <w:bCs/>
          <w:sz w:val="20"/>
          <w:szCs w:val="20"/>
        </w:rPr>
        <w:t>NO SISTEMA PRISIONAL BRASILEIRO</w:t>
      </w:r>
    </w:p>
    <w:p w:rsidR="009D60B7" w:rsidRDefault="00425C09">
      <w:pPr>
        <w:ind w:right="136"/>
        <w:jc w:val="both"/>
        <w:rPr>
          <w:rFonts w:ascii="Arial" w:hAnsi="Arial"/>
          <w:sz w:val="20"/>
          <w:szCs w:val="20"/>
        </w:rPr>
      </w:pPr>
      <w:r>
        <w:rPr>
          <w:rFonts w:ascii="Arial" w:eastAsia="ArialMT" w:hAnsi="Arial"/>
          <w:bCs/>
          <w:sz w:val="20"/>
          <w:szCs w:val="20"/>
        </w:rPr>
        <w:t>Rafaela Pereira</w:t>
      </w:r>
      <w:r>
        <w:rPr>
          <w:rFonts w:ascii="Arial" w:eastAsia="ArialMT" w:hAnsi="Arial"/>
          <w:bCs/>
          <w:sz w:val="20"/>
          <w:szCs w:val="20"/>
          <w:lang w:val="pt-BR"/>
        </w:rPr>
        <w:t xml:space="preserve"> da Silva</w:t>
      </w:r>
      <w:r>
        <w:rPr>
          <w:rFonts w:ascii="Arial" w:eastAsia="ArialMT" w:hAnsi="Arial"/>
          <w:bCs/>
          <w:sz w:val="20"/>
          <w:szCs w:val="20"/>
        </w:rPr>
        <w:t>, Luana Luiza</w:t>
      </w:r>
      <w:r>
        <w:rPr>
          <w:rFonts w:ascii="Arial" w:eastAsia="ArialMT" w:hAnsi="Arial"/>
          <w:bCs/>
          <w:sz w:val="20"/>
          <w:szCs w:val="20"/>
          <w:lang w:val="pt-BR"/>
        </w:rPr>
        <w:t xml:space="preserve"> Cardoso Peixoto e </w:t>
      </w:r>
      <w:r>
        <w:rPr>
          <w:rFonts w:ascii="Arial" w:eastAsia="ArialMT" w:hAnsi="Arial"/>
          <w:bCs/>
          <w:sz w:val="20"/>
          <w:szCs w:val="20"/>
        </w:rPr>
        <w:t xml:space="preserve">Gabriel de Castro Borges Reis </w:t>
      </w:r>
    </w:p>
    <w:p w:rsidR="009D60B7" w:rsidRDefault="009D60B7">
      <w:pPr>
        <w:ind w:right="136"/>
        <w:jc w:val="both"/>
        <w:rPr>
          <w:rFonts w:ascii="Arial" w:eastAsia="ArialMT" w:hAnsi="Arial"/>
          <w:bCs/>
          <w:sz w:val="20"/>
          <w:szCs w:val="20"/>
        </w:rPr>
      </w:pPr>
    </w:p>
    <w:p w:rsidR="009D60B7" w:rsidRDefault="00425C09">
      <w:pPr>
        <w:jc w:val="both"/>
        <w:rPr>
          <w:rFonts w:ascii="Arial" w:hAnsi="Arial"/>
          <w:sz w:val="20"/>
          <w:szCs w:val="20"/>
        </w:rPr>
      </w:pPr>
      <w:r>
        <w:rPr>
          <w:rFonts w:ascii="Arial" w:eastAsia="Arial-BoldMT" w:hAnsi="Arial"/>
          <w:bCs/>
          <w:sz w:val="20"/>
          <w:szCs w:val="20"/>
        </w:rPr>
        <w:t>XENOFOBIA CONTRA ASIÁTICOS NO BRASIL:</w:t>
      </w:r>
      <w:r>
        <w:rPr>
          <w:rFonts w:ascii="Arial" w:eastAsia="Arial-BoldMT" w:hAnsi="Arial"/>
          <w:bCs/>
          <w:sz w:val="20"/>
          <w:szCs w:val="20"/>
          <w:lang w:val="pt-BR"/>
        </w:rPr>
        <w:t xml:space="preserve"> </w:t>
      </w:r>
      <w:r>
        <w:rPr>
          <w:rFonts w:ascii="Arial" w:eastAsia="Arial-BoldMT" w:hAnsi="Arial"/>
          <w:bCs/>
          <w:sz w:val="20"/>
          <w:szCs w:val="20"/>
        </w:rPr>
        <w:t>AUSÊNCIA DE PRECEDENTES JUDICIAIS E DESAFIOS</w:t>
      </w:r>
      <w:r>
        <w:rPr>
          <w:rFonts w:ascii="Arial" w:eastAsia="Arial-BoldMT" w:hAnsi="Arial"/>
          <w:bCs/>
          <w:sz w:val="20"/>
          <w:szCs w:val="20"/>
          <w:lang w:val="pt-BR"/>
        </w:rPr>
        <w:t xml:space="preserve"> </w:t>
      </w:r>
      <w:r>
        <w:rPr>
          <w:rFonts w:ascii="Arial" w:eastAsia="Arial-BoldMT" w:hAnsi="Arial"/>
          <w:bCs/>
          <w:sz w:val="20"/>
          <w:szCs w:val="20"/>
        </w:rPr>
        <w:t>PARA O RECONHECIMENTO JURÍDICO</w:t>
      </w:r>
    </w:p>
    <w:p w:rsidR="009D60B7" w:rsidRDefault="00425C09">
      <w:pPr>
        <w:ind w:right="136"/>
        <w:jc w:val="both"/>
        <w:rPr>
          <w:rFonts w:ascii="Arial" w:hAnsi="Arial"/>
          <w:sz w:val="20"/>
          <w:szCs w:val="20"/>
        </w:rPr>
      </w:pPr>
      <w:r>
        <w:rPr>
          <w:rFonts w:ascii="Arial" w:eastAsia="ArialMT" w:hAnsi="Arial"/>
          <w:bCs/>
          <w:sz w:val="20"/>
          <w:szCs w:val="20"/>
        </w:rPr>
        <w:t>Sayonara Carneiro Kanaiama</w:t>
      </w:r>
      <w:r w:rsidR="00526399">
        <w:rPr>
          <w:rFonts w:ascii="Arial" w:eastAsia="ArialMT" w:hAnsi="Arial"/>
          <w:bCs/>
          <w:sz w:val="20"/>
          <w:szCs w:val="20"/>
        </w:rPr>
        <w:t xml:space="preserve">, </w:t>
      </w:r>
      <w:r>
        <w:rPr>
          <w:rFonts w:ascii="Arial" w:eastAsia="ArialMT" w:hAnsi="Arial"/>
          <w:bCs/>
          <w:sz w:val="20"/>
          <w:szCs w:val="20"/>
          <w:lang w:val="pt-BR"/>
        </w:rPr>
        <w:t>Mylena Seabra Toschi</w:t>
      </w:r>
      <w:r w:rsidR="0007713E">
        <w:rPr>
          <w:rFonts w:ascii="Arial" w:eastAsia="ArialMT" w:hAnsi="Arial"/>
          <w:bCs/>
          <w:sz w:val="20"/>
          <w:szCs w:val="20"/>
          <w:lang w:val="pt-BR"/>
        </w:rPr>
        <w:t xml:space="preserve"> e Maxilene Soares Corrêa</w:t>
      </w:r>
    </w:p>
    <w:p w:rsidR="009D60B7" w:rsidRDefault="009D60B7">
      <w:pPr>
        <w:ind w:right="136"/>
        <w:jc w:val="both"/>
        <w:rPr>
          <w:rFonts w:ascii="Arial" w:eastAsia="ArialMT" w:hAnsi="Arial"/>
          <w:bCs/>
          <w:sz w:val="20"/>
          <w:szCs w:val="20"/>
          <w:lang w:val="pt-BR"/>
        </w:rPr>
      </w:pPr>
    </w:p>
    <w:p w:rsidR="009D60B7" w:rsidRDefault="009D60B7">
      <w:pPr>
        <w:ind w:right="136"/>
        <w:jc w:val="both"/>
        <w:rPr>
          <w:rFonts w:ascii="Arial" w:eastAsia="ArialMT" w:hAnsi="Arial"/>
          <w:bCs/>
          <w:sz w:val="20"/>
          <w:szCs w:val="20"/>
          <w:lang w:val="pt-BR"/>
        </w:rPr>
      </w:pPr>
    </w:p>
    <w:p w:rsidR="009D60B7" w:rsidRDefault="009D60B7">
      <w:pPr>
        <w:ind w:right="136"/>
        <w:jc w:val="both"/>
        <w:rPr>
          <w:rFonts w:ascii="Arial" w:hAnsi="Arial"/>
          <w:bCs/>
          <w:sz w:val="20"/>
          <w:szCs w:val="20"/>
          <w:highlight w:val="yellow"/>
          <w:lang w:val="pt-BR"/>
        </w:rPr>
      </w:pPr>
    </w:p>
    <w:p w:rsidR="009D60B7" w:rsidRDefault="009D60B7">
      <w:pPr>
        <w:ind w:right="136"/>
        <w:jc w:val="both"/>
        <w:rPr>
          <w:rFonts w:ascii="Arial" w:hAnsi="Arial"/>
          <w:bCs/>
          <w:sz w:val="20"/>
          <w:szCs w:val="20"/>
          <w:highlight w:val="yellow"/>
          <w:lang w:val="pt-BR"/>
        </w:rPr>
      </w:pPr>
    </w:p>
    <w:p w:rsidR="009D60B7" w:rsidRDefault="00425C09">
      <w:pPr>
        <w:ind w:right="136"/>
        <w:jc w:val="both"/>
        <w:rPr>
          <w:rFonts w:ascii="Arial" w:hAnsi="Arial"/>
          <w:sz w:val="20"/>
          <w:szCs w:val="20"/>
        </w:rPr>
      </w:pPr>
      <w:r>
        <w:rPr>
          <w:rFonts w:ascii="Arial" w:hAnsi="Arial"/>
          <w:b/>
          <w:sz w:val="20"/>
          <w:szCs w:val="20"/>
          <w:lang w:val="pt-BR"/>
        </w:rPr>
        <w:t>Resumos:</w:t>
      </w:r>
    </w:p>
    <w:p w:rsidR="009D60B7" w:rsidRDefault="009D60B7">
      <w:pPr>
        <w:pStyle w:val="Ttulo"/>
        <w:spacing w:line="276" w:lineRule="auto"/>
        <w:jc w:val="both"/>
        <w:rPr>
          <w:rFonts w:ascii="Arial" w:eastAsia="ArialMT" w:hAnsi="Arial" w:cs="Nirmala UI Semilight"/>
          <w:b w:val="0"/>
          <w:sz w:val="20"/>
          <w:szCs w:val="20"/>
        </w:rPr>
      </w:pPr>
    </w:p>
    <w:p w:rsidR="009D60B7" w:rsidRDefault="00425C09">
      <w:pPr>
        <w:jc w:val="both"/>
        <w:rPr>
          <w:rFonts w:ascii="Arial" w:hAnsi="Arial"/>
          <w:sz w:val="20"/>
          <w:szCs w:val="20"/>
        </w:rPr>
      </w:pPr>
      <w:r>
        <w:rPr>
          <w:rFonts w:ascii="Arial" w:eastAsia="Arial-BoldMT" w:hAnsi="Arial"/>
          <w:bCs/>
          <w:sz w:val="20"/>
          <w:szCs w:val="20"/>
        </w:rPr>
        <w:t>"LEI FELCA": CONTROVÉRSIA OU</w:t>
      </w:r>
      <w:r>
        <w:rPr>
          <w:rFonts w:ascii="Arial" w:eastAsia="Arial-BoldMT" w:hAnsi="Arial"/>
          <w:bCs/>
          <w:sz w:val="20"/>
          <w:szCs w:val="20"/>
          <w:lang w:val="pt-BR"/>
        </w:rPr>
        <w:t xml:space="preserve"> </w:t>
      </w:r>
      <w:r>
        <w:rPr>
          <w:rFonts w:ascii="Arial" w:eastAsia="Arial-BoldMT" w:hAnsi="Arial"/>
          <w:bCs/>
          <w:sz w:val="20"/>
          <w:szCs w:val="20"/>
        </w:rPr>
        <w:t>SEGURANÇA?</w:t>
      </w:r>
    </w:p>
    <w:p w:rsidR="009D60B7" w:rsidRDefault="00425C09">
      <w:pPr>
        <w:pStyle w:val="Ttulo"/>
        <w:spacing w:line="276" w:lineRule="auto"/>
        <w:jc w:val="both"/>
        <w:rPr>
          <w:rFonts w:ascii="Arial" w:hAnsi="Arial"/>
          <w:sz w:val="20"/>
          <w:szCs w:val="20"/>
        </w:rPr>
      </w:pPr>
      <w:r>
        <w:rPr>
          <w:rFonts w:ascii="Arial" w:eastAsia="ArialMT" w:hAnsi="Arial" w:cs="Nirmala UI Semilight"/>
          <w:b w:val="0"/>
          <w:sz w:val="20"/>
          <w:szCs w:val="20"/>
        </w:rPr>
        <w:t>Maria Clara Gratão Oliveira</w:t>
      </w:r>
      <w:r>
        <w:rPr>
          <w:rFonts w:ascii="Arial" w:eastAsia="ArialMT" w:hAnsi="Arial" w:cs="Nirmala UI Semilight"/>
          <w:b w:val="0"/>
          <w:sz w:val="20"/>
          <w:szCs w:val="20"/>
          <w:lang w:val="pt-BR"/>
        </w:rPr>
        <w:t xml:space="preserve"> e </w:t>
      </w:r>
      <w:r>
        <w:rPr>
          <w:rFonts w:ascii="Arial" w:eastAsia="ArialMT" w:hAnsi="Arial" w:cs="Nirmala UI Semilight"/>
          <w:b w:val="0"/>
          <w:sz w:val="20"/>
          <w:szCs w:val="20"/>
        </w:rPr>
        <w:t>Cristiane Ingrid</w:t>
      </w:r>
      <w:r>
        <w:rPr>
          <w:rFonts w:ascii="Arial" w:eastAsia="ArialMT" w:hAnsi="Arial" w:cs="Nirmala UI Semilight"/>
          <w:b w:val="0"/>
          <w:sz w:val="20"/>
          <w:szCs w:val="20"/>
          <w:lang w:val="pt-BR"/>
        </w:rPr>
        <w:t xml:space="preserve"> de Souza Bonfim</w:t>
      </w:r>
    </w:p>
    <w:p w:rsidR="009D60B7" w:rsidRDefault="009D60B7">
      <w:pPr>
        <w:pStyle w:val="Ttulo"/>
        <w:spacing w:line="276" w:lineRule="auto"/>
        <w:jc w:val="both"/>
        <w:rPr>
          <w:rFonts w:ascii="Arial" w:hAnsi="Arial" w:cs="Nirmala UI Semilight"/>
          <w:b w:val="0"/>
          <w:bCs w:val="0"/>
          <w:spacing w:val="-2"/>
          <w:sz w:val="20"/>
          <w:szCs w:val="20"/>
        </w:rPr>
      </w:pPr>
    </w:p>
    <w:p w:rsidR="009D60B7" w:rsidRDefault="00425C09">
      <w:pPr>
        <w:jc w:val="both"/>
        <w:rPr>
          <w:rFonts w:ascii="Arial" w:hAnsi="Arial"/>
          <w:sz w:val="20"/>
          <w:szCs w:val="20"/>
        </w:rPr>
      </w:pPr>
      <w:r>
        <w:rPr>
          <w:rFonts w:ascii="Arial" w:eastAsia="Arial-BoldMT" w:hAnsi="Arial"/>
          <w:bCs/>
          <w:sz w:val="20"/>
          <w:szCs w:val="20"/>
        </w:rPr>
        <w:t>IMPROBIDADE ADMINISTRATIVA: DESAFIOS</w:t>
      </w:r>
      <w:r>
        <w:rPr>
          <w:rFonts w:ascii="Arial" w:eastAsia="Arial-BoldMT" w:hAnsi="Arial"/>
          <w:bCs/>
          <w:sz w:val="20"/>
          <w:szCs w:val="20"/>
          <w:lang w:val="pt-BR"/>
        </w:rPr>
        <w:t xml:space="preserve"> </w:t>
      </w:r>
      <w:r>
        <w:rPr>
          <w:rFonts w:ascii="Arial" w:eastAsia="Arial-BoldMT" w:hAnsi="Arial"/>
          <w:bCs/>
          <w:sz w:val="20"/>
          <w:szCs w:val="20"/>
        </w:rPr>
        <w:t>ENFRENTADOS NA GESTÃO PÚBLICA EM CASOS DE</w:t>
      </w:r>
      <w:r>
        <w:rPr>
          <w:rFonts w:ascii="Arial" w:eastAsia="Arial-BoldMT" w:hAnsi="Arial"/>
          <w:bCs/>
          <w:sz w:val="20"/>
          <w:szCs w:val="20"/>
          <w:lang w:val="pt-BR"/>
        </w:rPr>
        <w:t xml:space="preserve"> </w:t>
      </w:r>
      <w:r>
        <w:rPr>
          <w:rFonts w:ascii="Arial" w:eastAsia="Arial-BoldMT" w:hAnsi="Arial"/>
          <w:bCs/>
          <w:sz w:val="20"/>
          <w:szCs w:val="20"/>
        </w:rPr>
        <w:t>PECULATO</w:t>
      </w:r>
    </w:p>
    <w:p w:rsidR="009D60B7" w:rsidRDefault="00425C09">
      <w:pPr>
        <w:jc w:val="both"/>
        <w:rPr>
          <w:rFonts w:ascii="Arial" w:hAnsi="Arial"/>
          <w:sz w:val="20"/>
          <w:szCs w:val="20"/>
        </w:rPr>
      </w:pPr>
      <w:r>
        <w:rPr>
          <w:rFonts w:ascii="Arial" w:eastAsia="ArialMT" w:hAnsi="Arial"/>
          <w:bCs/>
          <w:sz w:val="20"/>
          <w:szCs w:val="20"/>
        </w:rPr>
        <w:t>Benedito Cesar Pereira Rezende, Adedilson Dimas Ferreira</w:t>
      </w:r>
      <w:r>
        <w:rPr>
          <w:rFonts w:ascii="Arial" w:eastAsia="ArialMT" w:hAnsi="Arial"/>
          <w:bCs/>
          <w:sz w:val="20"/>
          <w:szCs w:val="20"/>
          <w:lang w:val="pt-BR"/>
        </w:rPr>
        <w:t xml:space="preserve"> </w:t>
      </w:r>
      <w:r>
        <w:rPr>
          <w:rFonts w:ascii="Arial" w:eastAsia="ArialMT" w:hAnsi="Arial"/>
          <w:bCs/>
          <w:sz w:val="20"/>
          <w:szCs w:val="20"/>
        </w:rPr>
        <w:t>Santana,</w:t>
      </w:r>
      <w:r>
        <w:rPr>
          <w:rFonts w:ascii="Arial" w:eastAsia="ArialMT" w:hAnsi="Arial"/>
          <w:bCs/>
          <w:sz w:val="20"/>
          <w:szCs w:val="20"/>
          <w:lang w:val="pt-BR"/>
        </w:rPr>
        <w:t xml:space="preserve"> </w:t>
      </w:r>
      <w:r>
        <w:rPr>
          <w:rFonts w:ascii="Arial" w:eastAsia="ArialMT" w:hAnsi="Arial"/>
          <w:bCs/>
          <w:sz w:val="20"/>
          <w:szCs w:val="20"/>
        </w:rPr>
        <w:t>Pedro Lucas Ywata, Marcus Philippe</w:t>
      </w:r>
      <w:r>
        <w:rPr>
          <w:rFonts w:ascii="Arial" w:eastAsia="ArialMT" w:hAnsi="Arial"/>
          <w:bCs/>
          <w:sz w:val="20"/>
          <w:szCs w:val="20"/>
          <w:lang w:val="pt-BR"/>
        </w:rPr>
        <w:t xml:space="preserve"> </w:t>
      </w:r>
      <w:r>
        <w:rPr>
          <w:rFonts w:ascii="Arial" w:eastAsia="ArialMT" w:hAnsi="Arial"/>
          <w:bCs/>
          <w:sz w:val="20"/>
          <w:szCs w:val="20"/>
        </w:rPr>
        <w:t>de Oliveira Gomes Aranha</w:t>
      </w:r>
      <w:r>
        <w:rPr>
          <w:rFonts w:ascii="Arial" w:eastAsia="ArialMT" w:hAnsi="Arial"/>
          <w:bCs/>
          <w:sz w:val="20"/>
          <w:szCs w:val="20"/>
          <w:lang w:val="pt-BR"/>
        </w:rPr>
        <w:t xml:space="preserve"> e </w:t>
      </w:r>
      <w:r>
        <w:rPr>
          <w:rFonts w:ascii="Arial" w:eastAsia="ArialMT" w:hAnsi="Arial"/>
          <w:bCs/>
          <w:sz w:val="20"/>
          <w:szCs w:val="20"/>
        </w:rPr>
        <w:t>Cristiane Ingrid</w:t>
      </w:r>
      <w:r>
        <w:rPr>
          <w:rFonts w:ascii="Arial" w:eastAsia="ArialMT" w:hAnsi="Arial"/>
          <w:bCs/>
          <w:sz w:val="20"/>
          <w:szCs w:val="20"/>
          <w:lang w:val="pt-BR"/>
        </w:rPr>
        <w:t xml:space="preserve"> de Souza Bonfim</w:t>
      </w: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bookmarkStart w:id="0" w:name="_GoBack"/>
      <w:bookmarkEnd w:id="0"/>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jc w:val="both"/>
        <w:rPr>
          <w:rFonts w:ascii="Arial" w:hAnsi="Arial"/>
          <w:sz w:val="20"/>
          <w:szCs w:val="20"/>
        </w:rPr>
      </w:pPr>
    </w:p>
    <w:p w:rsidR="009D60B7" w:rsidRDefault="009D60B7">
      <w:pPr>
        <w:sectPr w:rsidR="009D60B7">
          <w:headerReference w:type="even" r:id="rId19"/>
          <w:headerReference w:type="default" r:id="rId20"/>
          <w:footerReference w:type="even" r:id="rId21"/>
          <w:footerReference w:type="default" r:id="rId22"/>
          <w:headerReference w:type="first" r:id="rId23"/>
          <w:footerReference w:type="first" r:id="rId24"/>
          <w:pgSz w:w="11906" w:h="16838"/>
          <w:pgMar w:top="1100" w:right="992" w:bottom="1220" w:left="1559" w:header="0" w:footer="966" w:gutter="0"/>
          <w:cols w:space="720"/>
          <w:formProt w:val="0"/>
          <w:docGrid w:linePitch="100"/>
        </w:sectPr>
      </w:pPr>
    </w:p>
    <w:p w:rsidR="009D60B7" w:rsidRDefault="009D60B7">
      <w:pPr>
        <w:tabs>
          <w:tab w:val="left" w:pos="9240"/>
        </w:tabs>
        <w:spacing w:line="360" w:lineRule="auto"/>
        <w:ind w:rightChars="-5" w:right="-11"/>
        <w:rPr>
          <w:rFonts w:ascii="Arial" w:hAnsi="Arial" w:cs="Times New Roman"/>
          <w:spacing w:val="-2"/>
          <w:sz w:val="20"/>
          <w:szCs w:val="20"/>
        </w:rPr>
      </w:pPr>
      <w:bookmarkStart w:id="1" w:name="_GoBack_Copia_1"/>
      <w:bookmarkEnd w:id="1"/>
    </w:p>
    <w:p w:rsidR="00761183" w:rsidRDefault="00425C09" w:rsidP="00761183">
      <w:pPr>
        <w:shd w:val="clear" w:color="auto" w:fill="FFFFFF"/>
        <w:jc w:val="center"/>
        <w:rPr>
          <w:rFonts w:ascii="Arial" w:eastAsia="Times New Roman" w:hAnsi="Arial" w:cs="Times New Roman"/>
          <w:b/>
          <w:bCs/>
          <w:sz w:val="28"/>
          <w:szCs w:val="28"/>
          <w:lang w:eastAsia="pt-BR"/>
        </w:rPr>
      </w:pPr>
      <w:bookmarkStart w:id="2" w:name="_GoBack_Copia_2"/>
      <w:bookmarkEnd w:id="2"/>
      <w:r w:rsidRPr="00761183">
        <w:rPr>
          <w:rFonts w:ascii="Arial" w:eastAsia="Times New Roman" w:hAnsi="Arial" w:cs="Times New Roman"/>
          <w:b/>
          <w:bCs/>
          <w:sz w:val="28"/>
          <w:szCs w:val="28"/>
          <w:lang w:eastAsia="pt-BR"/>
        </w:rPr>
        <w:lastRenderedPageBreak/>
        <w:t xml:space="preserve">A INVISIBILIDADE DA VIOLÊNCIA OBSTÉTRICA NO ORDENAMENTO JURÍDICO PENAL BRASILEIRO: DESAFIOS DA </w:t>
      </w:r>
    </w:p>
    <w:p w:rsidR="009D60B7" w:rsidRPr="00761183" w:rsidRDefault="00425C09" w:rsidP="00761183">
      <w:pPr>
        <w:shd w:val="clear" w:color="auto" w:fill="FFFFFF"/>
        <w:jc w:val="center"/>
        <w:rPr>
          <w:rFonts w:ascii="Arial" w:hAnsi="Arial"/>
          <w:sz w:val="28"/>
          <w:szCs w:val="28"/>
        </w:rPr>
      </w:pPr>
      <w:r w:rsidRPr="00761183">
        <w:rPr>
          <w:rFonts w:ascii="Arial" w:eastAsia="Times New Roman" w:hAnsi="Arial" w:cs="Times New Roman"/>
          <w:b/>
          <w:bCs/>
          <w:sz w:val="28"/>
          <w:szCs w:val="28"/>
          <w:lang w:eastAsia="pt-BR"/>
        </w:rPr>
        <w:t>TIPIFICAÇÃO E PROVA.</w:t>
      </w:r>
    </w:p>
    <w:p w:rsidR="009D60B7" w:rsidRDefault="009D60B7">
      <w:pPr>
        <w:tabs>
          <w:tab w:val="left" w:pos="9240"/>
        </w:tabs>
        <w:spacing w:line="360" w:lineRule="auto"/>
        <w:ind w:rightChars="-5" w:right="-11"/>
        <w:jc w:val="center"/>
        <w:rPr>
          <w:rFonts w:ascii="Arial" w:hAnsi="Arial" w:cs="Times New Roman"/>
          <w:sz w:val="24"/>
          <w:szCs w:val="24"/>
        </w:rPr>
      </w:pPr>
    </w:p>
    <w:p w:rsidR="00761183" w:rsidRDefault="00761183">
      <w:pPr>
        <w:tabs>
          <w:tab w:val="left" w:pos="9240"/>
        </w:tabs>
        <w:spacing w:line="360" w:lineRule="auto"/>
        <w:ind w:rightChars="-5" w:right="-11"/>
        <w:jc w:val="center"/>
        <w:rPr>
          <w:rFonts w:ascii="Arial" w:hAnsi="Arial" w:cs="Times New Roman"/>
          <w:sz w:val="24"/>
          <w:szCs w:val="24"/>
        </w:rPr>
      </w:pPr>
    </w:p>
    <w:p w:rsidR="009D60B7" w:rsidRDefault="00425C09" w:rsidP="00761183">
      <w:pPr>
        <w:tabs>
          <w:tab w:val="left" w:pos="9240"/>
        </w:tabs>
        <w:ind w:rightChars="-5" w:right="-11"/>
        <w:jc w:val="center"/>
        <w:rPr>
          <w:rFonts w:ascii="Arial" w:hAnsi="Arial"/>
          <w:sz w:val="24"/>
          <w:szCs w:val="24"/>
        </w:rPr>
      </w:pPr>
      <w:r>
        <w:rPr>
          <w:rFonts w:ascii="Arial" w:hAnsi="Arial" w:cs="Times New Roman"/>
          <w:spacing w:val="-9"/>
          <w:sz w:val="24"/>
          <w:szCs w:val="24"/>
        </w:rPr>
        <w:t>Gabriel Florêncio Rodrigues</w:t>
      </w:r>
      <w:r>
        <w:rPr>
          <w:rStyle w:val="Refdenotaderodap"/>
          <w:rFonts w:ascii="Arial" w:hAnsi="Arial" w:cs="Times New Roman"/>
          <w:spacing w:val="-9"/>
          <w:sz w:val="24"/>
          <w:szCs w:val="24"/>
        </w:rPr>
        <w:footnoteReference w:id="1"/>
      </w:r>
    </w:p>
    <w:p w:rsidR="009D60B7" w:rsidRDefault="00425C09" w:rsidP="00761183">
      <w:pPr>
        <w:tabs>
          <w:tab w:val="left" w:pos="9240"/>
        </w:tabs>
        <w:ind w:rightChars="-5" w:right="-11"/>
        <w:jc w:val="center"/>
        <w:rPr>
          <w:rFonts w:ascii="Arial" w:hAnsi="Arial"/>
          <w:sz w:val="24"/>
          <w:szCs w:val="24"/>
        </w:rPr>
      </w:pPr>
      <w:r>
        <w:rPr>
          <w:rFonts w:ascii="Arial" w:hAnsi="Arial" w:cs="Times New Roman"/>
          <w:spacing w:val="-9"/>
          <w:sz w:val="24"/>
          <w:szCs w:val="24"/>
        </w:rPr>
        <w:t>Maria Eduarda de Souza Moreira</w:t>
      </w:r>
      <w:r>
        <w:rPr>
          <w:rStyle w:val="Refdenotaderodap"/>
          <w:rFonts w:ascii="Arial" w:hAnsi="Arial" w:cs="Times New Roman"/>
          <w:spacing w:val="-9"/>
          <w:sz w:val="24"/>
          <w:szCs w:val="24"/>
        </w:rPr>
        <w:footnoteReference w:id="2"/>
      </w:r>
    </w:p>
    <w:p w:rsidR="009D60B7" w:rsidRDefault="00425C09" w:rsidP="00761183">
      <w:pPr>
        <w:tabs>
          <w:tab w:val="left" w:pos="9240"/>
        </w:tabs>
        <w:ind w:rightChars="-5" w:right="-11"/>
        <w:jc w:val="center"/>
        <w:rPr>
          <w:rFonts w:ascii="Arial" w:hAnsi="Arial"/>
          <w:sz w:val="24"/>
          <w:szCs w:val="24"/>
        </w:rPr>
      </w:pPr>
      <w:r>
        <w:rPr>
          <w:rFonts w:ascii="Arial" w:hAnsi="Arial" w:cs="Times New Roman"/>
          <w:sz w:val="24"/>
          <w:szCs w:val="24"/>
        </w:rPr>
        <w:t>Cristiane Ingrid de Souza Bonfim</w:t>
      </w:r>
      <w:r>
        <w:rPr>
          <w:rStyle w:val="Refdenotaderodap"/>
          <w:rFonts w:ascii="Arial" w:hAnsi="Arial" w:cs="Times New Roman"/>
          <w:sz w:val="24"/>
          <w:szCs w:val="24"/>
        </w:rPr>
        <w:footnoteReference w:id="3"/>
      </w:r>
    </w:p>
    <w:p w:rsidR="009D60B7" w:rsidRDefault="009D60B7">
      <w:pPr>
        <w:pStyle w:val="Corpodetexto"/>
        <w:tabs>
          <w:tab w:val="left" w:pos="9240"/>
        </w:tabs>
        <w:spacing w:line="360" w:lineRule="auto"/>
        <w:ind w:rightChars="-5" w:right="-11"/>
        <w:rPr>
          <w:rFonts w:ascii="Arial" w:hAnsi="Arial" w:cs="Times New Roman"/>
          <w:sz w:val="24"/>
          <w:szCs w:val="24"/>
        </w:rPr>
      </w:pPr>
    </w:p>
    <w:p w:rsidR="009D60B7" w:rsidRDefault="009D60B7">
      <w:pPr>
        <w:pStyle w:val="Corpodetexto"/>
        <w:tabs>
          <w:tab w:val="left" w:pos="9240"/>
        </w:tabs>
        <w:spacing w:before="1" w:line="360" w:lineRule="auto"/>
        <w:ind w:rightChars="-5" w:right="-11"/>
        <w:rPr>
          <w:rFonts w:ascii="Arial" w:hAnsi="Arial" w:cs="Times New Roman"/>
          <w:sz w:val="24"/>
          <w:szCs w:val="24"/>
        </w:rPr>
      </w:pPr>
    </w:p>
    <w:p w:rsidR="009D60B7" w:rsidRPr="00761183" w:rsidRDefault="00425C09">
      <w:pPr>
        <w:tabs>
          <w:tab w:val="left" w:pos="9240"/>
        </w:tabs>
        <w:spacing w:line="360" w:lineRule="auto"/>
        <w:ind w:rightChars="-5" w:right="-11"/>
        <w:jc w:val="center"/>
        <w:rPr>
          <w:rFonts w:ascii="Arial" w:hAnsi="Arial" w:cs="Times New Roman"/>
          <w:sz w:val="20"/>
          <w:szCs w:val="20"/>
        </w:rPr>
      </w:pPr>
      <w:r w:rsidRPr="00761183">
        <w:rPr>
          <w:rFonts w:ascii="Arial" w:hAnsi="Arial" w:cs="Times New Roman"/>
          <w:sz w:val="24"/>
          <w:szCs w:val="24"/>
        </w:rPr>
        <w:t>RESUMO</w:t>
      </w:r>
    </w:p>
    <w:p w:rsidR="009D60B7" w:rsidRDefault="00425C09">
      <w:pPr>
        <w:pStyle w:val="NormalWeb"/>
        <w:spacing w:beforeAutospacing="0" w:afterAutospacing="0"/>
        <w:jc w:val="both"/>
        <w:rPr>
          <w:rFonts w:ascii="Arial" w:hAnsi="Arial"/>
          <w:sz w:val="20"/>
          <w:szCs w:val="20"/>
        </w:rPr>
      </w:pPr>
      <w:r>
        <w:rPr>
          <w:rFonts w:ascii="Arial" w:hAnsi="Arial"/>
          <w:sz w:val="20"/>
          <w:szCs w:val="20"/>
        </w:rPr>
        <w:t>Este trabalho examina a violência obstétrica sob uma perspectiva interdisciplinar, compreendendo-a como expressão da desigualdade de gênero presente na estrutura patriarcal da sociedade e como afronta aos direitos fundamentais da mulher gestante. Ao longo da história, a substituição do parto domiciliar, tradicionalmente assistido por parteiras, pelo modelo hospitalar medicalizado contribuiu para a valorização do saber técnico-científico em detrimento da autonomia feminina, tornando o parto um procedimento cada vez mais clínico, intervencionista e, em muitos casos, desumanizado. Embora a Constituição Federal de 1988 assegure a dignidade da pessoa humana, a igualdade material e a proteção à maternidade, o ordenamento jurídico brasileiro ainda não apresenta tipificação penal própria para a violência obstétrica. A pesquisa tem como foco a responsabilização penal dessa prática no Brasil, especialmente nas situações em que há lesão física ou psicológica à gestante, aborto, natimortalidade ou óbito fetal. O problema central consiste em analisar de que maneira o Direito Penal pode responsabilizar os agentes diante da inexistência de previsão penal específica e da dificuldade de comprovação do nexo causal entre a conduta praticada e o resultado lesivo. O objetivo geral é investigar as possibilidades de responsabilização penal dos profissionais de saúde e terceiros envolvidos. Utilizou-se pesquisa bibliográfica e documental, com abordagem qualitativa e método dedutivo, por meio da análise de doutrina, legislação, jurisprudência e dados estatísticos. O estudo está dividido em três capítulos e destaca o Projeto de Lei nº 1.763/2025 como importante proposta legislativa para o enfrentamento da violência obstétrica no país.</w:t>
      </w:r>
    </w:p>
    <w:p w:rsidR="009D60B7" w:rsidRDefault="009D60B7">
      <w:pPr>
        <w:pStyle w:val="NormalWeb"/>
        <w:spacing w:beforeAutospacing="0" w:afterAutospacing="0" w:line="360" w:lineRule="auto"/>
        <w:jc w:val="both"/>
        <w:rPr>
          <w:rFonts w:ascii="Arial" w:hAnsi="Arial"/>
          <w:sz w:val="20"/>
          <w:szCs w:val="20"/>
        </w:rPr>
      </w:pPr>
    </w:p>
    <w:p w:rsidR="009D60B7" w:rsidRDefault="00425C09">
      <w:pPr>
        <w:spacing w:after="4" w:line="360" w:lineRule="auto"/>
        <w:ind w:left="-5"/>
        <w:rPr>
          <w:rFonts w:ascii="Arial" w:hAnsi="Arial"/>
          <w:sz w:val="20"/>
          <w:szCs w:val="20"/>
        </w:rPr>
      </w:pPr>
      <w:r>
        <w:rPr>
          <w:rFonts w:ascii="Arial" w:hAnsi="Arial" w:cs="Times New Roman"/>
          <w:b/>
          <w:sz w:val="20"/>
          <w:szCs w:val="20"/>
        </w:rPr>
        <w:t>PALAVRAS-CHAVE:</w:t>
      </w:r>
      <w:r>
        <w:rPr>
          <w:rFonts w:ascii="Arial" w:hAnsi="Arial" w:cs="Times New Roman"/>
          <w:sz w:val="20"/>
          <w:szCs w:val="20"/>
        </w:rPr>
        <w:t xml:space="preserve"> Violência Obstétrica, patriarcado, tipificação penal, nexo causal, gestante.</w:t>
      </w:r>
    </w:p>
    <w:p w:rsidR="009D60B7" w:rsidRDefault="009D60B7">
      <w:pPr>
        <w:shd w:val="clear" w:color="auto" w:fill="FFFFFF"/>
        <w:spacing w:line="360" w:lineRule="auto"/>
        <w:rPr>
          <w:rFonts w:ascii="Arial" w:eastAsia="Times New Roman" w:hAnsi="Arial" w:cs="Times New Roman"/>
          <w:b/>
          <w:bCs/>
          <w:sz w:val="20"/>
          <w:szCs w:val="20"/>
          <w:lang w:eastAsia="pt-BR"/>
        </w:rPr>
      </w:pPr>
    </w:p>
    <w:p w:rsidR="009D60B7" w:rsidRDefault="00425C09">
      <w:pPr>
        <w:shd w:val="clear" w:color="auto" w:fill="FFFFFF"/>
        <w:spacing w:line="360" w:lineRule="auto"/>
        <w:contextualSpacing/>
        <w:rPr>
          <w:rFonts w:ascii="Arial" w:hAnsi="Arial"/>
          <w:sz w:val="24"/>
          <w:szCs w:val="24"/>
        </w:rPr>
      </w:pPr>
      <w:r>
        <w:rPr>
          <w:rFonts w:ascii="Arial" w:eastAsia="Times New Roman" w:hAnsi="Arial" w:cs="Times New Roman"/>
          <w:sz w:val="24"/>
          <w:szCs w:val="24"/>
          <w:lang w:eastAsia="pt-BR"/>
        </w:rPr>
        <w:t>INTRODUÇÃO</w:t>
      </w:r>
    </w:p>
    <w:p w:rsidR="009D60B7" w:rsidRDefault="00425C09">
      <w:pPr>
        <w:pStyle w:val="NormalWeb"/>
        <w:spacing w:beforeAutospacing="0" w:afterAutospacing="0" w:line="360" w:lineRule="auto"/>
        <w:ind w:firstLine="1134"/>
        <w:jc w:val="both"/>
        <w:rPr>
          <w:rFonts w:ascii="Arial" w:hAnsi="Arial"/>
        </w:rPr>
      </w:pPr>
      <w:r>
        <w:rPr>
          <w:rFonts w:ascii="Arial" w:hAnsi="Arial"/>
        </w:rPr>
        <w:t xml:space="preserve">A experiência da maternidade, embora frequentemente romantizada no imaginário social, é atravessada por estruturas de poder que podem converter o ato de dar à luz em um cenário de violações de direitos fundamentais. A presente pesquisa dedica-se ao estudo da violência obstétrica, fenômeno que se manifesta por meio de abusos, maus-tratos e intervenções médicas desnecessárias durante o ciclo gravídico-puerperal. Além disso, tais condutas podem ocorrer tanto por ação quanto por omissão dos profissionais de saúde, abrangendo desde agressões verbais e psicológicas até procedimentos invasivos realizados sem o devido consentimento da gestante, </w:t>
      </w:r>
      <w:r>
        <w:rPr>
          <w:rFonts w:ascii="Arial" w:hAnsi="Arial"/>
        </w:rPr>
        <w:lastRenderedPageBreak/>
        <w:t>comprometendo diretamente sua autonomia e dignidade.</w:t>
      </w:r>
    </w:p>
    <w:p w:rsidR="009D60B7" w:rsidRDefault="00425C09">
      <w:pPr>
        <w:pStyle w:val="NormalWeb"/>
        <w:spacing w:beforeAutospacing="0" w:afterAutospacing="0" w:line="360" w:lineRule="auto"/>
        <w:ind w:firstLine="1134"/>
        <w:jc w:val="both"/>
        <w:rPr>
          <w:rFonts w:ascii="Arial" w:hAnsi="Arial"/>
        </w:rPr>
      </w:pPr>
      <w:r>
        <w:rPr>
          <w:rFonts w:ascii="Arial" w:hAnsi="Arial"/>
        </w:rPr>
        <w:t>O tema delimita-se à análise da violência obstétrica no ordenamento jurídico brasileiro, investigando como a transição histórica do parto domiciliar para o modelo hospitalar medicalizado contribuiu para a redução da autonomia da mulher sobre seu próprio corpo. Esse processo de medicalização do parto consolidou a centralização do poder decisório nas mãos dos profissionais da saúde, afastando progressivamente a mulher do protagonismo sobre o nascimento. Diante desse cenário, surge a problemática central: diante da inexistência de uma tipificação penal específica para a violência obstétrica no Brasil, de que forma o Direito Penal pode ser aplicado para responsabilizar condutas que violam a integridade física e a dignidade da gestante?</w:t>
      </w:r>
    </w:p>
    <w:p w:rsidR="009D60B7" w:rsidRDefault="00425C09">
      <w:pPr>
        <w:pStyle w:val="NormalWeb"/>
        <w:spacing w:beforeAutospacing="0" w:afterAutospacing="0" w:line="360" w:lineRule="auto"/>
        <w:ind w:firstLine="1134"/>
        <w:jc w:val="both"/>
        <w:rPr>
          <w:rFonts w:ascii="Arial" w:hAnsi="Arial"/>
        </w:rPr>
      </w:pPr>
      <w:r>
        <w:rPr>
          <w:rFonts w:ascii="Arial" w:hAnsi="Arial"/>
        </w:rPr>
        <w:t>A relevância deste estudo justifica-se pela alta incidência do fenômeno — que atinge cerca de 25% das mulheres no país, com recortes alarmantes em hospitais públicos e entre populações vulneráveis. Mulheres negras, jovens e de baixa renda são frequentemente as mais atingidas, o que demonstra que a violência obstétrica também possui forte relação com desigualdades sociais e raciais estruturais. Além disso, a dificuldade na comprovação do nexo causal em casos de perda gestacional decorrente de agressões revela uma lacuna técnica e jurídica que demanda aprofundamento acadêmico para garantir a justiça social e a proteção da mulher.</w:t>
      </w:r>
    </w:p>
    <w:p w:rsidR="009D60B7" w:rsidRDefault="00425C09">
      <w:pPr>
        <w:pStyle w:val="NormalWeb"/>
        <w:spacing w:beforeAutospacing="0" w:afterAutospacing="0" w:line="360" w:lineRule="auto"/>
        <w:ind w:firstLine="1134"/>
        <w:jc w:val="both"/>
        <w:rPr>
          <w:rFonts w:ascii="Arial" w:hAnsi="Arial"/>
        </w:rPr>
      </w:pPr>
      <w:r>
        <w:rPr>
          <w:rFonts w:ascii="Arial" w:hAnsi="Arial"/>
        </w:rPr>
        <w:t xml:space="preserve">O objetivo geral consiste em analisar as possibilidades de responsabilização penal dos agentes de saúde e terceiros em casos de violência obstétrica no Brasil. Busca-se verificar se os mecanismos atualmente existentes no ordenamento jurídico são suficientes para assegurar a punição adequada dessas condutas ou se há necessidade de uma tipificação penal própria. </w:t>
      </w:r>
    </w:p>
    <w:p w:rsidR="009D60B7" w:rsidRDefault="00425C09">
      <w:pPr>
        <w:pStyle w:val="NormalWeb"/>
        <w:spacing w:beforeAutospacing="0" w:afterAutospacing="0" w:line="360" w:lineRule="auto"/>
        <w:ind w:firstLine="1134"/>
        <w:jc w:val="both"/>
        <w:rPr>
          <w:rFonts w:ascii="Arial" w:hAnsi="Arial"/>
        </w:rPr>
      </w:pPr>
      <w:r>
        <w:rPr>
          <w:rFonts w:ascii="Arial" w:hAnsi="Arial"/>
        </w:rPr>
        <w:t>Para tanto, estabelecem-se como objetivos específicos: investigar as raízes históricas e sociais da violência de gênero e do patriarcado no contexto obstétrico; identificar os dispositivos do Código Penal e legislações subsidiárias aplicáveis às condutas abusivas; examinar os desafios probatórios e a importância da perícia médica na configuração do nexo causal em crimes contra a gestante; e analisar o Projeto de Lei nº 1.763/2025 como proposta legislativa voltada à tipificação penal da violência obstétrica.</w:t>
      </w:r>
    </w:p>
    <w:p w:rsidR="009D60B7" w:rsidRDefault="00425C09" w:rsidP="00804507">
      <w:pPr>
        <w:pStyle w:val="NormalWeb"/>
        <w:spacing w:beforeAutospacing="0" w:afterAutospacing="0" w:line="360" w:lineRule="auto"/>
        <w:ind w:firstLine="1134"/>
        <w:jc w:val="both"/>
        <w:rPr>
          <w:rFonts w:ascii="Arial" w:hAnsi="Arial"/>
        </w:rPr>
      </w:pPr>
      <w:r>
        <w:rPr>
          <w:rFonts w:ascii="Arial" w:hAnsi="Arial"/>
        </w:rPr>
        <w:t xml:space="preserve">A metodologia adotada pauta-se na pesquisa bibliográfica e documental, com abordagem qualitativa. Utilizou-se a análise de doutrina jurídica, dispositivos legais, jurisprudências, projetos legislativos e fontes comparativas, visando fundamentar a discussão entre o fato social e a norma jurídica. Também foram utilizados dados </w:t>
      </w:r>
      <w:r>
        <w:rPr>
          <w:rFonts w:ascii="Arial" w:hAnsi="Arial"/>
        </w:rPr>
        <w:lastRenderedPageBreak/>
        <w:t>estatísticos de instituições como a Fundação Oswaldo Cruz (Fiocruz), Conselho Nacional de Justiça (CNJ), Ministério da Saúde e Fundação Perseu Abramo, a fim de demonstrar a dimensão social e estrutural da problemática.</w:t>
      </w:r>
    </w:p>
    <w:p w:rsidR="009D60B7" w:rsidRDefault="00425C09">
      <w:pPr>
        <w:pStyle w:val="NormalWeb"/>
        <w:spacing w:beforeAutospacing="0" w:afterAutospacing="0" w:line="360" w:lineRule="auto"/>
        <w:ind w:firstLine="1134"/>
        <w:jc w:val="both"/>
        <w:rPr>
          <w:rFonts w:ascii="Arial" w:hAnsi="Arial"/>
        </w:rPr>
      </w:pPr>
      <w:r>
        <w:rPr>
          <w:rFonts w:ascii="Arial" w:hAnsi="Arial"/>
        </w:rPr>
        <w:t>O trabalho está estruturado em três tópicos principais. O primeiro aborda o recorte teórico e histórico da violência obstétrica e suas raízes no patriarcado, demonstrando como a desigualdade de gênero contribuiu para a naturalização dessas práticas ao longo da história.</w:t>
      </w:r>
    </w:p>
    <w:p w:rsidR="009D60B7" w:rsidRDefault="00425C09">
      <w:pPr>
        <w:pStyle w:val="NormalWeb"/>
        <w:spacing w:beforeAutospacing="0" w:afterAutospacing="0" w:line="360" w:lineRule="auto"/>
        <w:ind w:firstLine="1134"/>
        <w:jc w:val="both"/>
        <w:rPr>
          <w:rFonts w:ascii="Arial" w:hAnsi="Arial"/>
        </w:rPr>
      </w:pPr>
      <w:r>
        <w:rPr>
          <w:rFonts w:ascii="Arial" w:hAnsi="Arial"/>
        </w:rPr>
        <w:t xml:space="preserve"> O segundo tópico detalha os apontamentos sobre os tipos penais vigentes e a legislação brasileira correlata, especialmente no que se refere à aplicação subsidiária do Código Penal (1940), da Lei Maria da Penha e da Lei do Ato Médico. Por fim, o terceiro tópico discute a viabilidade da responsabilização penal, focando no nexo causal, na análise de dados estatísticos, na importância da prova pericial e nas medidas de proteção e prevenção necessárias para a erradicação dessa violência, com destaque para o Projeto de Lei nº 1.763/2025 como possível solução legislativa para o problema.</w:t>
      </w:r>
    </w:p>
    <w:p w:rsidR="009D60B7" w:rsidRDefault="009D60B7">
      <w:pPr>
        <w:shd w:val="clear" w:color="auto" w:fill="FFFFFF"/>
        <w:spacing w:after="160" w:line="360" w:lineRule="auto"/>
        <w:ind w:firstLine="1134"/>
        <w:jc w:val="both"/>
        <w:rPr>
          <w:rFonts w:ascii="Arial" w:eastAsia="Times New Roman" w:hAnsi="Arial" w:cs="Times New Roman"/>
          <w:bCs/>
          <w:sz w:val="24"/>
          <w:szCs w:val="24"/>
          <w:lang w:eastAsia="pt-BR"/>
        </w:rPr>
      </w:pPr>
    </w:p>
    <w:p w:rsidR="009D60B7" w:rsidRPr="00761183" w:rsidRDefault="00425C09">
      <w:pPr>
        <w:pStyle w:val="PargrafodaLista"/>
        <w:numPr>
          <w:ilvl w:val="0"/>
          <w:numId w:val="1"/>
        </w:numPr>
        <w:shd w:val="clear" w:color="auto" w:fill="FFFFFF"/>
        <w:spacing w:after="160" w:line="360" w:lineRule="auto"/>
        <w:ind w:left="284" w:hanging="284"/>
        <w:contextualSpacing/>
        <w:rPr>
          <w:rFonts w:ascii="Arial" w:eastAsia="Times New Roman" w:hAnsi="Arial" w:cs="Times New Roman"/>
          <w:sz w:val="24"/>
          <w:szCs w:val="24"/>
          <w:lang w:eastAsia="pt-BR"/>
        </w:rPr>
      </w:pPr>
      <w:r w:rsidRPr="00761183">
        <w:rPr>
          <w:rFonts w:ascii="Arial" w:eastAsia="Times New Roman" w:hAnsi="Arial" w:cs="Times New Roman"/>
          <w:bCs/>
          <w:sz w:val="24"/>
          <w:szCs w:val="24"/>
          <w:lang w:eastAsia="pt-BR"/>
        </w:rPr>
        <w:t>RECORTE TEÓRICO: VIOLÊNCIA OBSTÉTRICA</w:t>
      </w:r>
    </w:p>
    <w:p w:rsidR="009D60B7" w:rsidRDefault="00425C09">
      <w:pPr>
        <w:shd w:val="clear" w:color="auto" w:fill="FFFFFF"/>
        <w:spacing w:line="360" w:lineRule="auto"/>
        <w:ind w:firstLine="1134"/>
        <w:jc w:val="both"/>
        <w:rPr>
          <w:rFonts w:ascii="Arial" w:eastAsia="Times New Roman" w:hAnsi="Arial" w:cs="Times New Roman"/>
          <w:sz w:val="20"/>
          <w:szCs w:val="20"/>
          <w:lang w:eastAsia="pt-BR"/>
        </w:rPr>
      </w:pPr>
      <w:r>
        <w:rPr>
          <w:rFonts w:ascii="Arial" w:eastAsia="Times New Roman" w:hAnsi="Arial" w:cs="Times New Roman"/>
          <w:sz w:val="24"/>
          <w:szCs w:val="24"/>
          <w:lang w:eastAsia="pt-BR"/>
        </w:rPr>
        <w:t>Inicialmente, torna-se importante a definição do termo violência. Para a Organização Mundial da Saúde (2002) violência é conceituada como:</w:t>
      </w:r>
    </w:p>
    <w:p w:rsidR="009D60B7" w:rsidRDefault="00425C09">
      <w:pPr>
        <w:shd w:val="clear" w:color="auto" w:fill="FFFFFF"/>
        <w:ind w:left="2275"/>
        <w:jc w:val="both"/>
        <w:rPr>
          <w:rFonts w:ascii="Arial" w:hAnsi="Arial"/>
          <w:sz w:val="20"/>
          <w:szCs w:val="20"/>
        </w:rPr>
      </w:pPr>
      <w:r>
        <w:rPr>
          <w:rFonts w:ascii="Arial" w:eastAsia="Times New Roman" w:hAnsi="Arial" w:cs="Times New Roman"/>
          <w:sz w:val="20"/>
          <w:szCs w:val="20"/>
          <w:lang w:eastAsia="pt-BR"/>
        </w:rPr>
        <w:t>O uso intencional da força ou poder em uma forma de ameaça ou efetivamente, contra si mesmo, outra pessoa ou grupo ou comunidade, que ocasiona ou tem grandes probabilidades de ocasionar lesão, morte, dano psíquico, alterações do desenvolvimento ou privações (OMS, 2002, p.5).</w:t>
      </w:r>
    </w:p>
    <w:p w:rsidR="009D60B7" w:rsidRDefault="00425C09">
      <w:pPr>
        <w:shd w:val="clear" w:color="auto" w:fill="FFFFFF"/>
        <w:spacing w:line="360" w:lineRule="auto"/>
        <w:ind w:firstLine="1134"/>
        <w:jc w:val="both"/>
        <w:rPr>
          <w:rFonts w:ascii="Arial" w:hAnsi="Arial"/>
          <w:sz w:val="20"/>
          <w:szCs w:val="20"/>
        </w:rPr>
      </w:pPr>
      <w:r>
        <w:rPr>
          <w:rFonts w:ascii="Arial" w:eastAsia="Times New Roman" w:hAnsi="Arial" w:cs="Times New Roman"/>
          <w:sz w:val="20"/>
          <w:szCs w:val="20"/>
          <w:lang w:eastAsia="pt-BR"/>
        </w:rPr>
        <w:t> </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De acordo com a Constituição Federal (1988), em seu artigo 5° consagra o princípio da igualdade formal ao estabelecer que “todos são iguais perante a lei, sem distinção de qualquer natureza”. Entretanto, essa igualdade deve ser compreendida de forma material, sobretudo quando analisada à luz das especificidades da mulher em estado gestacional, cuja condição demanda proteção diferenciada para garantir, de fato, a equidade.</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 Diante disso, as reflexões de Krüger (2006) contribuem ao evidenciar que a maternidade não pode ser tratada apenas como uma questão biológica, mas como um fenômeno social que expõe desigualdades estruturais, exigindo do Estado e da sociedade medidas que assegurem não apenas a proteção da gestante, mas também a efetiva concretização de seus direitos fundamentais. Assim, a tutela jurídica da gestante revela-se como instrumento de promoção da igualdade substancial, ao reconhecer que </w:t>
      </w:r>
      <w:r>
        <w:rPr>
          <w:rFonts w:ascii="Arial" w:eastAsia="Times New Roman" w:hAnsi="Arial" w:cs="Times New Roman"/>
          <w:sz w:val="24"/>
          <w:szCs w:val="24"/>
          <w:lang w:eastAsia="pt-BR"/>
        </w:rPr>
        <w:lastRenderedPageBreak/>
        <w:t>tratar desigualmente os desiguais é condição necessária para a realização da justiça social.</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Minayo (2006) destaca que Violência é questão de saúde pública, em especial, quando se trata de violência contra as mulheres, que ao longo dos anos padece devido a sociedade patriarcal.</w:t>
      </w:r>
      <w:r w:rsidRPr="00A94936">
        <w:rPr>
          <w:rFonts w:ascii="Arial" w:eastAsia="Times New Roman" w:hAnsi="Arial" w:cs="Times New Roman"/>
          <w:sz w:val="24"/>
          <w:szCs w:val="24"/>
          <w:lang w:val="pt-BR" w:eastAsia="pt-BR"/>
        </w:rPr>
        <w:t xml:space="preserve"> </w:t>
      </w:r>
      <w:r>
        <w:rPr>
          <w:rFonts w:ascii="Arial" w:eastAsia="Times New Roman" w:hAnsi="Arial" w:cs="Times New Roman"/>
          <w:sz w:val="24"/>
          <w:szCs w:val="24"/>
          <w:lang w:eastAsia="pt-BR"/>
        </w:rPr>
        <w:t xml:space="preserve">Mas o que é patriarcado? </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Na perspectiva de </w:t>
      </w:r>
      <w:r w:rsidRPr="00A94936">
        <w:rPr>
          <w:rFonts w:ascii="Arial" w:eastAsia="Times New Roman" w:hAnsi="Arial" w:cs="Times New Roman"/>
          <w:sz w:val="24"/>
          <w:szCs w:val="24"/>
          <w:lang w:val="pt-BR" w:eastAsia="pt-BR"/>
        </w:rPr>
        <w:t>Andrade</w:t>
      </w:r>
      <w:r>
        <w:rPr>
          <w:rFonts w:ascii="Arial" w:eastAsia="Times New Roman" w:hAnsi="Arial" w:cs="Times New Roman"/>
          <w:sz w:val="24"/>
          <w:szCs w:val="24"/>
          <w:lang w:eastAsia="pt-BR"/>
        </w:rPr>
        <w:t xml:space="preserve"> (2007), o patriarcado pode ser entendido como uma forma de organização social historicamente construída que estabelece e legitima a supremacia masculina nas diversas esferas da vida social. Trata-se de um sistema que ultrapassa o âmbito familiar, manifestando-se nas instituições políticas, econômicas e culturais, onde se consolidam relações desiguais de poder entre homens e mulheres. Nesse sentido, o patriarcado atua tanto no plano material quanto simbólico, ao definir papéis sociais baseados no gênero e ao naturalizar práticas que subordinam o feminino, contribuindo para a manutenção de estruturas de dominação e desigualdade.</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Em sequência, a violência obstétrica é compreendida como violência de gênero, em outras palavras, na desigualdade e assimetria entre o gênero masculino e feminino. A consequência está relacionada às relações de poder e se insere em uma cultura conservadora e patriarcal que enaltece a superioridade masculina e anula a mulher enquanto sujeito de direitos (Magalhães, 2020). </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Para Teles (2006) a violência contra a mulher tem sua gênese no patriarcalismo, onde de forma discriminatória e vexatória, a mulher devia submissão ao seu marido, sendo considerada hierarquicamente pessoa inferior a ele.</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Boudieau (1989) corrobora que no campo jurídico, quando as pessoas são violentadas, aqui neste recorte teórico, a mulher é vitima da violência, originada de forma discriminatória e em que pese se traduz da invisibilidade da mulher frente a sua submissão ao homem, que se torna realidade por agentes espontâneos, e desta forma, quando o Estado não garante essa proteção, ele violenta seus princípios mais basilares.</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Neste contexto, torna-se importante destacar que, em países como Argentina e também a Venezuela, a violência obstétrica já é criminalizada no que se refere a atos de condutas agressivas e abusivas que podem ocorrer antes, durante ou após o nascimento dos filhos, podendo ocorrer também em qualquer etapa do processo de maternidade, o que demonstra a importância da necessidade de cuidado e de proteção às mulheres no período de maior vulnerabilidade e sensibilidade de sua vida.</w:t>
      </w:r>
    </w:p>
    <w:p w:rsidR="009D60B7" w:rsidRDefault="00425C09">
      <w:pPr>
        <w:shd w:val="clear" w:color="auto" w:fill="FFFFFF"/>
        <w:spacing w:line="360" w:lineRule="auto"/>
        <w:ind w:firstLine="1134"/>
        <w:jc w:val="both"/>
        <w:rPr>
          <w:rFonts w:ascii="Arial" w:eastAsia="Times New Roman" w:hAnsi="Arial" w:cs="Times New Roman"/>
          <w:sz w:val="24"/>
          <w:szCs w:val="24"/>
          <w:lang w:eastAsia="pt-BR"/>
        </w:rPr>
      </w:pPr>
      <w:r>
        <w:rPr>
          <w:rFonts w:ascii="Arial" w:eastAsia="Times New Roman" w:hAnsi="Arial" w:cs="Times New Roman"/>
          <w:sz w:val="24"/>
          <w:szCs w:val="24"/>
          <w:lang w:eastAsia="pt-BR"/>
        </w:rPr>
        <w:t xml:space="preserve">De acordo com Malheiros (2012) os partos no Brasil, especialmente durante o período colonial e parte do imperial, eram realizados predominantemente no ambiente </w:t>
      </w:r>
      <w:r>
        <w:rPr>
          <w:rFonts w:ascii="Arial" w:eastAsia="Times New Roman" w:hAnsi="Arial" w:cs="Times New Roman"/>
          <w:sz w:val="24"/>
          <w:szCs w:val="24"/>
          <w:lang w:eastAsia="pt-BR"/>
        </w:rPr>
        <w:lastRenderedPageBreak/>
        <w:t xml:space="preserve">domiciliar, conduzidos por parteiras que detinham conhecimentos empíricos adquiridos pela experiência e pela tradição oral. Essas mulheres exerciam papel central no processo, sendo responsáveis não apenas pela condução do parto, mas também pelo cuidado com a gestante e o recém-nascido. As práticas envolviam elementos culturais e religiosos, como o uso de rezas, ervas medicinais e rituais simbólicos, refletindo a forte influência das crenças populares. </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Nesse contexto, a participação de médicos era limitada, tornando-se mais frequente apenas a partir do século XIX, com o avanço da medicalização e a institucionalização do parto. Além disso, as condições de higiene eram, em geral, precárias, o que contribuía para maiores riscos de complicações e infecções.</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De acordo com Camilo (2022) no final do século XIX médicos obstetras passaram a propagar que o parto era um procedimento predominantemente clínico. Perspectiva essa que foi consolidada apenas em meados do século XX. A partir do processo o parto passou a ser um evento progressivamente hospitalizadas sendo necessárias intervenções médicas. Constitui- se nesse contexto social a valorização do saber científico muitas vezes vindo contra o conhecimento adquirido de forma tradicional das parteiras, que realizavam os partos em base daquele conhecimento adquirido de forma empírica.</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Ademais a medicalização do parto é a adoção de procedimentos artificiais sem a devida avaliação individual passaram a ser associados a idéia de melhoria e assistência obstétrica. Contudo</w:t>
      </w:r>
      <w:r w:rsidRPr="00A94936">
        <w:rPr>
          <w:rFonts w:ascii="Arial" w:eastAsia="Times New Roman" w:hAnsi="Arial" w:cs="Times New Roman"/>
          <w:sz w:val="24"/>
          <w:szCs w:val="24"/>
          <w:lang w:val="pt-BR" w:eastAsia="pt-BR"/>
        </w:rPr>
        <w:t>,</w:t>
      </w:r>
      <w:r>
        <w:rPr>
          <w:rFonts w:ascii="Arial" w:eastAsia="Times New Roman" w:hAnsi="Arial" w:cs="Times New Roman"/>
          <w:sz w:val="24"/>
          <w:szCs w:val="24"/>
          <w:lang w:eastAsia="pt-BR"/>
        </w:rPr>
        <w:t xml:space="preserve"> ressalta Camilo (2022) </w:t>
      </w:r>
      <w:r w:rsidRPr="00A94936">
        <w:rPr>
          <w:rFonts w:ascii="Arial" w:eastAsia="Times New Roman" w:hAnsi="Arial" w:cs="Times New Roman"/>
          <w:sz w:val="24"/>
          <w:szCs w:val="24"/>
          <w:lang w:val="pt-BR" w:eastAsia="pt-BR"/>
        </w:rPr>
        <w:t xml:space="preserve">que </w:t>
      </w:r>
      <w:r>
        <w:rPr>
          <w:rFonts w:ascii="Arial" w:eastAsia="Times New Roman" w:hAnsi="Arial" w:cs="Times New Roman"/>
          <w:sz w:val="24"/>
          <w:szCs w:val="24"/>
          <w:lang w:eastAsia="pt-BR"/>
        </w:rPr>
        <w:t xml:space="preserve">nem sempre às intervenções excessivas representam necessariamente mais segurança para a gestante podendo ainda significar mais exposição a risco desnecessário. Dessa forma a hospitalização do nascimento alterou de forma significativa a experiência do parto, reduzindo de forma gradativa a autonomia da mulher sobre seu corpo e seu poder de decisão, de forma que no final do século XX aproximadamente 90% dos partos já ocorriam em ambiente hospitalar. </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Mesmo diante desse modelo de atenção à saúde, observa-se que a incidência da violência obstétrica ainda é recorrente sendo praticados pelos profissionais de forma recorrente, sendo eles médicos, enfermeiros, técnicos de enfermagem, obstetrizes entre outros. Vale destacar que nesses contextos várias condutas são inadequadas e violam a dignidade da mulher durante o clico gravídico- puerperal, incluindo xingamentos, humilhações,  comentários constrangedores, conforme aponta Camilo (2022). </w:t>
      </w:r>
    </w:p>
    <w:p w:rsidR="009D60B7" w:rsidRDefault="00425C09">
      <w:pPr>
        <w:shd w:val="clear" w:color="auto" w:fill="FFFFFF"/>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Diante da realidade relatada, fica evidente que é necessário se aprofundar </w:t>
      </w:r>
      <w:r>
        <w:rPr>
          <w:rFonts w:ascii="Arial" w:eastAsia="Times New Roman" w:hAnsi="Arial" w:cs="Times New Roman"/>
          <w:sz w:val="24"/>
          <w:szCs w:val="24"/>
          <w:lang w:eastAsia="pt-BR"/>
        </w:rPr>
        <w:lastRenderedPageBreak/>
        <w:t>buscando a compreensão das múltiplas formas de manifestação da violência obstetrícia. Para tanto torna-se fundamental analisar as terminologias associadas a temática. Como atos de desrespeito, abusos, maus tratos e demais práticas violentas que são cometidas pelos profissionais de saúde ao longo do período gestacional, parto e pós-parto, a fim de melhor delimitar o fenômeno e contribuir para a identificação e enfrentamento no âmbito social e jurídico. </w:t>
      </w:r>
    </w:p>
    <w:p w:rsidR="009D60B7" w:rsidRPr="00425C09" w:rsidRDefault="009D60B7">
      <w:pPr>
        <w:shd w:val="clear" w:color="auto" w:fill="FFFFFF"/>
        <w:spacing w:line="360" w:lineRule="auto"/>
        <w:ind w:firstLine="1134"/>
        <w:jc w:val="both"/>
        <w:rPr>
          <w:rFonts w:ascii="Arial" w:eastAsia="Times New Roman" w:hAnsi="Arial" w:cs="Times New Roman"/>
          <w:sz w:val="24"/>
          <w:szCs w:val="24"/>
          <w:lang w:eastAsia="pt-BR"/>
        </w:rPr>
      </w:pPr>
    </w:p>
    <w:p w:rsidR="009D60B7" w:rsidRPr="00425C09" w:rsidRDefault="00425C09">
      <w:pPr>
        <w:shd w:val="clear" w:color="auto" w:fill="FFFFFF"/>
        <w:spacing w:line="360" w:lineRule="auto"/>
        <w:jc w:val="both"/>
        <w:rPr>
          <w:rFonts w:ascii="Arial" w:eastAsia="Times New Roman" w:hAnsi="Arial" w:cs="Times New Roman"/>
          <w:sz w:val="24"/>
          <w:szCs w:val="24"/>
          <w:lang w:eastAsia="pt-BR"/>
        </w:rPr>
      </w:pPr>
      <w:r w:rsidRPr="00425C09">
        <w:rPr>
          <w:rFonts w:ascii="Arial" w:eastAsia="Times New Roman" w:hAnsi="Arial" w:cs="Times New Roman"/>
          <w:sz w:val="24"/>
          <w:szCs w:val="24"/>
          <w:lang w:val="pt-BR" w:eastAsia="pt-BR"/>
        </w:rPr>
        <w:t>2</w:t>
      </w:r>
      <w:r w:rsidRPr="00425C09">
        <w:rPr>
          <w:rFonts w:ascii="Arial" w:eastAsia="Times New Roman" w:hAnsi="Arial" w:cs="Times New Roman"/>
          <w:sz w:val="24"/>
          <w:szCs w:val="24"/>
          <w:lang w:eastAsia="pt-BR"/>
        </w:rPr>
        <w:t xml:space="preserve">. </w:t>
      </w:r>
      <w:r w:rsidRPr="00425C09">
        <w:rPr>
          <w:rFonts w:ascii="Arial" w:eastAsia="Times New Roman" w:hAnsi="Arial" w:cs="Times New Roman"/>
          <w:bCs/>
          <w:sz w:val="24"/>
          <w:szCs w:val="24"/>
          <w:lang w:eastAsia="pt-BR"/>
        </w:rPr>
        <w:t>APONTAMENTOS SOBRE OS TIPOS PENAIS EM CASO DE VIOLÊNCIA CONTRA A GESTANTE.</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Diante do cenário da problemática apresentada no capitulo anteriormente a violência obstétrica foi analisada sob o ponto de vista histórico, social e de gênero, faz-se necessário examinar e entender como o ordenamento jurídico brasileiro responde a tais práticas, em especial no âmbito da ceara penal.  Isso porque, embora se trate de uma problemática recorrente no contexto da assistência à saúde da mulher, ainda não há, no Brasil, uma tipificação penal específica para a violência obstétrica.</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Nesse contexto, a proteção da mulher gestante encontra fundamento em normas constitucionais que asseguram direitos fundamentais, como a dignidade da pessoa humana, a integridade física e psíquica e o direito à saúde (1988). </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Entretanto, conforme apontado por Diniz et al. (2015), o reconhecimento da violência obstétrica ainda enfrenta resistência no âmbito da prática médica, uma vez que muitas intervenções são justificadas como procedimentos rotineiros, o que contribui para a invisibilização dessas condutas e enfraquece a efetividade das denúncias.</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Embora inexista legislação específica que trate diretamente da violência obstétrica no Brasil, é possível identificar no Código Penal (1940) dispositivos que permitem o enquadramento dessas práticas como condutas criminosas, especialmente nos casos em que há violação à integridade física ou moral da gestante durante o período gravídico-puerperal.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Dessa forma, determinadas condutas podem ser enquadradas no artigo 129 do Código Penal (1940), que trata do crime de lesão corporal, quando houver agressões físicas ou intervenções indevidas que causem dano à gestante. De igual modo, situações que envolvam humilhações, constrangimentos ou ofensas verbais podem ser caracterizadas como crime de injúria, conforme previsto no artigo 140 do Código Penal (1940).</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Ademais, a Lei Maria da Penha nº 11.340 de 2006, embora voltada à violência </w:t>
      </w:r>
      <w:r>
        <w:rPr>
          <w:rFonts w:ascii="Arial" w:eastAsia="Times New Roman" w:hAnsi="Arial" w:cs="Times New Roman"/>
          <w:sz w:val="24"/>
          <w:szCs w:val="24"/>
          <w:lang w:eastAsia="pt-BR"/>
        </w:rPr>
        <w:lastRenderedPageBreak/>
        <w:t>doméstica e familiar, pode ser aplicada de forma subsidiária em situações de violência obstétrica, tendo em vista seu objetivo de proteção integral da mulher. No mesmo sentido, a Lei nº 12.842/2013, conhecida como Lei do Ato Médico, estabelece as atribuições e responsabilidades dos profissionais de saúde, servindo como parâmetro para a identificação de condutas abusivas no atendimento à gestante.</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Diante disso, ainda que não exista previsão legal específica, verifica-se que o ordenamento jurídico brasileiro dispõe de instrumentos capazes de responsabilizar práticas violadoras de direitos no contexto obstétrico. Todavia, a aplicação dessas normas enfrenta obstáculos, especialmente no que se refere à distinção entre procedimentos médicos legítimos e condutas que configuram efetiva violência.</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Nesse sentido, faz-se necessário aprofundar a análise dos tipos penais aplicáveis às situações mais graves, especialmente aquelas que envolvem a interrupção da gestação sem o consentimento da mulher.</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O Brasil, atualmente, dispõe, em seu Código Penal (1940), de um conjunto de dispositivos compreendidos entre os artigos 124 e 128 (Brasil, 1940), que tratam especificamente dos crimes de aborto, seja na hipótese de consentimento da gestante, seja quando provocado por terceiro sem o seu consentimento. Nos casos em que há aborto forçado, as penalidades são mais severas, considerando que, em regra, tais condutas envolvem violência, grave ameaça ou lesões à integridade da gestante, além de possíveis complicações em seu estado de saúde e da perda da vida do embrião ou feto.</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A violência contra a mulher gestante que resulta em aborto provocado sem o seu consentimento é tipificada no Direito Penal, conforme disposto nos artigos 125 e seguintes do Código Penal (1940):</w:t>
      </w:r>
    </w:p>
    <w:p w:rsidR="009D60B7" w:rsidRDefault="00425C09">
      <w:pPr>
        <w:ind w:left="2275"/>
        <w:jc w:val="both"/>
        <w:rPr>
          <w:rFonts w:ascii="Arial" w:hAnsi="Arial"/>
          <w:sz w:val="20"/>
          <w:szCs w:val="20"/>
        </w:rPr>
      </w:pPr>
      <w:r>
        <w:rPr>
          <w:rFonts w:ascii="Arial" w:eastAsia="Times New Roman" w:hAnsi="Arial" w:cs="Times New Roman"/>
          <w:sz w:val="20"/>
          <w:szCs w:val="20"/>
          <w:lang w:eastAsia="pt-BR"/>
        </w:rPr>
        <w:t>Art. 125 – Provocar aborto, sem o consentimento da gestante:</w:t>
      </w:r>
    </w:p>
    <w:p w:rsidR="009D60B7" w:rsidRDefault="00425C09">
      <w:pPr>
        <w:ind w:left="2275"/>
        <w:jc w:val="both"/>
        <w:rPr>
          <w:rFonts w:ascii="Arial" w:hAnsi="Arial"/>
          <w:sz w:val="20"/>
          <w:szCs w:val="20"/>
        </w:rPr>
      </w:pPr>
      <w:r>
        <w:rPr>
          <w:rFonts w:ascii="Arial" w:eastAsia="Times New Roman" w:hAnsi="Arial" w:cs="Times New Roman"/>
          <w:sz w:val="20"/>
          <w:szCs w:val="20"/>
          <w:lang w:eastAsia="pt-BR"/>
        </w:rPr>
        <w:t>Pena – reclusão, de três a dez anos.</w:t>
      </w:r>
    </w:p>
    <w:p w:rsidR="009D60B7" w:rsidRDefault="00425C09">
      <w:pPr>
        <w:ind w:left="2275"/>
        <w:jc w:val="both"/>
        <w:rPr>
          <w:rFonts w:ascii="Arial" w:hAnsi="Arial"/>
          <w:sz w:val="20"/>
          <w:szCs w:val="20"/>
        </w:rPr>
      </w:pPr>
      <w:r>
        <w:rPr>
          <w:rFonts w:ascii="Arial" w:eastAsia="Times New Roman" w:hAnsi="Arial" w:cs="Times New Roman"/>
          <w:sz w:val="20"/>
          <w:szCs w:val="20"/>
          <w:lang w:eastAsia="pt-BR"/>
        </w:rPr>
        <w:t>(...)</w:t>
      </w:r>
    </w:p>
    <w:p w:rsidR="009D60B7" w:rsidRDefault="00425C09">
      <w:pPr>
        <w:ind w:left="2275"/>
        <w:jc w:val="both"/>
        <w:rPr>
          <w:rFonts w:ascii="Arial" w:hAnsi="Arial"/>
          <w:sz w:val="20"/>
          <w:szCs w:val="20"/>
        </w:rPr>
      </w:pPr>
      <w:r>
        <w:rPr>
          <w:rFonts w:ascii="Arial" w:eastAsia="Times New Roman" w:hAnsi="Arial" w:cs="Times New Roman"/>
          <w:sz w:val="20"/>
          <w:szCs w:val="20"/>
          <w:lang w:eastAsia="pt-BR"/>
        </w:rPr>
        <w:t xml:space="preserve">Art. 127 – As penas cominadas nos dois artigos anteriores são aumentadas de um terço se, em consequência do aborto ou dos meios empregados para provocá-lo, a gestante sofre lesão corporal de natureza grave; e são duplicadas se, por qualquer dessas causas, lhe sobrevém a morte. </w:t>
      </w:r>
    </w:p>
    <w:p w:rsidR="009D60B7" w:rsidRDefault="009D60B7">
      <w:pPr>
        <w:spacing w:line="360" w:lineRule="auto"/>
        <w:ind w:firstLine="1134"/>
        <w:jc w:val="both"/>
        <w:rPr>
          <w:rFonts w:ascii="Arial" w:eastAsia="Times New Roman" w:hAnsi="Arial" w:cs="Times New Roman"/>
          <w:sz w:val="20"/>
          <w:szCs w:val="20"/>
          <w:lang w:eastAsia="pt-BR"/>
        </w:rPr>
      </w:pP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Entretanto, cabe destacar que tais dispositivos representam apenas a tipificação penal do crime de aborto. No ordenamento jurídico brasileiro, em regra, o aborto é proibido, sendo admitido excepcionalmente nas hipóteses previstas no artigo 128 do Código Penal (Brasil, 1940, </w:t>
      </w:r>
      <w:r>
        <w:rPr>
          <w:rFonts w:ascii="Arial" w:eastAsia="Times New Roman" w:hAnsi="Arial" w:cs="Times New Roman"/>
          <w:i/>
          <w:sz w:val="24"/>
          <w:szCs w:val="24"/>
          <w:lang w:eastAsia="pt-BR"/>
        </w:rPr>
        <w:t>on-line</w:t>
      </w:r>
      <w:r>
        <w:rPr>
          <w:rFonts w:ascii="Arial" w:eastAsia="Times New Roman" w:hAnsi="Arial" w:cs="Times New Roman"/>
          <w:sz w:val="24"/>
          <w:szCs w:val="24"/>
          <w:lang w:eastAsia="pt-BR"/>
        </w:rPr>
        <w:t xml:space="preserve">), quando realizado por médico: “Art. 128 – Não se pune o aborto praticado por médico: (Vide ADPF 54), I – se não há outro meio </w:t>
      </w:r>
      <w:r>
        <w:rPr>
          <w:rFonts w:ascii="Arial" w:eastAsia="Times New Roman" w:hAnsi="Arial" w:cs="Times New Roman"/>
          <w:sz w:val="24"/>
          <w:szCs w:val="24"/>
          <w:lang w:eastAsia="pt-BR"/>
        </w:rPr>
        <w:lastRenderedPageBreak/>
        <w:t>de salvar a vida da gestante; II – se a gravidez resulta de estupro e o aborto é precedido de consentimento da gestante ou, quando incapaz, de seu representante legal”.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No que se refere ao conceito, o aborto pode ser entendido como a interrupção da gestação antes do seu curso natural, resultando na cessação da vida intrauterina. Trata-se, portanto, de uma conduta dirigida à eliminação do feto, podendo ocorrer ainda no ventre materno ou por meio de procedimentos destinados à sua retirada com esse propósito</w:t>
      </w:r>
      <w:r w:rsidRPr="00A94936">
        <w:rPr>
          <w:rFonts w:ascii="Arial" w:eastAsia="Times New Roman" w:hAnsi="Arial" w:cs="Times New Roman"/>
          <w:sz w:val="24"/>
          <w:szCs w:val="24"/>
          <w:lang w:val="pt-BR" w:eastAsia="pt-BR"/>
        </w:rPr>
        <w:t xml:space="preserve">, conforme dispõe o </w:t>
      </w:r>
      <w:r>
        <w:rPr>
          <w:rFonts w:ascii="Arial" w:eastAsia="Times New Roman" w:hAnsi="Arial" w:cs="Times New Roman"/>
          <w:sz w:val="24"/>
          <w:szCs w:val="24"/>
          <w:lang w:eastAsia="pt-BR"/>
        </w:rPr>
        <w:t xml:space="preserve"> Código Penal</w:t>
      </w:r>
      <w:r w:rsidRPr="00A94936">
        <w:rPr>
          <w:rFonts w:ascii="Arial" w:eastAsia="Times New Roman" w:hAnsi="Arial" w:cs="Times New Roman"/>
          <w:sz w:val="24"/>
          <w:szCs w:val="24"/>
          <w:lang w:val="pt-BR" w:eastAsia="pt-BR"/>
        </w:rPr>
        <w:t xml:space="preserve"> </w:t>
      </w:r>
      <w:r>
        <w:rPr>
          <w:rFonts w:ascii="Arial" w:eastAsia="Times New Roman" w:hAnsi="Arial" w:cs="Times New Roman"/>
          <w:sz w:val="24"/>
          <w:szCs w:val="24"/>
          <w:lang w:eastAsia="pt-BR"/>
        </w:rPr>
        <w:t>(1940).</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Importa destacar que, caso a conduta resulte no nascimento com vida e, posteriormente, ocorra a morte do recém-nascido, não se estará mais diante do crime de aborto, mas sim do crime de homicídio, nos termos do artigo 121 do Código Penal (1940).</w:t>
      </w:r>
    </w:p>
    <w:p w:rsidR="009D60B7" w:rsidRDefault="00425C09">
      <w:pPr>
        <w:pStyle w:val="NormalWeb"/>
        <w:spacing w:beforeAutospacing="0" w:afterAutospacing="0" w:line="360" w:lineRule="auto"/>
        <w:ind w:firstLine="1134"/>
        <w:jc w:val="both"/>
      </w:pPr>
      <w:r>
        <w:rPr>
          <w:rFonts w:ascii="Arial" w:hAnsi="Arial"/>
        </w:rPr>
        <w:t>Além disso, é essencial distinguir o crime de aborto do delito de lesão corporal. Enquanto na lesão corporal o objetivo do agente é causar dano físico à vítima, no aborto a finalidade é a interrupção da gestação com a eliminação da vida intrauterina. Todavia, é possível a ocorrência de concurso de crimes, especialmente quando a agressão dirigida à gestante resulta simultaneamente em lesão corporal e na interrupção da gestação. Nesse sentido, leciona</w:t>
      </w:r>
      <w:r>
        <w:rPr>
          <w:rStyle w:val="whitespace-normal"/>
          <w:rFonts w:ascii="Arial" w:hAnsi="Arial"/>
        </w:rPr>
        <w:t xml:space="preserve"> Bitencourt</w:t>
      </w:r>
      <w:r>
        <w:rPr>
          <w:rFonts w:ascii="Arial" w:hAnsi="Arial"/>
        </w:rPr>
        <w:t>:</w:t>
      </w:r>
    </w:p>
    <w:p w:rsidR="009D60B7" w:rsidRDefault="00425C09">
      <w:pPr>
        <w:pStyle w:val="NormalWeb"/>
        <w:spacing w:beforeAutospacing="0" w:afterAutospacing="0"/>
        <w:ind w:left="2275"/>
        <w:jc w:val="both"/>
        <w:rPr>
          <w:rFonts w:ascii="Arial" w:hAnsi="Arial"/>
          <w:sz w:val="20"/>
          <w:szCs w:val="20"/>
        </w:rPr>
      </w:pPr>
      <w:r>
        <w:rPr>
          <w:rFonts w:ascii="Arial" w:hAnsi="Arial"/>
          <w:sz w:val="20"/>
          <w:szCs w:val="20"/>
        </w:rPr>
        <w:t>Quando um sujeito, mediante unidade ou pluralidade de comportamentos, pratica dois ou mais delito surge o concurso de crimes (concursus delictorum). O concurso pode ocorrer entre crimes de qualquer espécie, comissivos ou omissivos, dolosos ou culposos, consumados ou tentados, simples ou qualificados e ainda entre crimes e contravenções (Bitencourt, 2010</w:t>
      </w:r>
      <w:r>
        <w:rPr>
          <w:rFonts w:ascii="Arial" w:hAnsi="Arial"/>
          <w:sz w:val="20"/>
          <w:szCs w:val="20"/>
          <w:lang w:val="pt-BR"/>
        </w:rPr>
        <w:t xml:space="preserve">, </w:t>
      </w:r>
      <w:r>
        <w:rPr>
          <w:rFonts w:ascii="Arial" w:hAnsi="Arial"/>
          <w:i/>
          <w:iCs/>
          <w:sz w:val="20"/>
          <w:szCs w:val="20"/>
          <w:lang w:val="pt-BR"/>
        </w:rPr>
        <w:t>online</w:t>
      </w:r>
      <w:r>
        <w:rPr>
          <w:rFonts w:ascii="Arial" w:hAnsi="Arial"/>
          <w:sz w:val="20"/>
          <w:szCs w:val="20"/>
        </w:rPr>
        <w:t>).</w:t>
      </w:r>
    </w:p>
    <w:p w:rsidR="009D60B7" w:rsidRDefault="009D60B7">
      <w:pPr>
        <w:pStyle w:val="NormalWeb"/>
        <w:spacing w:beforeAutospacing="0" w:afterAutospacing="0"/>
        <w:ind w:left="2275"/>
        <w:jc w:val="both"/>
        <w:rPr>
          <w:rFonts w:ascii="Arial" w:hAnsi="Arial"/>
          <w:sz w:val="20"/>
          <w:szCs w:val="20"/>
        </w:rPr>
      </w:pPr>
    </w:p>
    <w:p w:rsidR="009D60B7" w:rsidRDefault="00425C09">
      <w:pPr>
        <w:pStyle w:val="NormalWeb"/>
        <w:spacing w:beforeAutospacing="0" w:afterAutospacing="0" w:line="360" w:lineRule="auto"/>
        <w:ind w:firstLine="1134"/>
        <w:jc w:val="both"/>
        <w:rPr>
          <w:rFonts w:ascii="Arial" w:hAnsi="Arial"/>
        </w:rPr>
      </w:pPr>
      <w:r>
        <w:rPr>
          <w:rFonts w:ascii="Arial" w:hAnsi="Arial"/>
        </w:rPr>
        <w:t>Dessa forma, havendo agressão contra a gestante com produção simultânea de lesão corporal e aborto sem consentimento, é juridicamente possível o reconhecimento do concurso de crimes, com a correspondente aplicação das regras próprias de dosimetria penal.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Por </w:t>
      </w:r>
      <w:r w:rsidRPr="00A94936">
        <w:rPr>
          <w:rFonts w:ascii="Arial" w:eastAsia="Times New Roman" w:hAnsi="Arial" w:cs="Times New Roman"/>
          <w:sz w:val="24"/>
          <w:szCs w:val="24"/>
          <w:lang w:val="pt-BR" w:eastAsia="pt-BR"/>
        </w:rPr>
        <w:t>conseguinte</w:t>
      </w:r>
      <w:r>
        <w:rPr>
          <w:rFonts w:ascii="Arial" w:eastAsia="Times New Roman" w:hAnsi="Arial" w:cs="Times New Roman"/>
          <w:sz w:val="24"/>
          <w:szCs w:val="24"/>
          <w:lang w:eastAsia="pt-BR"/>
        </w:rPr>
        <w:t>, a responsabilização penal no Direito brasileiro é estruturada, majoritariamente, com base na teoria tripartite do crime, composta por fato típico, ilícito e culpável. Nesse contexto, o dolo e a culpa constituem elementos subjetivos essenciais da conduta, sendo indispensável a demonstração do nexo causal entre a ação do agente e o resultado produzido.</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O dolo, conforme o artigo 18, inciso I, do Código Penal (1940), consiste na vontade consciente de praticar a conduta típica, podendo se manifestar de forma direta ou eventual. Já a culpa, prevista no artigo 18, inciso II, ocorre quando o agente não deseja o resultado, mas o produz em razão da violação do dever de cuidado, </w:t>
      </w:r>
      <w:r>
        <w:rPr>
          <w:rFonts w:ascii="Arial" w:eastAsia="Times New Roman" w:hAnsi="Arial" w:cs="Times New Roman"/>
          <w:sz w:val="24"/>
          <w:szCs w:val="24"/>
          <w:lang w:eastAsia="pt-BR"/>
        </w:rPr>
        <w:lastRenderedPageBreak/>
        <w:t>manifestando-se nas modalidades de negligência, imprudência ou imperícia.</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O nexo causal, por sua vez, conforme o artigo 13 do Código Penal (1940) corresponde à relação entre a conduta do agente e o resultado produzido, sendo regido pela teoria da equivalência dos antecedentes causais </w:t>
      </w:r>
      <w:r>
        <w:rPr>
          <w:rFonts w:ascii="Arial" w:eastAsia="Times New Roman" w:hAnsi="Arial" w:cs="Times New Roman"/>
          <w:i/>
          <w:sz w:val="24"/>
          <w:szCs w:val="24"/>
          <w:lang w:eastAsia="pt-BR"/>
        </w:rPr>
        <w:t>(conditio sine qua non),</w:t>
      </w:r>
      <w:r>
        <w:rPr>
          <w:rFonts w:ascii="Arial" w:eastAsia="Times New Roman" w:hAnsi="Arial" w:cs="Times New Roman"/>
          <w:sz w:val="24"/>
          <w:szCs w:val="24"/>
          <w:lang w:eastAsia="pt-BR"/>
        </w:rPr>
        <w:t xml:space="preserve"> (que pode ser traduzido como “condição sem a qual”, portanto, algo considerado indispensável para que algum fato aconteça), com limitações impostas pela teoria da imputação objetiva.</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Dessa forma, a configuração da responsabilidade penal exige a presença de conduta voluntária, resultado, nexo causal e tipicidade, sendo vedada, como regra, a responsabilização objetiva no Direito Penal.</w:t>
      </w:r>
    </w:p>
    <w:p w:rsidR="009D60B7" w:rsidRDefault="009D60B7">
      <w:pPr>
        <w:spacing w:line="360" w:lineRule="auto"/>
        <w:ind w:firstLine="1134"/>
        <w:rPr>
          <w:rFonts w:ascii="Arial" w:hAnsi="Arial" w:cs="Times New Roman"/>
          <w:b/>
          <w:sz w:val="24"/>
          <w:szCs w:val="24"/>
        </w:rPr>
      </w:pPr>
    </w:p>
    <w:p w:rsidR="009D60B7" w:rsidRPr="00425C09" w:rsidRDefault="00425C09">
      <w:pPr>
        <w:pStyle w:val="PargrafodaLista"/>
        <w:spacing w:line="360" w:lineRule="auto"/>
        <w:ind w:left="142"/>
        <w:jc w:val="both"/>
        <w:rPr>
          <w:rFonts w:ascii="Arial" w:hAnsi="Arial" w:cs="Times New Roman"/>
          <w:sz w:val="24"/>
          <w:szCs w:val="24"/>
        </w:rPr>
      </w:pPr>
      <w:r w:rsidRPr="00425C09">
        <w:rPr>
          <w:rFonts w:ascii="Arial" w:hAnsi="Arial" w:cs="Times New Roman"/>
          <w:sz w:val="24"/>
          <w:szCs w:val="24"/>
          <w:lang w:val="pt-BR"/>
        </w:rPr>
        <w:t>3</w:t>
      </w:r>
      <w:r w:rsidRPr="00425C09">
        <w:rPr>
          <w:rFonts w:ascii="Arial" w:hAnsi="Arial" w:cs="Times New Roman"/>
          <w:sz w:val="24"/>
          <w:szCs w:val="24"/>
        </w:rPr>
        <w:t>. HÁ RESPONSABILIZAÇÃO PENAL EM CASOS DE VIOLÊNCIA OBSTÉTRICA CONTRA GESTANTES NO BRASIL?</w:t>
      </w:r>
    </w:p>
    <w:p w:rsidR="009D60B7" w:rsidRDefault="00425C09">
      <w:pPr>
        <w:spacing w:line="360" w:lineRule="auto"/>
        <w:ind w:firstLine="1134"/>
        <w:jc w:val="both"/>
        <w:rPr>
          <w:rFonts w:ascii="Arial" w:eastAsia="Times New Roman" w:hAnsi="Arial" w:cs="Times New Roman"/>
          <w:sz w:val="24"/>
          <w:szCs w:val="24"/>
          <w:lang w:eastAsia="pt-BR"/>
        </w:rPr>
      </w:pPr>
      <w:r>
        <w:rPr>
          <w:rFonts w:ascii="Arial" w:eastAsia="Times New Roman" w:hAnsi="Arial" w:cs="Times New Roman"/>
          <w:sz w:val="24"/>
          <w:szCs w:val="24"/>
          <w:lang w:eastAsia="pt-BR"/>
        </w:rPr>
        <w:t>A violência obstétrica consiste em condutas praticadas por profissionais de saúde ou instituições hospitalares que violam a integridade física, psíquica e moral da gestante, parturiente ou puérpera, por meio de procedimentos desnecessários, intervenções sem consentimento, tratamento desumanizado, humilhações verbais, negligência assistencial ou omissões capazes de comprometer a saúde materna e fetal. Segundo a Organização Mundial da Saúde (OMS, 2018), trata-se de uma forma de violência de gênero e de violação aos direitos humanos da mulher, especialmente ao direito à dignidade, à saúde e à autonomia reprodutiva.</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 A Constituição Federal de 1988 também assegura a proteção à dignidade da pessoa humana, à saúde e à maternidade, fundamentos diretamente relacionados à proteção da gestante, (1988). O Conselho Nacional de Justiça reforça que tais práticas violam direitos fundamentais e comprometem a segurança da assistência obstétrica (CNJ, 2024).</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Embora amplamente reconhecida no campo da saúde pública e dos direitos fundamentais, o ordenamento jurídico brasileiro ainda não possui tipificação penal autônoma específica para a violência obstétrica, o que representa uma relevante lacuna legislativa. Conforme explicam Matsushita e Sobral (2023), a responsabilização penal ocorre atualmente de forma indireta, mediante o enquadramento das condutas em tipos penais já previstos no Código Penal.</w:t>
      </w:r>
    </w:p>
    <w:p w:rsidR="009D60B7" w:rsidRDefault="00425C09">
      <w:pPr>
        <w:spacing w:line="360" w:lineRule="auto"/>
        <w:ind w:firstLine="1134"/>
        <w:jc w:val="both"/>
        <w:rPr>
          <w:rFonts w:ascii="Arial" w:eastAsia="Times New Roman" w:hAnsi="Arial" w:cs="Times New Roman"/>
          <w:sz w:val="24"/>
          <w:szCs w:val="24"/>
          <w:lang w:eastAsia="pt-BR"/>
        </w:rPr>
      </w:pPr>
      <w:r>
        <w:rPr>
          <w:rFonts w:ascii="Arial" w:eastAsia="Times New Roman" w:hAnsi="Arial" w:cs="Times New Roman"/>
          <w:sz w:val="24"/>
          <w:szCs w:val="24"/>
          <w:lang w:eastAsia="pt-BR"/>
        </w:rPr>
        <w:t xml:space="preserve">Entretanto, tais figuras típicas não contemplam de forma integral a especificidade da violência obstétrica, o que dificulta a adequada responsabilização dos agentes e contribui para a permanência da impunidade. </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lastRenderedPageBreak/>
        <w:t>Segundo Nucci (2023), o Direito Penal brasileiro se fundamenta no princípio da legalidade, segundo o qual não há crime sem lei anterior que o defina, conforme estabelece o artigo 5º, inciso XXXIX, da Constituição Federal (1988) e o artigo 1º do Código Penal (1940). Dessa forma, a ausência de um tipo penal específico impede que essa prática seja reconhecida como crime autônomo, obrigando o Poder Judiciário a recorrer a enquadramentos subsidiários que, muitas vezes, não refletem a real gravidade da violação sofrida pela mulher.</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Nesse contexto, uma das principais dificuldades práticas refere-se à comprovação do nexo causal, especialmente nos casos em que a violência obstétrica resulta em aborto, natimortalidade ou óbito fetal. O Código Penal estabelece em seu artigo 13 que o resultado somente é imputável a quem lhe deu causa, sendo indispensável a demonstração de que a conduta do agente foi determinante para a interrupção da gestação ou para o agravamento do quadro clínico da paciente (1940).</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Segundo Nucci (2023), a comprovação desse vínculo depende, em regra, de prova pericial médica conclusiva, capaz de demonstrar que a conduta praticada — seja por ação ou omissão — efetivamente contribuiu para o resultado lesivo. Não basta a existência de sofrimento físico ou emocional da gestante; exige-se a demonstração técnica de que houve relação direta entre o comportamento do profissional e a morte fetal, aborto ou lesão produzida. Essa exigência probatória representa uma das maiores barreiras à responsabilização penal.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O Ministério da Saúde (2017) destaca que muitas perdas gestacionais decorrem de causas naturais, como hipertensão gestacional, pré-eclâmpsia, insuficiência placentária e má formação fetal. Essa realidade torna ainda mais complexa a distinção entre aborto espontâneo e aborto provocado por agressão ou negligência médica. Quanto maior o lapso temporal entre a violência sofrida e a interrupção da gravidez, maior também se torna a dificuldade de estabelecer o vínculo causal exigido pela norma penal.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Mesmo diante de agressões físicas evidentes, a responsabilização pelo crime de aborto provocado por terceiro depende da comprovação técnica de que a conduta foi determinante para o resultado. O Código Penal não admite presunção de causalidade, sendo indispensável a produção de laudo pericial robusto e conclusivo para que haja condenação penal (1940). Nucci (2023) reforça que a simples ocorrência da agressão não é suficiente para a imputação criminal sem a prova segura do liame causal.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A gravidade da problemática também se revela nos dados estatísticos. A </w:t>
      </w:r>
      <w:r>
        <w:rPr>
          <w:rFonts w:ascii="Arial" w:eastAsia="Times New Roman" w:hAnsi="Arial" w:cs="Times New Roman"/>
          <w:sz w:val="24"/>
          <w:szCs w:val="24"/>
          <w:lang w:eastAsia="pt-BR"/>
        </w:rPr>
        <w:lastRenderedPageBreak/>
        <w:t>pesquisa “Mulheres brasileiras e gênero nos espaços, público e privado”, realizada pela Fundação Perseu Abramo em parceria com o SESC, identificou que aproximadamente uma em cada quatro mulheres brasileiras relata ter sofrido algum tipo de violência obstétrica durante o parto (FUNDAÇÃO PERSEU ABRAMO; SESC, 2010). O Conselho Nacional de Justiça (2024) também destaca que práticas abusivas, como episiotomias desnecessárias, excesso de intervenções sem consentimento e violência verbal durante o parto, ainda são recorrentes no país, especialmente entre mulheres negras, jovens e de baixa renda, evidenciando o caráter estrutural e discriminatório dessa forma de violência.</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Diante desse cenário, a ausência de tipificação penal específica tem sido amplamente criticada pela doutrina. Matsushita e Sobral (2023) apontam que a inexistência de norma penal autônoma gera insegurança jurídica, fragiliza a proteção da vítima e contribui para a naturalização das práticas abusivas no ambiente hospitalar. Isso dificulta a efetividade da tutela jurisdicional e enfraquece o caráter preventivo da sanção penal.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Como resposta legislativa a essa lacuna, destaca-se o Projeto de Lei nº 1.763/2025, atualmente em tramitação na Câmara dos Deputados. O próprio texto legislativo dispõe sobre diretrizes voltadas à atenção pré-natal, ao trabalho de parto, ao nascimento e ao puerpério, bem como estabelece as condições para a tipificação penal da violência obstétrica ( 2025). A proposta representa importante avanço na tentativa de superar a ausência de previsão legal específica e fortalecer a tutela penal das gestantes no Brasil.</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Segundo informações divulgadas pela Câmara dos Deputados (2025), o projeto prevê a tipificação expressa da violência obstétrica como crime, com gradação de penas conforme a gravidade do resultado. Nos casos de violência física sem agravantes, a pena prevista é de detenção de um a três anos; se houver lesão corporal grave, a pena passa a ser de reclusão de dois a seis anos; em situações que resultem em lesão gravíssima ou aborto, a pena poderá variar de três a oito anos de reclusão; e, se houver morte da gestante ou do nascituro, a pena poderá alcançar de cinco a quinze anos de reclusão.</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 xml:space="preserve">Além da responsabilização penal, o projeto também busca assegurar atendimento humanizado durante o pré-natal, parto e puerpério, prevenindo intervenções abusivas, desnecessárias e desrespeitosas. A Organização Mundial da Saúde (OMS, 2018) já recomenda práticas obstétricas baseadas no respeito à </w:t>
      </w:r>
      <w:r>
        <w:rPr>
          <w:rFonts w:ascii="Arial" w:eastAsia="Times New Roman" w:hAnsi="Arial" w:cs="Times New Roman"/>
          <w:sz w:val="24"/>
          <w:szCs w:val="24"/>
          <w:lang w:eastAsia="pt-BR"/>
        </w:rPr>
        <w:lastRenderedPageBreak/>
        <w:t>autonomia da mulher e na humanização da assistência. Dessa forma, o Projeto de Lei nº 1.763/2025 fortalece a proteção aos direitos fundamentais da mulher e concretiza os princípios constitucionais da dignidade da pessoa humana e da proteção integral à maternidade (1988).</w:t>
      </w:r>
    </w:p>
    <w:p w:rsidR="009D60B7" w:rsidRDefault="00425C09">
      <w:pPr>
        <w:spacing w:line="360" w:lineRule="auto"/>
        <w:ind w:firstLine="1134"/>
        <w:jc w:val="both"/>
        <w:rPr>
          <w:rFonts w:ascii="Arial" w:hAnsi="Arial"/>
          <w:sz w:val="24"/>
          <w:szCs w:val="24"/>
        </w:rPr>
      </w:pPr>
      <w:r>
        <w:rPr>
          <w:rFonts w:ascii="Arial" w:eastAsia="Times New Roman" w:hAnsi="Arial" w:cs="Times New Roman"/>
          <w:sz w:val="24"/>
          <w:szCs w:val="24"/>
          <w:lang w:eastAsia="pt-BR"/>
        </w:rPr>
        <w:t>Portanto, embora exista possibilidade de responsabilização penal no Brasil, ela ainda ocorre de forma limitada e insuficiente, em razão da ausência de tipificação específica, da dificuldade de comprovação do nexo causal e da dependência excessiva de prova pericial técnica. Nesse cenário, o Projeto de Lei nº 1.763/2025 surge como instrumento essencial para o enfrentamento da violência obstétrica, funcionando não apenas como mecanismo repressivo, mas também como medida preventiva e de afirmação da dignidade da mulher no sistema de saúde.</w:t>
      </w:r>
    </w:p>
    <w:p w:rsidR="009D60B7" w:rsidRDefault="009D60B7">
      <w:pPr>
        <w:pStyle w:val="NormalWeb"/>
        <w:spacing w:beforeAutospacing="0" w:afterAutospacing="0" w:line="360" w:lineRule="auto"/>
        <w:jc w:val="both"/>
        <w:rPr>
          <w:rFonts w:ascii="Arial" w:hAnsi="Arial"/>
          <w:b/>
        </w:rPr>
      </w:pPr>
    </w:p>
    <w:p w:rsidR="009D60B7" w:rsidRPr="00425C09" w:rsidRDefault="00425C09">
      <w:pPr>
        <w:pStyle w:val="NormalWeb"/>
        <w:spacing w:beforeAutospacing="0" w:afterAutospacing="0" w:line="360" w:lineRule="auto"/>
        <w:jc w:val="both"/>
        <w:rPr>
          <w:rFonts w:ascii="Arial" w:hAnsi="Arial"/>
        </w:rPr>
      </w:pPr>
      <w:r w:rsidRPr="00425C09">
        <w:rPr>
          <w:rFonts w:ascii="Arial" w:hAnsi="Arial"/>
        </w:rPr>
        <w:t>CONCLUSÃO</w:t>
      </w:r>
    </w:p>
    <w:p w:rsidR="009D60B7" w:rsidRDefault="00425C09">
      <w:pPr>
        <w:pStyle w:val="NormalWeb"/>
        <w:spacing w:beforeAutospacing="0" w:afterAutospacing="0" w:line="360" w:lineRule="auto"/>
        <w:ind w:firstLine="1134"/>
        <w:jc w:val="both"/>
        <w:rPr>
          <w:rFonts w:ascii="Arial" w:hAnsi="Arial"/>
        </w:rPr>
      </w:pPr>
      <w:r>
        <w:rPr>
          <w:rFonts w:ascii="Arial" w:hAnsi="Arial"/>
        </w:rPr>
        <w:t>A presente pesquisa permitiu compreender que a violência obstétrica não representa um fato isolado na prática médica, mas sim o ápice de um processo histórico de medicalização do corpo feminino e de uma estrutura social patriarcal que, ao longo de décadas, silenciou a autonomia da mulher durante o nascimento. Ao analisar a evolução do parto — da esfera domiciliar ao ambiente hospitalar — observou-se que a institucionalização da assistência, embora tenha trazido avanços técnicos, muitas vezes transformou a gestante em um objeto de intervenção clínica, destituída de seu poder de decisão.</w:t>
      </w:r>
    </w:p>
    <w:p w:rsidR="009D60B7" w:rsidRDefault="00425C09">
      <w:pPr>
        <w:pStyle w:val="NormalWeb"/>
        <w:spacing w:beforeAutospacing="0" w:afterAutospacing="0" w:line="360" w:lineRule="auto"/>
        <w:ind w:firstLine="1134"/>
        <w:jc w:val="both"/>
        <w:rPr>
          <w:rFonts w:ascii="Arial" w:hAnsi="Arial"/>
        </w:rPr>
      </w:pPr>
      <w:r>
        <w:rPr>
          <w:rFonts w:ascii="Arial" w:hAnsi="Arial"/>
        </w:rPr>
        <w:t>O estudo demonstrou que a grande problemática para a erradicação desse fenômeno no Brasil reside na atual insuficiência do ordenamento jurídico penal. Como evidenciado, a ausência de uma tipificação específica obriga o enquadramento dessas condutas em crimes genéricos, como lesão corporal ou injúria, o que dificulta a punição proporcional e a devida visibilidade da violência sofrida. Além disso, a complexidade na demonstração do nexo causal, especialmente em casos de perda gestacional, frequentemente resulta em impunidade por insuficiência de provas.</w:t>
      </w:r>
    </w:p>
    <w:p w:rsidR="009D60B7" w:rsidRDefault="00425C09">
      <w:pPr>
        <w:pStyle w:val="NormalWeb"/>
        <w:spacing w:beforeAutospacing="0" w:afterAutospacing="0" w:line="360" w:lineRule="auto"/>
        <w:ind w:firstLine="1134"/>
        <w:jc w:val="both"/>
        <w:rPr>
          <w:rFonts w:ascii="Arial" w:hAnsi="Arial"/>
        </w:rPr>
      </w:pPr>
      <w:r>
        <w:rPr>
          <w:rFonts w:ascii="Arial" w:hAnsi="Arial"/>
        </w:rPr>
        <w:t xml:space="preserve">Nesse contexto, a aprovação do Projeto de Lei nº 1.763/2025 revela-se um instrumento essencial para a efetivação da justiça social e para a concretização da dignidade da pessoa humana no âmbito da assistência obstétrica. Ao propor a tipificação autônoma da violência obstétrica, com penas que variam de 1 a 15 anos conforme a gravidade da conduta e do resultado produzido, o projeto busca suprir a lacuna jurídica atualmente existente no ordenamento penal brasileiro, permitindo que agressões físicas, </w:t>
      </w:r>
      <w:r>
        <w:rPr>
          <w:rFonts w:ascii="Arial" w:hAnsi="Arial"/>
        </w:rPr>
        <w:lastRenderedPageBreak/>
        <w:t xml:space="preserve">psicológicas e morais praticadas contra a gestante recebam o devido tratamento jurídico. Além disso, percebe-se que a dificuldade de responsabilização não está restrita apenas à ausência de previsão legal específica, mas também às barreiras probatórias enfrentadas nos casos concretos, especialmente quando há aborto, natimortalidade ou óbito fetal, situações em que a exigência de prova pericial conclusiva sobre o nexo causal frequentemente contribui para a impunidade. </w:t>
      </w:r>
    </w:p>
    <w:p w:rsidR="009D60B7" w:rsidRDefault="00425C09">
      <w:pPr>
        <w:pStyle w:val="NormalWeb"/>
        <w:spacing w:beforeAutospacing="0" w:afterAutospacing="0" w:line="360" w:lineRule="auto"/>
        <w:ind w:firstLine="1134"/>
        <w:jc w:val="both"/>
        <w:rPr>
          <w:rFonts w:ascii="Arial" w:hAnsi="Arial"/>
        </w:rPr>
      </w:pPr>
      <w:r>
        <w:rPr>
          <w:rFonts w:ascii="Arial" w:hAnsi="Arial"/>
        </w:rPr>
        <w:t xml:space="preserve">Dessa forma, a aprovação do referido projeto representa não apenas uma resposta repressiva, mas também uma medida de reconhecimento jurídico e social da gravidade dessa violência. Mais do que estabelecer sanções penais, a relevância da aprovação deste Projeto de Lei está também na positivação de diretrizes voltadas ao atendimento humanizado da mulher durante o pré-natal, parto e puerpério, como a garantia do plano de parto, o respeito à autonomia da gestante e a presença de acompanhante durante todo o processo. </w:t>
      </w:r>
    </w:p>
    <w:p w:rsidR="009D60B7" w:rsidRDefault="00425C09">
      <w:pPr>
        <w:pStyle w:val="NormalWeb"/>
        <w:spacing w:beforeAutospacing="0" w:afterAutospacing="0" w:line="360" w:lineRule="auto"/>
        <w:ind w:firstLine="1134"/>
        <w:jc w:val="both"/>
        <w:rPr>
          <w:rFonts w:ascii="Arial" w:hAnsi="Arial"/>
        </w:rPr>
      </w:pPr>
      <w:r>
        <w:rPr>
          <w:rFonts w:ascii="Arial" w:hAnsi="Arial"/>
        </w:rPr>
        <w:t>Tais medidas são fundamentais para romper com a histórica cultura de submissão de a mulher no ambiente hospitalar e assegurar que a maternidade seja vivenciada com respeito, segurança e dignidade. Em última análise, a proteção jurídica da gestante deve ser compreendida como verdadeiro imperativo constitucional de igualdade material, exigindo não apenas a criação de uma legislação específica, mas também sua efetiva aplicação e fiscalização. Somente assim será possível transformar o parto, retirando-o da condição de cenário de vulnerabilidade e violência, para consolidá-lo como um momento de pleno exercício de direitos, cidadania e respeito à dignidade da mulher.</w:t>
      </w:r>
    </w:p>
    <w:p w:rsidR="009D60B7" w:rsidRDefault="009D60B7">
      <w:pPr>
        <w:pStyle w:val="NormalWeb"/>
        <w:spacing w:beforeAutospacing="0" w:afterAutospacing="0" w:line="360" w:lineRule="auto"/>
        <w:ind w:firstLine="1134"/>
        <w:jc w:val="both"/>
        <w:rPr>
          <w:rFonts w:ascii="Arial" w:hAnsi="Arial"/>
        </w:rPr>
      </w:pPr>
    </w:p>
    <w:p w:rsidR="009D60B7" w:rsidRPr="00425C09" w:rsidRDefault="00425C09">
      <w:pPr>
        <w:pStyle w:val="NormalWeb"/>
        <w:spacing w:beforeAutospacing="0" w:afterAutospacing="0"/>
        <w:jc w:val="both"/>
        <w:rPr>
          <w:rFonts w:ascii="Arial" w:hAnsi="Arial"/>
        </w:rPr>
      </w:pPr>
      <w:r w:rsidRPr="00425C09">
        <w:rPr>
          <w:rFonts w:ascii="Arial" w:hAnsi="Arial"/>
        </w:rPr>
        <w:t>REFERÊNCIA</w:t>
      </w:r>
    </w:p>
    <w:p w:rsidR="009D60B7" w:rsidRDefault="009D60B7">
      <w:pPr>
        <w:pStyle w:val="NormalWeb"/>
        <w:spacing w:beforeAutospacing="0" w:afterAutospacing="0"/>
        <w:jc w:val="both"/>
        <w:rPr>
          <w:rFonts w:ascii="Arial" w:hAnsi="Arial"/>
          <w:b/>
        </w:rPr>
      </w:pPr>
    </w:p>
    <w:p w:rsidR="009D60B7" w:rsidRDefault="00425C09">
      <w:pPr>
        <w:pStyle w:val="NormalWeb"/>
        <w:spacing w:beforeAutospacing="0" w:afterAutospacing="0"/>
        <w:rPr>
          <w:rFonts w:ascii="Arial" w:hAnsi="Arial"/>
        </w:rPr>
      </w:pPr>
      <w:r>
        <w:rPr>
          <w:rFonts w:ascii="Arial" w:hAnsi="Arial"/>
        </w:rPr>
        <w:t xml:space="preserve">ANDRADE, Vera Regina Pereira de. A soberania patriarcal: o </w:t>
      </w:r>
      <w:r>
        <w:rPr>
          <w:rFonts w:ascii="Arial" w:hAnsi="Arial"/>
          <w:b/>
        </w:rPr>
        <w:t>sistema de justiça criminal no tratamento da violência sexual contra a mulher</w:t>
      </w:r>
      <w:r>
        <w:rPr>
          <w:rFonts w:ascii="Arial" w:hAnsi="Arial"/>
        </w:rPr>
        <w:t>. Direito Público, Porto Alegre, v.5, n.17, p.52-75, jul/set. 2007.</w:t>
      </w:r>
      <w:r>
        <w:rPr>
          <w:rFonts w:ascii="Arial" w:hAnsi="Arial"/>
        </w:rPr>
        <w:br/>
        <w:t xml:space="preserve">Disponível em: </w:t>
      </w:r>
      <w:hyperlink r:id="rId25">
        <w:r>
          <w:rPr>
            <w:rStyle w:val="Hyperlink1"/>
            <w:rFonts w:ascii="Arial" w:hAnsi="Arial"/>
            <w:color w:val="auto"/>
          </w:rPr>
          <w:t>https://repositorio.idp.edu.br/handle/123456789/560</w:t>
        </w:r>
      </w:hyperlink>
      <w:r>
        <w:rPr>
          <w:rFonts w:ascii="Arial" w:hAnsi="Arial"/>
        </w:rPr>
        <w:t>. Acesso em: 14 de abril de 2026</w:t>
      </w:r>
    </w:p>
    <w:p w:rsidR="009D60B7" w:rsidRDefault="009D60B7">
      <w:pPr>
        <w:pStyle w:val="NormalWeb"/>
        <w:spacing w:beforeAutospacing="0" w:afterAutospacing="0"/>
        <w:rPr>
          <w:rFonts w:ascii="Arial" w:hAnsi="Arial"/>
        </w:rPr>
      </w:pP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highlight w:val="yellow"/>
        </w:rPr>
      </w:pPr>
      <w:r>
        <w:t>BITENCOURT, Cezar Roberto.</w:t>
      </w:r>
      <w:r>
        <w:rPr>
          <w:b/>
          <w:bCs/>
        </w:rPr>
        <w:t xml:space="preserve"> Tratado de direito penal</w:t>
      </w:r>
      <w:r>
        <w:t>: parte geral 1. 15. ed. São Paulo: Saraiva, 2010.</w:t>
      </w:r>
      <w:r>
        <w:rPr>
          <w:lang w:val="pt-BR"/>
        </w:rPr>
        <w:t xml:space="preserve"> </w:t>
      </w:r>
      <w:r>
        <w:rPr>
          <w:rFonts w:ascii="Arial" w:hAnsi="Arial"/>
        </w:rPr>
        <w:t>Disponível em: https://www.lexml.gov.br/urn/urn:lex:br:rede.virtual.bibliotecas:livro:2015;001054890. Acesso em: 1</w:t>
      </w:r>
      <w:r>
        <w:rPr>
          <w:rFonts w:ascii="Arial" w:hAnsi="Arial"/>
          <w:lang w:val="pt-BR"/>
        </w:rPr>
        <w:t>5</w:t>
      </w:r>
      <w:r>
        <w:rPr>
          <w:rFonts w:ascii="Arial" w:hAnsi="Arial"/>
        </w:rPr>
        <w:t xml:space="preserve"> </w:t>
      </w:r>
      <w:r>
        <w:rPr>
          <w:rFonts w:ascii="Arial" w:hAnsi="Arial"/>
          <w:lang w:val="pt-BR"/>
        </w:rPr>
        <w:t>mai</w:t>
      </w:r>
      <w:r>
        <w:rPr>
          <w:rFonts w:ascii="Arial" w:hAnsi="Arial"/>
        </w:rPr>
        <w:t>.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BOURDIEU, Pierre. </w:t>
      </w:r>
      <w:r>
        <w:rPr>
          <w:rFonts w:ascii="Arial" w:hAnsi="Arial"/>
          <w:b/>
        </w:rPr>
        <w:t>O poder simbólico</w:t>
      </w:r>
      <w:r>
        <w:rPr>
          <w:rFonts w:ascii="Arial" w:hAnsi="Arial"/>
        </w:rPr>
        <w:t>. Memória e Sociedade. Editora Bertrand Brasil: São Paulo, 1989.</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BRASIL. Câmara dos Deputados. Projeto de Lei nº 1.763, de 2025. Dispõe sobre diretrizes voltadas à atenção pré-natal, ao trabalho de parto, ao nascimento e ao puerpério, bem como estabelece condições para a tipificação penal da violência obstétrica. Brasília, 2025. Disponível em: </w:t>
      </w:r>
      <w:hyperlink r:id="rId26">
        <w:r>
          <w:rPr>
            <w:rStyle w:val="Hyperlink1"/>
            <w:rFonts w:ascii="Arial" w:hAnsi="Arial"/>
            <w:color w:val="auto"/>
          </w:rPr>
          <w:t>https://www.camara.leg.br/</w:t>
        </w:r>
      </w:hyperlink>
      <w:r>
        <w:rPr>
          <w:rFonts w:ascii="Arial" w:hAnsi="Arial"/>
        </w:rPr>
        <w:t>. Acesso em: 20 abr.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BRASIL</w:t>
      </w:r>
      <w:r>
        <w:rPr>
          <w:rFonts w:ascii="Arial" w:hAnsi="Arial"/>
          <w:b/>
        </w:rPr>
        <w:t>. Constituição (1988).</w:t>
      </w:r>
      <w:r>
        <w:rPr>
          <w:rFonts w:ascii="Arial" w:hAnsi="Arial"/>
        </w:rPr>
        <w:t xml:space="preserve"> Constituição da República Federativa do Brasil de 1988. Brasília, DF: Presidência da República, 1988.</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BRASIL. </w:t>
      </w:r>
      <w:r w:rsidRPr="00425C09">
        <w:rPr>
          <w:rFonts w:ascii="Arial" w:hAnsi="Arial"/>
          <w:b/>
        </w:rPr>
        <w:t>Decreto-Lei nº 2.848</w:t>
      </w:r>
      <w:r>
        <w:rPr>
          <w:rFonts w:ascii="Arial" w:hAnsi="Arial"/>
        </w:rPr>
        <w:t>, de 7 de dezembro de 1940. Código Penal. Diário Oficial da União, Rio de Janeiro, 31 dez. 1940.</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BRASIL. </w:t>
      </w:r>
      <w:r w:rsidRPr="00425C09">
        <w:rPr>
          <w:rFonts w:ascii="Arial" w:hAnsi="Arial"/>
          <w:b/>
        </w:rPr>
        <w:t>Lei nº 11.340,</w:t>
      </w:r>
      <w:r>
        <w:rPr>
          <w:rFonts w:ascii="Arial" w:hAnsi="Arial"/>
        </w:rPr>
        <w:t xml:space="preserve"> de 7 de agosto de 2006. Cria mecanismos para coibir a violência doméstica e familiar contra a mulher... Brasília, 2006. Disponível em: </w:t>
      </w:r>
      <w:hyperlink r:id="rId27">
        <w:r>
          <w:rPr>
            <w:rStyle w:val="Hyperlink1"/>
            <w:rFonts w:ascii="Arial" w:hAnsi="Arial"/>
            <w:color w:val="auto"/>
          </w:rPr>
          <w:t>http://www.planalto.gov.br/ccivil_03/_ato2004-2006/2006/lei/l11340.htm</w:t>
        </w:r>
      </w:hyperlink>
      <w:r>
        <w:rPr>
          <w:rFonts w:ascii="Arial" w:hAnsi="Arial"/>
        </w:rPr>
        <w:t>. Acesso em: 17 abr.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BRASIL. </w:t>
      </w:r>
      <w:r w:rsidRPr="00425C09">
        <w:rPr>
          <w:rFonts w:ascii="Arial" w:hAnsi="Arial"/>
          <w:b/>
        </w:rPr>
        <w:t>Lei nº 12.842</w:t>
      </w:r>
      <w:r>
        <w:rPr>
          <w:rFonts w:ascii="Arial" w:hAnsi="Arial"/>
        </w:rPr>
        <w:t>, de 10 de julho de 2013. Dispõe sobre o exercício da Medicina. Brasília, 2013. Disponível em: planalto.gov.br. Acesso em: 20 abr.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CÂMARA DOS DEPUTADOS. </w:t>
      </w:r>
      <w:r w:rsidRPr="00425C09">
        <w:rPr>
          <w:rFonts w:ascii="Arial" w:hAnsi="Arial"/>
          <w:b/>
        </w:rPr>
        <w:t>Projeto tipifica violência obstétrica como crime e prevê pena de até 15 anos de prisão.</w:t>
      </w:r>
      <w:r>
        <w:rPr>
          <w:rFonts w:ascii="Arial" w:hAnsi="Arial"/>
        </w:rPr>
        <w:t xml:space="preserve"> Brasília, 2025. Disponível em: </w:t>
      </w:r>
      <w:hyperlink r:id="rId28">
        <w:r>
          <w:rPr>
            <w:rStyle w:val="Hyperlink1"/>
            <w:rFonts w:ascii="Arial" w:hAnsi="Arial"/>
            <w:color w:val="auto"/>
          </w:rPr>
          <w:t>https://www.camara.leg.br/noticias/</w:t>
        </w:r>
      </w:hyperlink>
      <w:r>
        <w:rPr>
          <w:rFonts w:ascii="Arial" w:hAnsi="Arial"/>
        </w:rPr>
        <w:t>. Acesso em: 20 abr.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CAMILO, Alana.</w:t>
      </w:r>
      <w:r w:rsidRPr="00425C09">
        <w:rPr>
          <w:rFonts w:ascii="Arial" w:hAnsi="Arial"/>
          <w:b/>
        </w:rPr>
        <w:t>Violência obstétrica</w:t>
      </w:r>
      <w:r>
        <w:rPr>
          <w:rFonts w:ascii="Arial" w:hAnsi="Arial"/>
        </w:rPr>
        <w:t>: uma dor silenciosa!.Amazon: São Paulo, 2022.</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DAHLBERG, Linda; KRUG, Etienne g</w:t>
      </w:r>
      <w:r w:rsidRPr="009E4AC4">
        <w:rPr>
          <w:rFonts w:ascii="Arial" w:hAnsi="Arial"/>
          <w:b/>
        </w:rPr>
        <w:t>. violência: um problema global de saúde pública</w:t>
      </w:r>
      <w:r>
        <w:rPr>
          <w:rFonts w:ascii="Arial" w:hAnsi="Arial"/>
        </w:rPr>
        <w:t>. ciênc saúde coletiva, v.11, 2006. Disponível em: 13 de abril de 2026</w:t>
      </w:r>
      <w:hyperlink r:id="rId29">
        <w:r>
          <w:rPr>
            <w:rStyle w:val="Hyperlink1"/>
            <w:rFonts w:ascii="Arial" w:hAnsi="Arial"/>
            <w:color w:val="auto"/>
          </w:rPr>
          <w:t>https://www.scielo.br/j/csc/a/jgnr6zsltwkhvdkrdfhpcdw/#</w:t>
        </w:r>
      </w:hyperlink>
      <w:r>
        <w:rPr>
          <w:rFonts w:ascii="Arial" w:hAnsi="Arial"/>
        </w:rPr>
        <w:t>.</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DINIZ, Simone Grilo et al., </w:t>
      </w:r>
      <w:r w:rsidRPr="009E4AC4">
        <w:rPr>
          <w:rFonts w:ascii="Arial" w:hAnsi="Arial"/>
          <w:b/>
        </w:rPr>
        <w:t>Violência obstétrica como questão para a saúde pública no brasil: origens, definições, tipologia, impactos sobre a saúde materna, e propostas para sua prevenção</w:t>
      </w:r>
      <w:r>
        <w:rPr>
          <w:rFonts w:ascii="Arial" w:hAnsi="Arial"/>
        </w:rPr>
        <w:t xml:space="preserve">. J Hum GrowthDev, v.25, n.3, p.1-8, 2015. Disponível em: </w:t>
      </w:r>
      <w:hyperlink r:id="rId30">
        <w:r>
          <w:rPr>
            <w:rStyle w:val="Hyperlink1"/>
            <w:rFonts w:ascii="Arial" w:hAnsi="Arial"/>
            <w:color w:val="auto"/>
          </w:rPr>
          <w:t>http://pepsic.bvsalud.org/scielo.php?script=sci_abstract&amp;pid=S0104-12822015000300019</w:t>
        </w:r>
      </w:hyperlink>
      <w:r>
        <w:rPr>
          <w:rFonts w:ascii="Arial" w:hAnsi="Arial"/>
        </w:rPr>
        <w:t>. Acesso em:16 de abrilç de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FUNDAÇÃO PERSEU ABRAMO; SERVIÇO SOCIAL DO COMÉRCIO (SESC). </w:t>
      </w:r>
      <w:r w:rsidRPr="009E4AC4">
        <w:rPr>
          <w:rFonts w:ascii="Arial" w:hAnsi="Arial"/>
          <w:b/>
        </w:rPr>
        <w:t>Mulheres brasileiras e gênero nos espaços público e privado</w:t>
      </w:r>
      <w:r>
        <w:rPr>
          <w:rFonts w:ascii="Arial" w:hAnsi="Arial"/>
        </w:rPr>
        <w:t>. São Paulo: Fundação Perseu Abramo, 2010.</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MAGALHÃES, Roberto Cordeiro de Melo. </w:t>
      </w:r>
      <w:r w:rsidRPr="009E4AC4">
        <w:rPr>
          <w:rFonts w:ascii="Arial" w:hAnsi="Arial"/>
          <w:b/>
        </w:rPr>
        <w:t>Violência obstétrica no contexto da violência feminina</w:t>
      </w:r>
      <w:r>
        <w:rPr>
          <w:rFonts w:ascii="Arial" w:hAnsi="Arial"/>
        </w:rPr>
        <w:t>. 363f. 2020. Tese (Doutorado em Direito) - Instituto CEUB de Pesquisa e Desenvolvimento, Centro Universitário de Brasília, Brasília, 2020.</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MALHEIROS, P. A.; ALVES, V. H.; RANGEL, T. S. A.; VARGENS, O. M. C. </w:t>
      </w:r>
      <w:r w:rsidRPr="009E4AC4">
        <w:rPr>
          <w:rFonts w:ascii="Arial" w:hAnsi="Arial"/>
          <w:b/>
        </w:rPr>
        <w:t>Parto e nascimento: saberes e práticas humanizadas.</w:t>
      </w:r>
      <w:r>
        <w:rPr>
          <w:rFonts w:ascii="Arial" w:hAnsi="Arial"/>
        </w:rPr>
        <w:t xml:space="preserve"> Texto contexto – enferm, v.21, n.2, jun. 2012. Disponível em </w:t>
      </w:r>
      <w:hyperlink r:id="rId31">
        <w:r>
          <w:rPr>
            <w:rStyle w:val="Hyperlink1"/>
            <w:rFonts w:ascii="Arial" w:hAnsi="Arial"/>
            <w:color w:val="auto"/>
          </w:rPr>
          <w:t>https://doi.org/10.1590/S0104-07072012000200010</w:t>
        </w:r>
      </w:hyperlink>
      <w:r>
        <w:rPr>
          <w:rFonts w:ascii="Arial" w:hAnsi="Arial"/>
        </w:rPr>
        <w:t>. Acesso em 15 de abril de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lastRenderedPageBreak/>
        <w:t xml:space="preserve">MATSUSHITA, Kaori Cristina Vieira; SOBRAL, Alice Arlinda Santos. </w:t>
      </w:r>
      <w:r w:rsidRPr="009E4AC4">
        <w:rPr>
          <w:rFonts w:ascii="Arial" w:hAnsi="Arial"/>
          <w:b/>
        </w:rPr>
        <w:t>Violência obstétrica e a importância de sua tipificação penal no ordenamento jurídico brasileiro</w:t>
      </w:r>
      <w:r>
        <w:rPr>
          <w:rFonts w:ascii="Arial" w:hAnsi="Arial"/>
        </w:rPr>
        <w:t>. Revista Equidade, Manaus, v. 7, n. 2, 2023.</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MINAYO, MCS. </w:t>
      </w:r>
      <w:r w:rsidRPr="009E4AC4">
        <w:rPr>
          <w:rFonts w:ascii="Arial" w:hAnsi="Arial"/>
          <w:b/>
        </w:rPr>
        <w:t>Violência e saúde [online].</w:t>
      </w:r>
      <w:r>
        <w:rPr>
          <w:rFonts w:ascii="Arial" w:hAnsi="Arial"/>
        </w:rPr>
        <w:t xml:space="preserve"> Rio de Janeiro: Editora FIOCRUZ, 2006. Temas emSaúde collection. 132 p. ISBN 978-85-7541-380-7. Available from SciELO Books</w:t>
      </w:r>
      <w:hyperlink r:id="rId32">
        <w:r>
          <w:rPr>
            <w:rStyle w:val="Hyperlink1"/>
            <w:rFonts w:ascii="Arial" w:hAnsi="Arial"/>
            <w:color w:val="auto"/>
          </w:rPr>
          <w:t>http://books.scielo.org</w:t>
        </w:r>
      </w:hyperlink>
      <w:r>
        <w:rPr>
          <w:rFonts w:ascii="Arial" w:hAnsi="Arial"/>
        </w:rPr>
        <w:t>. acesso em: 13 de abril de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MINISTÉRIO DA SAÚDE (Brasil). </w:t>
      </w:r>
      <w:r w:rsidRPr="009E4AC4">
        <w:rPr>
          <w:rFonts w:ascii="Arial" w:hAnsi="Arial"/>
          <w:b/>
        </w:rPr>
        <w:t>Atenção ao pré-natal de baixo risco</w:t>
      </w:r>
      <w:r>
        <w:rPr>
          <w:rFonts w:ascii="Arial" w:hAnsi="Arial"/>
        </w:rPr>
        <w:t>. Brasília: Ministério da Saúde, 2017.</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NUCCI, Guilherme de Souza. </w:t>
      </w:r>
      <w:r w:rsidRPr="009E4AC4">
        <w:rPr>
          <w:rFonts w:ascii="Arial" w:hAnsi="Arial"/>
          <w:b/>
        </w:rPr>
        <w:t>Código Penal comentado.</w:t>
      </w:r>
      <w:r>
        <w:rPr>
          <w:rFonts w:ascii="Arial" w:hAnsi="Arial"/>
        </w:rPr>
        <w:t xml:space="preserve"> 23. ed. Rio de Janeiro: Forense, 2023. Acesso em: 20 de fevereiro de 2026.</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lang w:val="en-US"/>
        </w:rPr>
      </w:pPr>
      <w:r>
        <w:rPr>
          <w:rFonts w:ascii="Arial" w:hAnsi="Arial"/>
        </w:rPr>
        <w:t xml:space="preserve">ORGANIZAÇÃO MUNDIAL DA SAÚDE. </w:t>
      </w:r>
      <w:r w:rsidRPr="009E4AC4">
        <w:rPr>
          <w:rFonts w:ascii="Arial" w:hAnsi="Arial"/>
          <w:b/>
        </w:rPr>
        <w:t>Informe mundial sobre laviolencia y salud</w:t>
      </w:r>
      <w:r>
        <w:rPr>
          <w:rFonts w:ascii="Arial" w:hAnsi="Arial"/>
        </w:rPr>
        <w:t xml:space="preserve">. </w:t>
      </w:r>
      <w:r>
        <w:rPr>
          <w:rFonts w:ascii="Arial" w:hAnsi="Arial"/>
          <w:lang w:val="en-US"/>
        </w:rPr>
        <w:t>OMS: Genebra, 2002.</w:t>
      </w:r>
    </w:p>
    <w:p w:rsidR="009D60B7" w:rsidRDefault="009D60B7">
      <w:pPr>
        <w:pStyle w:val="NormalWeb"/>
        <w:spacing w:beforeAutospacing="0" w:afterAutospacing="0"/>
        <w:rPr>
          <w:rFonts w:ascii="Arial" w:hAnsi="Arial"/>
          <w:lang w:val="en-US"/>
        </w:rPr>
      </w:pPr>
    </w:p>
    <w:p w:rsidR="009D60B7" w:rsidRPr="00A94936" w:rsidRDefault="00425C09">
      <w:pPr>
        <w:pStyle w:val="NormalWeb"/>
        <w:spacing w:beforeAutospacing="0" w:afterAutospacing="0"/>
        <w:rPr>
          <w:rFonts w:ascii="Arial" w:hAnsi="Arial"/>
          <w:lang w:val="en-US"/>
        </w:rPr>
      </w:pPr>
      <w:r>
        <w:rPr>
          <w:rFonts w:ascii="Arial" w:hAnsi="Arial"/>
          <w:lang w:val="en-US"/>
        </w:rPr>
        <w:t xml:space="preserve">ORGANIZAÇÃO MUNDIAL DA SAÚDE (OMS). </w:t>
      </w:r>
      <w:r w:rsidRPr="009E4AC4">
        <w:rPr>
          <w:rFonts w:ascii="Arial" w:hAnsi="Arial"/>
          <w:b/>
          <w:lang w:val="en-US"/>
        </w:rPr>
        <w:t xml:space="preserve">WHO recommendations: intrapartum care for a positive childbirth experience. </w:t>
      </w:r>
      <w:r>
        <w:rPr>
          <w:rFonts w:ascii="Arial" w:hAnsi="Arial"/>
          <w:lang w:val="en-US"/>
        </w:rPr>
        <w:t>Geneva: World Health Organization, 2018.</w:t>
      </w:r>
    </w:p>
    <w:p w:rsidR="009D60B7" w:rsidRDefault="00425C09">
      <w:pPr>
        <w:pStyle w:val="NormalWeb"/>
        <w:spacing w:beforeAutospacing="0" w:afterAutospacing="0"/>
        <w:rPr>
          <w:rFonts w:ascii="Arial" w:hAnsi="Arial"/>
        </w:rPr>
      </w:pPr>
      <w:r>
        <w:rPr>
          <w:rFonts w:ascii="Arial" w:hAnsi="Arial"/>
        </w:rPr>
        <w:t>TELES, M. A. de A.; MELO, M. de. O que é violência contra a mulher? São Paulo: Brasiliense, 2002.</w:t>
      </w:r>
    </w:p>
    <w:p w:rsidR="009D60B7" w:rsidRDefault="009D60B7">
      <w:pPr>
        <w:pStyle w:val="NormalWeb"/>
        <w:spacing w:beforeAutospacing="0" w:afterAutospacing="0"/>
        <w:rPr>
          <w:rFonts w:ascii="Arial" w:hAnsi="Arial"/>
        </w:rPr>
      </w:pPr>
    </w:p>
    <w:p w:rsidR="009D60B7" w:rsidRDefault="00425C09">
      <w:pPr>
        <w:pStyle w:val="NormalWeb"/>
        <w:spacing w:beforeAutospacing="0" w:afterAutospacing="0"/>
        <w:rPr>
          <w:rFonts w:ascii="Arial" w:hAnsi="Arial"/>
        </w:rPr>
      </w:pPr>
      <w:r>
        <w:rPr>
          <w:rFonts w:ascii="Arial" w:hAnsi="Arial"/>
        </w:rPr>
        <w:t xml:space="preserve">VENEZUELA. </w:t>
      </w:r>
      <w:r w:rsidRPr="009E4AC4">
        <w:rPr>
          <w:rFonts w:ascii="Arial" w:hAnsi="Arial"/>
          <w:b/>
        </w:rPr>
        <w:t>Leyorgánica sobre elderecho de lasmujeres a una vida libre de violencia,Asamblea Nacional de la República Bolivariana de Venezuela</w:t>
      </w:r>
      <w:r>
        <w:rPr>
          <w:rFonts w:ascii="Arial" w:hAnsi="Arial"/>
        </w:rPr>
        <w:t>. Publicada enGaceta Oficial n° 38668 de 23 abr. 2007. Acesso em: 15 de abril de 2026.</w:t>
      </w: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B4BDD" w:rsidRDefault="009B4BDD">
      <w:pPr>
        <w:spacing w:line="360" w:lineRule="auto"/>
        <w:jc w:val="both"/>
        <w:rPr>
          <w:rFonts w:ascii="Arial" w:hAnsi="Arial" w:cs="Times New Roman"/>
          <w:spacing w:val="-2"/>
          <w:sz w:val="20"/>
          <w:szCs w:val="20"/>
        </w:rPr>
      </w:pPr>
    </w:p>
    <w:p w:rsidR="009B4BDD" w:rsidRDefault="009B4BDD">
      <w:pPr>
        <w:spacing w:line="360" w:lineRule="auto"/>
        <w:jc w:val="both"/>
        <w:rPr>
          <w:rFonts w:ascii="Arial" w:hAnsi="Arial" w:cs="Times New Roman"/>
          <w:spacing w:val="-2"/>
          <w:sz w:val="20"/>
          <w:szCs w:val="20"/>
        </w:rPr>
      </w:pPr>
    </w:p>
    <w:p w:rsidR="009B4BDD" w:rsidRDefault="009B4BDD">
      <w:pPr>
        <w:spacing w:line="360" w:lineRule="auto"/>
        <w:jc w:val="both"/>
        <w:rPr>
          <w:rFonts w:ascii="Arial" w:hAnsi="Arial" w:cs="Times New Roman"/>
          <w:spacing w:val="-2"/>
          <w:sz w:val="20"/>
          <w:szCs w:val="20"/>
        </w:rPr>
      </w:pPr>
    </w:p>
    <w:p w:rsidR="009B4BDD" w:rsidRDefault="009B4BDD">
      <w:pPr>
        <w:spacing w:line="360" w:lineRule="auto"/>
        <w:jc w:val="both"/>
        <w:rPr>
          <w:rFonts w:ascii="Arial" w:hAnsi="Arial" w:cs="Times New Roman"/>
          <w:spacing w:val="-2"/>
          <w:sz w:val="20"/>
          <w:szCs w:val="20"/>
        </w:rPr>
      </w:pPr>
    </w:p>
    <w:p w:rsidR="009B4BDD" w:rsidRDefault="009B4BDD">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Default="009D60B7">
      <w:pPr>
        <w:spacing w:line="360" w:lineRule="auto"/>
        <w:jc w:val="both"/>
        <w:rPr>
          <w:rFonts w:ascii="Arial" w:hAnsi="Arial" w:cs="Times New Roman"/>
          <w:spacing w:val="-2"/>
          <w:sz w:val="20"/>
          <w:szCs w:val="20"/>
        </w:rPr>
      </w:pPr>
    </w:p>
    <w:p w:rsidR="009D60B7" w:rsidRPr="00176E51" w:rsidRDefault="00425C09" w:rsidP="00176E51">
      <w:pPr>
        <w:jc w:val="center"/>
        <w:rPr>
          <w:rFonts w:ascii="Arial" w:hAnsi="Arial"/>
          <w:sz w:val="28"/>
          <w:szCs w:val="28"/>
        </w:rPr>
      </w:pPr>
      <w:bookmarkStart w:id="3" w:name="_GoBack_Copia_3"/>
      <w:bookmarkStart w:id="4" w:name="_GoBack_Copia_12"/>
      <w:bookmarkEnd w:id="3"/>
      <w:r w:rsidRPr="00176E51">
        <w:rPr>
          <w:rFonts w:ascii="Arial" w:hAnsi="Arial" w:cs="Times New Roman"/>
          <w:b/>
          <w:bCs/>
          <w:sz w:val="28"/>
          <w:szCs w:val="28"/>
        </w:rPr>
        <w:lastRenderedPageBreak/>
        <w:t>A AFETIVIDADE COMO FUNDAMENTO</w:t>
      </w:r>
      <w:bookmarkEnd w:id="4"/>
      <w:r w:rsidRPr="00176E51">
        <w:rPr>
          <w:rFonts w:ascii="Arial" w:hAnsi="Arial" w:cs="Times New Roman"/>
          <w:b/>
          <w:bCs/>
          <w:sz w:val="28"/>
          <w:szCs w:val="28"/>
        </w:rPr>
        <w:t xml:space="preserve"> PARA O RECONHECIMENTO DA MULTIPARENTALIDADE NO DIREITO DE FAMÍLIA</w:t>
      </w:r>
    </w:p>
    <w:p w:rsidR="009D60B7" w:rsidRDefault="009D60B7">
      <w:pPr>
        <w:spacing w:after="17" w:line="360" w:lineRule="auto"/>
        <w:ind w:left="-5" w:hanging="10"/>
        <w:jc w:val="right"/>
        <w:rPr>
          <w:rFonts w:ascii="Arial" w:hAnsi="Arial" w:cs="Times New Roman"/>
          <w:sz w:val="24"/>
          <w:szCs w:val="24"/>
        </w:rPr>
      </w:pPr>
    </w:p>
    <w:p w:rsidR="00176E51" w:rsidRDefault="00176E51">
      <w:pPr>
        <w:spacing w:after="17" w:line="360" w:lineRule="auto"/>
        <w:ind w:left="-5" w:hanging="10"/>
        <w:jc w:val="right"/>
        <w:rPr>
          <w:rFonts w:ascii="Arial" w:hAnsi="Arial" w:cs="Times New Roman"/>
          <w:sz w:val="24"/>
          <w:szCs w:val="24"/>
        </w:rPr>
      </w:pPr>
    </w:p>
    <w:p w:rsidR="009D60B7" w:rsidRDefault="00425C09" w:rsidP="00176E51">
      <w:pPr>
        <w:ind w:left="-6" w:hanging="11"/>
        <w:jc w:val="center"/>
        <w:rPr>
          <w:rFonts w:ascii="Arial" w:hAnsi="Arial"/>
          <w:sz w:val="24"/>
          <w:szCs w:val="24"/>
        </w:rPr>
      </w:pPr>
      <w:r>
        <w:rPr>
          <w:rFonts w:ascii="Arial" w:hAnsi="Arial" w:cs="Times New Roman"/>
          <w:sz w:val="24"/>
          <w:szCs w:val="24"/>
        </w:rPr>
        <w:t>Eduarda Cristina de Souza Aguiar</w:t>
      </w:r>
      <w:r>
        <w:rPr>
          <w:rStyle w:val="Refdenotaderodap"/>
          <w:rFonts w:ascii="Arial" w:hAnsi="Arial" w:cs="Times New Roman"/>
          <w:sz w:val="24"/>
          <w:szCs w:val="24"/>
        </w:rPr>
        <w:footnoteReference w:id="4"/>
      </w:r>
      <w:r>
        <w:rPr>
          <w:rFonts w:ascii="Arial" w:hAnsi="Arial" w:cs="Times New Roman"/>
          <w:sz w:val="24"/>
          <w:szCs w:val="24"/>
        </w:rPr>
        <w:t xml:space="preserve"> </w:t>
      </w:r>
    </w:p>
    <w:p w:rsidR="009D60B7" w:rsidRDefault="00425C09" w:rsidP="00176E51">
      <w:pPr>
        <w:ind w:left="-6" w:hanging="11"/>
        <w:jc w:val="center"/>
        <w:rPr>
          <w:rFonts w:ascii="Arial" w:hAnsi="Arial"/>
          <w:sz w:val="24"/>
          <w:szCs w:val="24"/>
        </w:rPr>
      </w:pPr>
      <w:r>
        <w:rPr>
          <w:rFonts w:ascii="Arial" w:hAnsi="Arial" w:cs="Times New Roman"/>
          <w:sz w:val="24"/>
          <w:szCs w:val="24"/>
        </w:rPr>
        <w:t>Karine Rodrigues de Oliveira</w:t>
      </w:r>
      <w:r>
        <w:rPr>
          <w:rStyle w:val="Refdenotaderodap"/>
          <w:rFonts w:ascii="Arial" w:hAnsi="Arial" w:cs="Times New Roman"/>
          <w:sz w:val="24"/>
          <w:szCs w:val="24"/>
        </w:rPr>
        <w:footnoteReference w:id="5"/>
      </w:r>
      <w:r>
        <w:rPr>
          <w:rFonts w:ascii="Arial" w:hAnsi="Arial" w:cs="Times New Roman"/>
          <w:sz w:val="24"/>
          <w:szCs w:val="24"/>
        </w:rPr>
        <w:t xml:space="preserve"> </w:t>
      </w:r>
    </w:p>
    <w:p w:rsidR="009D60B7" w:rsidRDefault="00425C09" w:rsidP="00176E51">
      <w:pPr>
        <w:ind w:left="-6" w:hanging="11"/>
        <w:jc w:val="center"/>
        <w:rPr>
          <w:rFonts w:ascii="Arial" w:hAnsi="Arial"/>
          <w:sz w:val="24"/>
          <w:szCs w:val="24"/>
        </w:rPr>
      </w:pPr>
      <w:r>
        <w:rPr>
          <w:rFonts w:ascii="Arial" w:hAnsi="Arial" w:cs="Times New Roman"/>
          <w:sz w:val="24"/>
          <w:szCs w:val="24"/>
        </w:rPr>
        <w:t>César Gratão de Oliveira</w:t>
      </w:r>
      <w:r>
        <w:rPr>
          <w:rStyle w:val="Refdenotaderodap"/>
          <w:rFonts w:ascii="Arial" w:hAnsi="Arial" w:cs="Times New Roman"/>
          <w:sz w:val="24"/>
          <w:szCs w:val="24"/>
        </w:rPr>
        <w:footnoteReference w:id="6"/>
      </w:r>
      <w:r>
        <w:rPr>
          <w:rFonts w:ascii="Arial" w:hAnsi="Arial" w:cs="Times New Roman"/>
          <w:sz w:val="24"/>
          <w:szCs w:val="24"/>
        </w:rPr>
        <w:t xml:space="preserve">  </w:t>
      </w:r>
    </w:p>
    <w:p w:rsidR="009D60B7" w:rsidRDefault="009D60B7">
      <w:pPr>
        <w:spacing w:line="360" w:lineRule="auto"/>
        <w:jc w:val="center"/>
        <w:rPr>
          <w:rFonts w:ascii="Arial" w:hAnsi="Arial"/>
          <w:sz w:val="24"/>
          <w:szCs w:val="24"/>
        </w:rPr>
      </w:pPr>
      <w:bookmarkStart w:id="5" w:name="_GoBack_Copia_13"/>
      <w:bookmarkEnd w:id="5"/>
    </w:p>
    <w:p w:rsidR="00176E51" w:rsidRDefault="00176E51">
      <w:pPr>
        <w:spacing w:line="360" w:lineRule="auto"/>
        <w:jc w:val="center"/>
        <w:rPr>
          <w:rFonts w:ascii="Arial" w:hAnsi="Arial"/>
          <w:sz w:val="24"/>
          <w:szCs w:val="24"/>
        </w:rPr>
      </w:pPr>
    </w:p>
    <w:p w:rsidR="009D60B7" w:rsidRPr="00176E51" w:rsidRDefault="00425C09">
      <w:pPr>
        <w:spacing w:line="360" w:lineRule="auto"/>
        <w:jc w:val="center"/>
        <w:rPr>
          <w:rFonts w:ascii="Arial" w:hAnsi="Arial"/>
          <w:bCs/>
          <w:sz w:val="20"/>
          <w:szCs w:val="20"/>
        </w:rPr>
      </w:pPr>
      <w:r w:rsidRPr="00176E51">
        <w:rPr>
          <w:rFonts w:ascii="Arial" w:hAnsi="Arial" w:cs="Times New Roman"/>
          <w:bCs/>
          <w:sz w:val="24"/>
          <w:szCs w:val="24"/>
        </w:rPr>
        <w:t>RESUMO</w:t>
      </w:r>
    </w:p>
    <w:p w:rsidR="009D60B7" w:rsidRDefault="00425C09">
      <w:pPr>
        <w:jc w:val="both"/>
        <w:rPr>
          <w:rFonts w:ascii="Arial" w:hAnsi="Arial"/>
          <w:sz w:val="20"/>
          <w:szCs w:val="20"/>
        </w:rPr>
      </w:pPr>
      <w:r>
        <w:rPr>
          <w:rFonts w:ascii="Arial" w:hAnsi="Arial" w:cs="Times New Roman"/>
          <w:sz w:val="20"/>
          <w:szCs w:val="20"/>
        </w:rPr>
        <w:t>O presente trabalho analisa a afetividade como fundamento para o reconhecimento da multiparentalidade no Direito de Família. A problemática busca esclarecer quais são os limites jurídicos para esse reconhecimento em conformidade com o princípio da afetividade. O objetivo geral é examinar a afetividade como base legal da multiparentalidade enquanto os objetivos específicos são: analisar a evolução histórica da família, demonstrando a mudança do modelo biológico para o socioafetivo; estudar a abordagem jurídico concedido à multiparentalidade, bem como os critérios aceitos para o reconhecimento da filiação socioafetiva; e avaliar os impactos jurídicos e sociais da validação da multiparentalidade, com destaque para decisões do Supremo Tribunal Federal. A metodologia utilizada foi a qualitativa, exploratória e descritiva, com base em revisão bibliográfica, análise documental e jurisprudencial. Conclui-se que a multiparentalidade significa um importante avanço no Direito de Família contemporâneo, embora requeira o cumprimento dos limites legais que preservem a proteção da dignidade humana, do melhor interesse da criança e da segurança das relações familiares.</w:t>
      </w:r>
    </w:p>
    <w:p w:rsidR="009D60B7" w:rsidRDefault="009D60B7">
      <w:pPr>
        <w:spacing w:line="360" w:lineRule="auto"/>
        <w:rPr>
          <w:rFonts w:ascii="Arial" w:hAnsi="Arial" w:cs="Times New Roman"/>
          <w:sz w:val="20"/>
          <w:szCs w:val="20"/>
        </w:rPr>
      </w:pPr>
    </w:p>
    <w:p w:rsidR="009D60B7" w:rsidRDefault="00176E51">
      <w:pPr>
        <w:spacing w:line="360" w:lineRule="auto"/>
        <w:rPr>
          <w:rFonts w:ascii="Arial" w:hAnsi="Arial" w:cs="Times New Roman"/>
          <w:sz w:val="20"/>
          <w:szCs w:val="20"/>
        </w:rPr>
      </w:pPr>
      <w:r>
        <w:rPr>
          <w:rFonts w:ascii="Arial" w:hAnsi="Arial" w:cs="Times New Roman"/>
          <w:b/>
          <w:sz w:val="20"/>
          <w:szCs w:val="20"/>
        </w:rPr>
        <w:t>PALAVRAS-CHAVE</w:t>
      </w:r>
      <w:r w:rsidR="00425C09">
        <w:rPr>
          <w:rFonts w:ascii="Arial" w:hAnsi="Arial" w:cs="Times New Roman"/>
          <w:b/>
          <w:sz w:val="20"/>
          <w:szCs w:val="20"/>
        </w:rPr>
        <w:t>:</w:t>
      </w:r>
      <w:r w:rsidR="00425C09">
        <w:rPr>
          <w:rFonts w:ascii="Arial" w:hAnsi="Arial" w:cs="Times New Roman"/>
          <w:sz w:val="20"/>
          <w:szCs w:val="20"/>
        </w:rPr>
        <w:t xml:space="preserve"> Afetividade. Família. Filiação Socioafetiva. Multiparentalidade. Segurança Jurídica.</w:t>
      </w:r>
    </w:p>
    <w:p w:rsidR="009D60B7" w:rsidRDefault="00425C09">
      <w:pPr>
        <w:pStyle w:val="Ttulo1"/>
        <w:spacing w:line="360" w:lineRule="auto"/>
        <w:ind w:left="-5" w:hanging="10"/>
        <w:jc w:val="left"/>
        <w:rPr>
          <w:rFonts w:ascii="Arial" w:hAnsi="Arial"/>
          <w:sz w:val="24"/>
          <w:szCs w:val="24"/>
        </w:rPr>
      </w:pPr>
      <w:r>
        <w:rPr>
          <w:rFonts w:ascii="Arial" w:hAnsi="Arial" w:cs="Times New Roman"/>
          <w:sz w:val="24"/>
          <w:szCs w:val="24"/>
        </w:rPr>
        <w:t xml:space="preserve">INTRODUÇÃO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O Direito de Família tem passado por profundas transformações, acompanhando as mudanças sociais e reconhecendo novas formas de organização familiar. Nesse contexto, destaca-se o reconhecimento da multiparentalidade, que admite a coexistência de mais de dois vínculos parentais no registro civil de um indivíduo.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presente pesquisa tem como objetivo analisar o princípio da afetividade como fundamento jurídico desse reconhecimento, especialmente a partir da atuação do Supremo Tribunal Federal. Busca-se compreender de que forma esse princípio tem influenciado a ampliação do conceito de família e no reconhecimento de vínculos parentais para além da consanguinidade biológica.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O problema central do estudo consiste em identificar os limites jurídicos para o </w:t>
      </w:r>
      <w:r>
        <w:rPr>
          <w:rFonts w:ascii="Arial" w:hAnsi="Arial" w:cs="Times New Roman"/>
          <w:sz w:val="24"/>
          <w:szCs w:val="24"/>
        </w:rPr>
        <w:lastRenderedPageBreak/>
        <w:t>reconhecimento da multiparentalidade, considerando a valorização da afetividade nas relações familiares. Para tanto, o trabalho estrutura-se em três tópicos: inicialmente, examina-se a evolução histórica do conceito de família; em seguida, analisa-se o papel da afetividade na construção da multiparentalidade; por fim, investigam-se os efeitos jurídicos decorrentes desse reconhecimento, com base na jurisprudência do STF.</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metodologia adotada baseia-se em pesquisa qualitativa, com análise doutrinária, legislativa e jurisprudencial, permitindo compreender a transformação das relações familiares e seus reflexos no ordenamento jurídico brasileiro.</w:t>
      </w:r>
    </w:p>
    <w:p w:rsidR="009D60B7" w:rsidRDefault="009D60B7">
      <w:pPr>
        <w:spacing w:line="360" w:lineRule="auto"/>
        <w:jc w:val="both"/>
        <w:rPr>
          <w:rFonts w:ascii="Arial" w:hAnsi="Arial" w:cs="Times New Roman"/>
          <w:sz w:val="24"/>
          <w:szCs w:val="24"/>
        </w:rPr>
      </w:pPr>
    </w:p>
    <w:p w:rsidR="009D60B7" w:rsidRPr="00176E51" w:rsidRDefault="00425C09">
      <w:pPr>
        <w:spacing w:line="360" w:lineRule="auto"/>
        <w:jc w:val="both"/>
        <w:rPr>
          <w:rFonts w:ascii="Arial" w:hAnsi="Arial"/>
          <w:sz w:val="24"/>
          <w:szCs w:val="24"/>
        </w:rPr>
      </w:pPr>
      <w:r w:rsidRPr="00176E51">
        <w:rPr>
          <w:rFonts w:ascii="Arial" w:hAnsi="Arial" w:cs="Times New Roman"/>
          <w:sz w:val="24"/>
          <w:szCs w:val="24"/>
        </w:rPr>
        <w:t>1. A EVOLUÇÃO DO CONCEITO DE FAMÍLIA E O RECONHECIMENTO DA MULTIPARENTALIDADE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O estudo da família antecede o próprio Direito, estando presente desde a pré-história, como evidenciam pinturas rupestres que registram agrupamentos humanos. Inicialmente, a família desenvolveu-se como fenômeno social e natural, sendo apenas posteriormente regulada por normas jurídicas. Com o passar do tempo, o conceito jurídico de família evoluiu para acompanhar as transformações sociais e atender aos anseios da sociedade, tornando-se objeto de análise de diversos doutrinadores (Filho, 2013).</w:t>
      </w:r>
    </w:p>
    <w:p w:rsidR="009D60B7" w:rsidRDefault="00425C09">
      <w:pPr>
        <w:spacing w:line="360" w:lineRule="auto"/>
        <w:ind w:firstLine="709"/>
        <w:jc w:val="both"/>
        <w:rPr>
          <w:rFonts w:ascii="Arial" w:hAnsi="Arial" w:cs="Times New Roman"/>
          <w:sz w:val="24"/>
          <w:szCs w:val="24"/>
        </w:rPr>
      </w:pPr>
      <w:r>
        <w:rPr>
          <w:rFonts w:ascii="Arial" w:hAnsi="Arial" w:cs="Times New Roman"/>
          <w:sz w:val="24"/>
          <w:szCs w:val="24"/>
        </w:rPr>
        <w:t xml:space="preserve"> Assim, a família pode ser compreendida como uma instituição complexa e fundamental para a organização social, sendo a principal fonte de integração do indivíduo, ao passar regras e valores culturais considerados oportunos, que são aprendidos e repetidos nas relações sociais:</w:t>
      </w:r>
    </w:p>
    <w:p w:rsidR="009D60B7" w:rsidRDefault="009D60B7">
      <w:pPr>
        <w:spacing w:line="360" w:lineRule="auto"/>
        <w:ind w:firstLine="709"/>
        <w:jc w:val="both"/>
        <w:rPr>
          <w:rFonts w:ascii="Arial" w:hAnsi="Arial" w:cs="Times New Roman"/>
          <w:sz w:val="20"/>
          <w:szCs w:val="20"/>
        </w:rPr>
      </w:pPr>
    </w:p>
    <w:p w:rsidR="009D60B7" w:rsidRDefault="00425C09">
      <w:pPr>
        <w:ind w:left="2275"/>
        <w:jc w:val="both"/>
        <w:rPr>
          <w:rFonts w:ascii="Arial" w:hAnsi="Arial"/>
          <w:sz w:val="20"/>
          <w:szCs w:val="20"/>
        </w:rPr>
      </w:pPr>
      <w:r>
        <w:rPr>
          <w:rFonts w:ascii="Arial" w:hAnsi="Arial" w:cs="Times New Roman"/>
          <w:sz w:val="20"/>
          <w:szCs w:val="20"/>
        </w:rPr>
        <w:t>Constituída a família, pela associação do homem e da mulher, em vista da reprodução e da necessidade de criar os filhos, consolidada pelos sentimentos afetivos e pelo princípio da autoridade garantida pela religião, pelos costumes e pelo direito, é fácil de ver que se torna ela potente foco de onde irradiam múltiplas relações, direitos e deveres, que é preciso conhecer e firmar (Beviláqua, 2001, p. 33-34).</w:t>
      </w:r>
    </w:p>
    <w:p w:rsidR="009D60B7" w:rsidRDefault="009D60B7">
      <w:pPr>
        <w:spacing w:line="360" w:lineRule="auto"/>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color w:val="000000" w:themeColor="dark1"/>
          <w:sz w:val="24"/>
          <w:szCs w:val="24"/>
        </w:rPr>
        <w:t xml:space="preserve">Com isso, na Roma Antiga, por exemplo, a família apresentava uma estrutura tipicamente patriarcal, na qual o </w:t>
      </w:r>
      <w:r>
        <w:rPr>
          <w:rFonts w:ascii="Arial" w:hAnsi="Arial" w:cs="Times New Roman"/>
          <w:i/>
          <w:iCs/>
          <w:color w:val="000000" w:themeColor="dark1"/>
          <w:sz w:val="24"/>
          <w:szCs w:val="24"/>
        </w:rPr>
        <w:t>pater famílias</w:t>
      </w:r>
      <w:r>
        <w:rPr>
          <w:rFonts w:ascii="Arial" w:hAnsi="Arial" w:cs="Times New Roman"/>
          <w:color w:val="000000" w:themeColor="dark1"/>
          <w:sz w:val="24"/>
          <w:szCs w:val="24"/>
        </w:rPr>
        <w:t xml:space="preserve"> detinha autoridade sobre todos os membros enquanto estivesse vivo. A respeito da organização familiar romana, Gonçalves (2010, p. 10) declara que “o </w:t>
      </w:r>
      <w:r>
        <w:rPr>
          <w:rFonts w:ascii="Arial" w:hAnsi="Arial" w:cs="Times New Roman"/>
          <w:i/>
          <w:iCs/>
          <w:color w:val="000000" w:themeColor="dark1"/>
          <w:sz w:val="24"/>
          <w:szCs w:val="24"/>
        </w:rPr>
        <w:t>pater famílias</w:t>
      </w:r>
      <w:r>
        <w:rPr>
          <w:rFonts w:ascii="Arial" w:hAnsi="Arial" w:cs="Times New Roman"/>
          <w:color w:val="000000" w:themeColor="dark1"/>
          <w:sz w:val="24"/>
          <w:szCs w:val="24"/>
        </w:rPr>
        <w:t xml:space="preserve"> exercia sobre os filhos o direito de vida e de morte (</w:t>
      </w:r>
      <w:r>
        <w:rPr>
          <w:rFonts w:ascii="Arial" w:hAnsi="Arial" w:cs="Times New Roman"/>
          <w:i/>
          <w:iCs/>
          <w:color w:val="000000" w:themeColor="dark1"/>
          <w:sz w:val="24"/>
          <w:szCs w:val="24"/>
        </w:rPr>
        <w:t>ius vitae ac necis</w:t>
      </w:r>
      <w:r>
        <w:rPr>
          <w:rFonts w:ascii="Arial" w:hAnsi="Arial" w:cs="Times New Roman"/>
          <w:color w:val="000000" w:themeColor="dark1"/>
          <w:sz w:val="24"/>
          <w:szCs w:val="24"/>
        </w:rPr>
        <w:t xml:space="preserve">). Podia, desse modo, vendê-los, impor-lhes castigos e penas corporais e até mesmo tirar-lhes a vida”. Na prática, o pai podia tomar decisões muito rígidas, como aplicar castigos severos e, até mesmo, decidir sobre a morte dos </w:t>
      </w:r>
      <w:r>
        <w:rPr>
          <w:rFonts w:ascii="Arial" w:hAnsi="Arial" w:cs="Times New Roman"/>
          <w:color w:val="000000" w:themeColor="dark1"/>
          <w:sz w:val="24"/>
          <w:szCs w:val="24"/>
        </w:rPr>
        <w:lastRenderedPageBreak/>
        <w:t xml:space="preserve">filhos.  Esse poder demonstra que, na Roma Antiga, a família era organizada de forma patriarcal, com o pai ocupando uma posição de autoridade máxima.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Como discorrido acima, a ideia da centralização do poder somente na figura do pai no Direito Romano, contribuiu para um viés diferente no Direito Canônico. Segundo Dantas (1991), uma das lições que mais a Igreja legislou, foi a família e na família em especial o matrimônio, onde a evolução da instituição familiar se vinculou na celebração do casamento religioso, fundada pelo cristianismo a ideia de união indissolúvel, onde passou a ser considerado um sacramento, constituindo se como a única forma legitima de união.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entre os povos germânicos, a família também se estruturava sob a autoridade paterna, embora de forma menos absoluta, com a participação da mãe na organização familiar. Com a consolidação do Estado Liberal clássico e a Revolução Francesa, ocorreram mudanças importantes, ao se definir o casamento como contrato civil e admitir o divórcio, rompendo com a concepção exclusivamente religiosa da família (Vieira, 2024).</w:t>
      </w:r>
    </w:p>
    <w:p w:rsidR="009D60B7" w:rsidRDefault="00425C09">
      <w:pPr>
        <w:spacing w:line="360" w:lineRule="auto"/>
        <w:ind w:firstLine="709"/>
        <w:jc w:val="both"/>
        <w:rPr>
          <w:rFonts w:ascii="Arial" w:hAnsi="Arial"/>
          <w:sz w:val="24"/>
          <w:szCs w:val="24"/>
        </w:rPr>
      </w:pPr>
      <w:r>
        <w:rPr>
          <w:rFonts w:ascii="Arial" w:hAnsi="Arial" w:cs="Times New Roman"/>
          <w:sz w:val="24"/>
          <w:szCs w:val="24"/>
        </w:rPr>
        <w:t>No Brasil, a família recebeu influências das concepções romana, canônica e germânica. Ao longo da evolução legislativa, o Código Civil brasileiro de 1916 reconhecia apenas a família constituída pelo casamento, concentrando-se na autoridade do marido. Nesse período, o matrimônio era considerado a base do Direito da Família, sendo a origem dos direitos e deveres familiares. As relações fora do casamento eram desconsideradas juridicamente, vistas como inferiores, e os filhos delas decorrentes não possuíam os mesmos direitos daqueles nascidos do casamento. Além disso, não havia reconhecimento de vínculos de parentesco, afinidade ou direito sucessórios fora da estrutura do casamento (Ruggiero,1958).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Assim, nesse período, o casamento era visto como a única forma legítima de constituição da família, enquanto as demais uniões não recebiam o mesmo reconhecimento jurídico. À medida que a sociedade se transformou com o passar do tempo, o conceito de família também foi ressignificado, acompanhando mudanças culturais, sociais e jurídicas que ampliaram sua compreensão.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Atualmente, ela é compreendida como um conjunto de pessoas unidas por vínculos sanguíneos ou afetivos, desempenhando papel fundamental na vida do indivíduo. Nesse sentido, Dias (2016), destaca que a entidade familiar não está em decadência. Ao contrário, do modelo tradicional, houve a valorização das relações familiares na busca do atendimento aos interesses mais valiosos das pessoas humanas: </w:t>
      </w:r>
      <w:r>
        <w:rPr>
          <w:rFonts w:ascii="Arial" w:hAnsi="Arial" w:cs="Times New Roman"/>
          <w:sz w:val="24"/>
          <w:szCs w:val="24"/>
        </w:rPr>
        <w:lastRenderedPageBreak/>
        <w:t xml:space="preserve">afeto, solidariedade, lealdade, confiança, respeito e amor.  Reconhece-se que o que realmente define uma família, são os valores adquiridos nesse vínculo, que se tornam mais importantes do que apenas a ligação biológica ou formal entre os indivíduos.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Com isso, na evolução legislativa, a Emenda Constitucional nº 9/1977, que deu origem à Lei nº 6.515/1977, instituiu o divórcio, rompendo com o princípio da indissolubilidade do casamento e superando a ideia de que o matrimônio seria a única forma de constituição familiar (Vieira, 2024). Com a constituição do divórcio, passou a ser possível encerrar definitivamente o casamento e, com essa mudança, superou-se a ideia de que apenas o casamento formal seria a única forma legitima de formar uma família, abrindo espaço para novas formas de estrutura familiar.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Mais tarde, a Constituição Federal de 1988 representou um marco na evolução do Direito de Família, ao ampliar o conceito de família e reconhecer novas formas de organização. Em seu artigo 227, § 6º, garantiu a igualdade entre os filhos, independentemente de sua origem, e promoveu a igualdade entre homens e mulheres, rompendo com a estrutura patriarcal vigente (Brasil, 1988). Já o Código Civil de 2002 acompanhou essas transformações, reconhecendo que os vínculos afetivos podem ter valor equivalente aos vínculos biológicos na constituição da família (Brasil, 2002).</w:t>
      </w:r>
    </w:p>
    <w:p w:rsidR="009D60B7" w:rsidRDefault="00425C09">
      <w:pPr>
        <w:spacing w:line="360" w:lineRule="auto"/>
        <w:ind w:firstLine="709"/>
        <w:jc w:val="both"/>
        <w:rPr>
          <w:rFonts w:ascii="Arial" w:hAnsi="Arial"/>
          <w:sz w:val="24"/>
          <w:szCs w:val="24"/>
        </w:rPr>
      </w:pPr>
      <w:bookmarkStart w:id="6" w:name="_Hlk225243404"/>
      <w:r>
        <w:rPr>
          <w:rFonts w:ascii="Arial" w:hAnsi="Arial" w:cs="Times New Roman"/>
          <w:color w:val="000000" w:themeColor="dark1"/>
          <w:sz w:val="24"/>
          <w:szCs w:val="24"/>
        </w:rPr>
        <w:t>Nesse contexto, o princípio da afetividade tornou-se fundamental, orientando a interpretação das relações familiares contemporâneas e valorizando os vínculos construídos pela convivência e pelo cuidado. O Direito de Família, conforme leciona Dias (2016), é considerado o ramo mais humano do Direito, uma vez que acompanha o indivíduo desde antes do nascimento até o pós-morte, garantindo-lhe proteção, dignidade e integração familiar.</w:t>
      </w:r>
      <w:bookmarkEnd w:id="6"/>
    </w:p>
    <w:p w:rsidR="009D60B7" w:rsidRDefault="00425C09">
      <w:pPr>
        <w:spacing w:line="360" w:lineRule="auto"/>
        <w:ind w:firstLine="709"/>
        <w:jc w:val="both"/>
        <w:rPr>
          <w:rFonts w:ascii="Arial" w:hAnsi="Arial"/>
          <w:sz w:val="24"/>
          <w:szCs w:val="24"/>
        </w:rPr>
      </w:pPr>
      <w:r>
        <w:rPr>
          <w:rFonts w:ascii="Arial" w:hAnsi="Arial" w:cs="Times New Roman"/>
          <w:color w:val="000000" w:themeColor="dark1"/>
          <w:sz w:val="24"/>
          <w:szCs w:val="24"/>
        </w:rPr>
        <w:t>Com a valorização da afetividade, surge o reconhecimento da família socioafetiva, caracterizada por laços construídos a partir do afeto, da convivência e da solidariedade, independentemente de vínculos biológicos. O artigo 1.593 do Código Civil estabelece que o parentesco pode decorrer da “consanguinidade ou de outra origem”, permitindo uma interpretação ampliada que inclui a parentalidade socioafetiva. Nesses casos, ainda que ausentes vínculos sanguíneos, prevalecem relações formadas pelo afeto, reconhecidas tanto social quanto juridicamente (Brasil, 2002).</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 filiação, por sua vez, corresponde ao vínculo de parentesco entre pais e filhos, podendo ter origem biológica ou socioafetiva. Conforme Lôbo (2024), a filiação pode decorrer da posse do estado de filho, configurando-se, assim, como modalidade de parentesco civil de ‘outra origem’. A filiação socioafetiva caracteriza-se a partir da </w:t>
      </w:r>
      <w:r>
        <w:rPr>
          <w:rFonts w:ascii="Arial" w:hAnsi="Arial" w:cs="Times New Roman"/>
          <w:sz w:val="24"/>
          <w:szCs w:val="24"/>
        </w:rPr>
        <w:lastRenderedPageBreak/>
        <w:t xml:space="preserve">realidade vivenciada no âmbito familiar, sendo consolidada pelo convívio constante, pelo cuidado recíproco e pelo reconhecimento social do vínculo, independentemente da origem biológica.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Para o Direito, a condição de pai e mãe não se limita ao vínculo biológico proveniente da geração, mas também se baseia na forma como as funções parentais são efetivamente exercidas, como criar, cuidar e estabelecer laços afetivos. Assim, quando à vínculo socioafetivo se demonstra de forma contínua e verdadeira no cotidiano, a Justiça pode reconhecê-lo juridicamente, mesmo na ausência do vínculo sanguíneo, </w:t>
      </w:r>
      <w:r>
        <w:rPr>
          <w:rFonts w:ascii="Arial" w:hAnsi="Arial" w:cs="Times New Roman"/>
          <w:color w:val="000000" w:themeColor="dark1"/>
          <w:sz w:val="24"/>
          <w:szCs w:val="24"/>
        </w:rPr>
        <w:t>Nesse sentido:</w:t>
      </w:r>
    </w:p>
    <w:p w:rsidR="009D60B7" w:rsidRDefault="00425C09">
      <w:pPr>
        <w:ind w:left="2275"/>
        <w:jc w:val="both"/>
        <w:rPr>
          <w:rFonts w:ascii="Arial" w:hAnsi="Arial"/>
          <w:sz w:val="20"/>
          <w:szCs w:val="20"/>
        </w:rPr>
      </w:pPr>
      <w:r>
        <w:rPr>
          <w:rFonts w:ascii="Arial" w:hAnsi="Arial" w:cs="Times New Roman"/>
          <w:sz w:val="20"/>
          <w:szCs w:val="20"/>
        </w:rPr>
        <w:t>Assim, a prova da posse de estado de filho nada tem a ver com a origem da filiação: biológica natural, ou biológica por reprodução humana assistida, ou adotiva, ou por outras formas socioafetivas. Ela se traduz pela demonstração diuturna e contínua da convivência harmoniosa dentro da comunidade familiar, pela conduta afetiva dos pais em relação ao filho e vice-versa, pelo exercício dos direitos e deveres inerentes ao poder familiar, visando ao resguardo, sustento, educação e assistência material e imaterial do filho. Enfim, a posse de estado de filho poderá́ resultar na convergência entre a ver- Dade biológica e a verdade afetiva, ou, então, somente na verdade afetiva, que é mais importante (Fujita, 2011, p. 117).</w:t>
      </w:r>
    </w:p>
    <w:p w:rsidR="009D60B7" w:rsidRDefault="009D60B7">
      <w:pPr>
        <w:spacing w:before="1" w:after="5" w:line="360" w:lineRule="auto"/>
        <w:ind w:left="2410" w:right="142" w:hanging="10"/>
        <w:jc w:val="both"/>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Por fim, a transformação histórica e as evoluções no conceito de família, impõem a necessidade de entendimento dos princípios que passaram a orientar as relações familiares, especialmente o princípio da afetividade, que fundamenta o reconhecimento de novos vínculos parentais e a proteção das relações familiares firmadas na convivência, no cuidado e no afeto.</w:t>
      </w:r>
    </w:p>
    <w:p w:rsidR="009D60B7" w:rsidRDefault="009D60B7">
      <w:pPr>
        <w:spacing w:line="360" w:lineRule="auto"/>
        <w:ind w:firstLine="709"/>
        <w:jc w:val="both"/>
        <w:rPr>
          <w:rFonts w:ascii="Arial" w:hAnsi="Arial" w:cs="Times New Roman"/>
          <w:color w:val="EE0000"/>
          <w:sz w:val="24"/>
          <w:szCs w:val="24"/>
        </w:rPr>
      </w:pPr>
    </w:p>
    <w:p w:rsidR="009D60B7" w:rsidRPr="00176E51" w:rsidRDefault="00425C09">
      <w:pPr>
        <w:spacing w:line="360" w:lineRule="auto"/>
        <w:jc w:val="both"/>
        <w:rPr>
          <w:rFonts w:ascii="Arial" w:hAnsi="Arial" w:cs="Times New Roman"/>
          <w:bCs/>
          <w:sz w:val="24"/>
          <w:szCs w:val="24"/>
        </w:rPr>
      </w:pPr>
      <w:r w:rsidRPr="00176E51">
        <w:rPr>
          <w:rFonts w:ascii="Arial" w:hAnsi="Arial" w:cs="Times New Roman"/>
          <w:sz w:val="24"/>
          <w:szCs w:val="24"/>
        </w:rPr>
        <w:t>2. O PRINCÍPIO DA AFETIVIDADE COMO FUNDAMENTO DA MULTIPARENTALIDADE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O princípio em estudo tem como fundamento a Constituição Federal, noma superior do ordenamento jurídico. Para sua aplicação, utiliza-se o princípio da interpretação conforme a Constituição. Entendido como um método de controle da constitucionalidade que procura preservar a eficácia das normas sempre que possível, orientando sua leitura de maneira compatível com o texto constitucional.</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Esse método fundamenta-se em princípios interpretativos que concedem aos juristas meios para analisar a norma além de sua textualidade, considerando também as circunstâncias em que será aplicada. Dessa forma, o intérprete consegue organizar o conteúdo normativo com os elementos do caso concreto, alcançando uma solução que respeite a Constituição e, ao mesmo tempo, atenda às necessidades da realidade </w:t>
      </w:r>
      <w:r>
        <w:rPr>
          <w:rFonts w:ascii="Arial" w:hAnsi="Arial" w:cs="Times New Roman"/>
          <w:sz w:val="24"/>
          <w:szCs w:val="24"/>
        </w:rPr>
        <w:lastRenderedPageBreak/>
        <w:t xml:space="preserve">prática.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Sendo assim, a multiparentalidade refere-se ao reconhecimento jurídico da coexistência de múltiplos vínculos parentais em relação a um mesmo indivíduo, sejam eles decorrentes de laços biológicos ou construídos no contexto das relações afetivas. Gonçalves (2025), esclarece que a multiparentalidade caracteriza-se pela a possibilidade do filho possuir dois pais ou duas mães admitidos pelo direito, o biológico e o socioafetivo, em razão do reconhecimento da parentalidade baseada no afeto.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Dessa forma, Barroso (2018) afirma que a multiparentalidade configura um avanço do Direito de Família, por concretizar o princípio da dignidade da pessoa humana de todos os envolvidos, demonstrando que a afetividade desempenha um papel principal no desenvolvimento psicológico, físico e emocional. Isso significa que todas as pessoas envolvidas na relação familiar precisam ter seus vínculos respeitados e protegidos, sendo importante não é apenas vínculo biológico, mas, principalmente o cuidado, o convívio e o afeto presentes na relação familiar.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Contudo, o reconhecimento da multiparentalidade está diretamente ligado ao princípio da dignidade da pessoa humana, considerado um dos fundamentos do Estado Democrático de Direito na Constituição Federal de 1988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Esse princípio também encontra previsão na Declaração Universal dos Direitos Humanos de 1948, especialmente em seu preâmbulo e no seu artigo 1°, os quais dispõem:</w:t>
      </w:r>
    </w:p>
    <w:p w:rsidR="009D60B7" w:rsidRDefault="00425C09">
      <w:pPr>
        <w:ind w:left="2275"/>
        <w:jc w:val="both"/>
        <w:rPr>
          <w:rFonts w:ascii="Arial" w:hAnsi="Arial"/>
          <w:sz w:val="20"/>
          <w:szCs w:val="20"/>
        </w:rPr>
      </w:pPr>
      <w:r>
        <w:rPr>
          <w:rFonts w:ascii="Arial" w:hAnsi="Arial" w:cs="Times New Roman"/>
          <w:sz w:val="20"/>
          <w:szCs w:val="20"/>
        </w:rPr>
        <w:t>Considerando que o reconhecimento da dignidade inerente a todos os membros da família humana e de seus direitos iguais e inalienáveis é o fundamento da liberdade, da justiça e da paz no mundo [...]. Artigo 1°: Todos os seres humanos nascem livres e iguais em dignidade e direitos. São dotados de razão e consciência e devem agir em relação uns aos outros com espírito de fraternidade (Brasil, 1948, p. 20).</w:t>
      </w:r>
    </w:p>
    <w:p w:rsidR="009D60B7" w:rsidRDefault="009D60B7">
      <w:pPr>
        <w:spacing w:before="1" w:after="5" w:line="360" w:lineRule="auto"/>
        <w:ind w:left="860" w:right="142" w:hanging="10"/>
        <w:jc w:val="both"/>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Nessa perspectiva, a dignidade é inerente à pessoa humana, constituindo um valor que nasce com o indivíduo e deve ser respeitado em todas as fases da vida. Segundo Nunes (2022), trata-se de uma característica essencial, independentemente de qualquer condição externa, bastando o simples fato de ser pessoa. Além da dignidade da pessoa humana, outros princípios fundamentais do Direito de Família também amparam a multiparentalidade. Dentre eles, destacam-se a solidariedade familiar, a igualdade entre os filhos, o pluralismo familiar e o melhor interesse da criança e do adolescente.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Nesse sentido, a solidariedade familiar impõe o dever de mútua assistência entre </w:t>
      </w:r>
      <w:r>
        <w:rPr>
          <w:rFonts w:ascii="Arial" w:hAnsi="Arial" w:cs="Times New Roman"/>
          <w:sz w:val="24"/>
          <w:szCs w:val="24"/>
        </w:rPr>
        <w:lastRenderedPageBreak/>
        <w:t>os membros da família, encontrando fundamento no artigo 3º, inciso I, da Constituição Federal de 1988. O princípio da igualdade entre os filhos, previsto no artigo 227, § 6º, garante que todos tenham os mesmos direitos, independentemente de sua origem. Já o pluralismo familiar reconhece a diversidade de entidades familiares, conforme dispõe o artigo 226 da Constituição Federal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Dentre esses princípios, destaca-se o da afetividade, que exerce papel central na efetivação da multiparentalidade. Esse princípio reconhece que os vínculos familiares não se limitam à consanguinidade ou à formalidade jurídica, mas também se constroem por meio da convivência, do cuidado e do afeto, elementos essenciais para o desenvolvimento do indivíduo no ambiente familiar.</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Nesse cenário, ganha relevância o instituto da posse do estado de filho, caracterizado pela existência de uma relação contínua, pública e duradoura entre pai e filho, mesmo na ausência de vínculo biológico. Essa condição pode ser identificada por três elementos clássicos: </w:t>
      </w:r>
      <w:r>
        <w:rPr>
          <w:rFonts w:ascii="Arial" w:hAnsi="Arial" w:cs="Times New Roman"/>
          <w:i/>
          <w:iCs/>
          <w:sz w:val="24"/>
          <w:szCs w:val="24"/>
        </w:rPr>
        <w:t>nominatio</w:t>
      </w:r>
      <w:r>
        <w:rPr>
          <w:rFonts w:ascii="Arial" w:hAnsi="Arial" w:cs="Times New Roman"/>
          <w:sz w:val="24"/>
          <w:szCs w:val="24"/>
        </w:rPr>
        <w:t xml:space="preserve"> (uso do nome da família), </w:t>
      </w:r>
      <w:r>
        <w:rPr>
          <w:rFonts w:ascii="Arial" w:hAnsi="Arial" w:cs="Times New Roman"/>
          <w:i/>
          <w:iCs/>
          <w:sz w:val="24"/>
          <w:szCs w:val="24"/>
        </w:rPr>
        <w:t>tractatus</w:t>
      </w:r>
      <w:r>
        <w:rPr>
          <w:rFonts w:ascii="Arial" w:hAnsi="Arial" w:cs="Times New Roman"/>
          <w:sz w:val="24"/>
          <w:szCs w:val="24"/>
        </w:rPr>
        <w:t xml:space="preserve"> (tratamento como filho) e </w:t>
      </w:r>
      <w:r>
        <w:rPr>
          <w:rFonts w:ascii="Arial" w:hAnsi="Arial" w:cs="Times New Roman"/>
          <w:i/>
          <w:iCs/>
          <w:sz w:val="24"/>
          <w:szCs w:val="24"/>
        </w:rPr>
        <w:t>reputatio</w:t>
      </w:r>
      <w:r>
        <w:rPr>
          <w:rFonts w:ascii="Arial" w:hAnsi="Arial" w:cs="Times New Roman"/>
          <w:sz w:val="24"/>
          <w:szCs w:val="24"/>
        </w:rPr>
        <w:t xml:space="preserve"> (reconhecimento social da relação). Conforme Luiz (2009), tais elementos comprovam a consolidação de um vínculo socioafetivo, reconhecido tanto no meio social quanto no jurídico.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Logo, a filiação socioafetiva pode decorrer da posse do estado de filho, pois se fundamenta na convivência, no cuidado e no reconhecimento social da relação. Trata-se de uma construção jurídica baseada na realidade concreta, na qual o afeto se sobrepõe à origem biológica (Dias, 2009).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Segundo Lôbo (2024), a socioafetividade não é elaboração intelectual nem apenas um raciocínio lógico. Ela surge de um longo processo de valorização do afeto nas sociedades modernas e contemporâneas e na formação das pessoas dentro das famílias.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isso, a multiparentalidade, portanto, possibilita a coexistência de vínculos biológicos e socioafetivos, desde que demonstrada a existência de uma relação real e consolidada entre as partes. O Provimento nº 83/2019 do Conselho Nacional de Justiça (CNJ) regulamenta o reconhecimento extrajudicial da paternidade e da maternidade socioafetiva, exigindo a demonstração de vínculo afetivo estável e, nos casos envolvendo menores de idade, o consentimento do filho e a manifestação do Ministério Público. Esse procedimento busca assegurar maior segurança jurídica, permitindo o registro civil da filiação socioafetiva sem prejuízo do vínculo biológico já existente (Brasil, 2019).</w:t>
      </w:r>
    </w:p>
    <w:p w:rsidR="009D60B7" w:rsidRDefault="00425C09">
      <w:pPr>
        <w:spacing w:line="360" w:lineRule="auto"/>
        <w:ind w:firstLine="709"/>
        <w:jc w:val="both"/>
        <w:rPr>
          <w:rFonts w:ascii="Arial" w:hAnsi="Arial"/>
          <w:sz w:val="24"/>
          <w:szCs w:val="24"/>
        </w:rPr>
      </w:pPr>
      <w:r>
        <w:rPr>
          <w:rFonts w:ascii="Arial" w:hAnsi="Arial" w:cs="Times New Roman"/>
          <w:sz w:val="24"/>
          <w:szCs w:val="24"/>
        </w:rPr>
        <w:lastRenderedPageBreak/>
        <w:t>Dessa forma, o sistema jurídico brasileiro também garante que o reconhecimento do estado de filiação é imprescritível. De acordo com o artigo 27 da Lei nº 8.069/1990 do Estatuto da Criança e do Adolescente, esse direito é personalíssimo, indisponível e pode ser exercido a qualquer tempo (Brasil, 1990).</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Ademais, o reconhecimento da multiparentalidade deve observar critérios jurídicos claros, sempre priorizando o princípio do melhor interesse da criança e do adolescente. Tal princípio encontra fundamento no artigo 227 da Constituição Federal de 1988, que atribui à família, à sociedade e ao Estado o dever de assegurar, com total prioridade, os direitos fundamentais das crianças e dos adolescentes, incluindo a vida, saúde, educação, dignidade e convivência familiar, bem como protege-los de qualquer forma de negligência, violência ou discriminação (Brasil, 1988).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Conforme também estabelece o artigo 4º do Estatuto da Criança e do Adolescente, a proteção integral dos direitos da criança e do adolescente constitui dever compartilhado entre a família, a sociedade e o poder público, devendo ser assegurada com prioridade absoluta, especialmente em relação a direitos essenciais como saúde, educação, dignidade e convivência familiar (Brasil, 1990).</w:t>
      </w:r>
    </w:p>
    <w:p w:rsidR="009D60B7" w:rsidRDefault="00425C09">
      <w:pPr>
        <w:spacing w:line="360" w:lineRule="auto"/>
        <w:ind w:firstLine="709"/>
        <w:jc w:val="both"/>
        <w:rPr>
          <w:rFonts w:ascii="Arial" w:hAnsi="Arial"/>
          <w:sz w:val="24"/>
          <w:szCs w:val="24"/>
        </w:rPr>
      </w:pPr>
      <w:r>
        <w:rPr>
          <w:rFonts w:ascii="Arial" w:hAnsi="Arial" w:cs="Times New Roman"/>
          <w:sz w:val="24"/>
          <w:szCs w:val="24"/>
        </w:rPr>
        <w:t>Sendo assim, a jurisprudência também reconhece a relevância da paternidade socioafetiva e a sua estabilidade jurídica. Nessa perspectiva, prevalece o entendimento de que o vínculo socioafetivo, uma vez consolidado ao longo do tempo, não pode ser desfeito, sobrepondo-se à ausência de vínculo biológico, especialmente quando está em jogo o melhor interesse da criança (Luiz, 2009).</w:t>
      </w:r>
    </w:p>
    <w:p w:rsidR="009D60B7" w:rsidRDefault="00425C09">
      <w:pPr>
        <w:ind w:left="2275"/>
        <w:jc w:val="both"/>
        <w:rPr>
          <w:rFonts w:ascii="Arial" w:hAnsi="Arial"/>
          <w:sz w:val="20"/>
          <w:szCs w:val="20"/>
        </w:rPr>
      </w:pPr>
      <w:r>
        <w:rPr>
          <w:rFonts w:ascii="Arial" w:hAnsi="Arial" w:cs="Times New Roman"/>
          <w:sz w:val="20"/>
          <w:szCs w:val="20"/>
          <w:highlight w:val="white"/>
        </w:rPr>
        <w:t>Apelação cível. Ação negatória de paternidade cumulada com cautelar de sustação do pagamento de alimentos. O ato jurídico de reconhecimento da paternidade apenas poderá ser anulado se comprovado ser resultado de vício como coação, erro, dolo, simulação ou fraude. Vínculo biológico e vínculo socioafetivo. O primeiro não se sobrepõe ao segundo, se comprovada sua existência. Paternidade socioafetiva. Indissolubilidade. A consolidação livre e espontânea de uma relação pai e filha não fica à disposição de interesses outros que possam constituir a criança da condição de filha do pai que a escolheu e assumiu. Recurso desprovido (Brasil, 2007).</w:t>
      </w:r>
    </w:p>
    <w:p w:rsidR="009D60B7" w:rsidRDefault="009D60B7">
      <w:pPr>
        <w:spacing w:before="1" w:after="5" w:line="360" w:lineRule="auto"/>
        <w:ind w:left="2410" w:right="142" w:hanging="10"/>
        <w:jc w:val="both"/>
        <w:rPr>
          <w:rFonts w:ascii="Arial" w:hAnsi="Arial"/>
          <w:color w:val="EE0000"/>
          <w:sz w:val="20"/>
          <w:szCs w:val="20"/>
          <w:highlight w:val="white"/>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Quando uma pessoa desempenha, por longo período, as funções típicas de pai, criando, cuidando e estabelecendo vínculo afetivo com a criança, a justiça tende a reconhecer essa relação como paternidade socioafetiva. Nesses casos, mesmo na ausência do laço biológico, não se admite a destituições desse vínculo de forma simples, prevalecendo o princípio do melhor interesse da criança como parâmetro orientador das decisões judiciais.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Portanto, a multiparentalidade fundamenta-se nos princípios da afetividade e da </w:t>
      </w:r>
      <w:r>
        <w:rPr>
          <w:rFonts w:ascii="Arial" w:hAnsi="Arial" w:cs="Times New Roman"/>
          <w:sz w:val="24"/>
          <w:szCs w:val="24"/>
        </w:rPr>
        <w:lastRenderedPageBreak/>
        <w:t xml:space="preserve">dignidade da pessoa humana, reconhecendo juridicamente a possibilidade de múltiplos vínculos parentais sempre que presentes o afeto, o cuidado e o reconhecimento social, com prioridade ao melhor interesse da criança ou do adolescente. </w:t>
      </w:r>
      <w:r>
        <w:rPr>
          <w:rFonts w:ascii="Arial" w:hAnsi="Arial" w:cs="Times New Roman"/>
          <w:sz w:val="24"/>
          <w:szCs w:val="24"/>
          <w:highlight w:val="white"/>
        </w:rPr>
        <w:t xml:space="preserve">Diante da relevância do princípio da afetividade e de sua influência na construção da multiparentalidade, torna-se fundamental analisar como esse entendimento foi consolidado na jurisprudência brasileira, especialmente no âmbito do STF. </w:t>
      </w:r>
    </w:p>
    <w:p w:rsidR="009D60B7" w:rsidRDefault="009D60B7">
      <w:pPr>
        <w:spacing w:line="360" w:lineRule="auto"/>
        <w:jc w:val="both"/>
        <w:rPr>
          <w:rFonts w:ascii="Arial" w:hAnsi="Arial" w:cs="Times New Roman"/>
          <w:b/>
          <w:sz w:val="24"/>
          <w:szCs w:val="24"/>
        </w:rPr>
      </w:pPr>
    </w:p>
    <w:p w:rsidR="009D60B7" w:rsidRPr="00176E51" w:rsidRDefault="00425C09">
      <w:pPr>
        <w:spacing w:line="360" w:lineRule="auto"/>
        <w:jc w:val="both"/>
        <w:rPr>
          <w:rFonts w:ascii="Arial" w:hAnsi="Arial" w:cs="Times New Roman"/>
          <w:sz w:val="24"/>
          <w:szCs w:val="24"/>
        </w:rPr>
      </w:pPr>
      <w:r w:rsidRPr="00176E51">
        <w:rPr>
          <w:rFonts w:ascii="Arial" w:hAnsi="Arial" w:cs="Times New Roman"/>
          <w:sz w:val="24"/>
          <w:szCs w:val="24"/>
        </w:rPr>
        <w:t>3. ANÁLISE E CONSEQUÊNCIAS JURÍDICAS DA MULTIPARENTALIDADE NO DIREITO BRASILEIRO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O Recurso Extraordinário nº 898.060, julgado pelo Supremo Tribunal Federal em 2016, constitui marco fundamental para o reconhecimento da multiparentalidade no direito brasileiro. O caso teve origem em decisão do Tribunal de Justiça de Santa Catarina e foi relatado pelo Ministro Luiz Fux, sendo analisado no Tema 622 da repercussão geral. A tese geral determina que o reconhecimento da paternidade socioafetiva, ainda que não conste em registro público, não excluí o reconhecimento simultâneo do vínculo de filiação de origem biológica, gerando ambos efeitos jurídicos semelhantes (Brasil, 2016). Nesse sentido, destaca-se a ementa do julgado:</w:t>
      </w:r>
    </w:p>
    <w:p w:rsidR="009D60B7" w:rsidRDefault="00425C09">
      <w:pPr>
        <w:ind w:left="2275"/>
        <w:jc w:val="both"/>
        <w:rPr>
          <w:rFonts w:ascii="Arial" w:hAnsi="Arial"/>
          <w:sz w:val="20"/>
          <w:szCs w:val="20"/>
        </w:rPr>
      </w:pPr>
      <w:r>
        <w:rPr>
          <w:rFonts w:ascii="Arial" w:hAnsi="Arial" w:cs="Times New Roman"/>
          <w:sz w:val="20"/>
          <w:szCs w:val="20"/>
        </w:rPr>
        <w:br/>
        <w:t>Recurso extraordinário. repercussão geral reconhecida. direito civil e constitucional. conflito entre paternidades socioafetiva e biológica. paradigma do casamento. superação pela constituição de 1988. eixo central do direito de família: deslocamento para o plano constitucional. sobre princípio da dignidade humana (art. 1º, iii, da crfb). superação de óbices legais ao pleno desenvolvimento das famílias. direito à busca da felicidade. princípio constitucional implícito. indivíduo como centro do ordenamento jurídico-político. impossibilidade de redução das realidades familiares a modelos pré-concebidos. atipicidade constitucional do conceito de entidades familiares. união estável (art. 226, § 3º, crfb) e família monoparental (art. 226, § 4º, crfb). vedação à discriminação e hierarquização entre espécies de filiação (art. 227, § 6º, crfb). parentalidade presuntiva, biológica ou afetiva. necessidade de tutela jurídica ampla. multiplicidade de vínculos parentais. reconhecimento concomitante. possibilidade. pluriparentalidade. princípio da paternidade responsável (art. 226, § 7º, crfb). recurso a que se nega provimento. fixação de tese para aplicação a casos semelhantes (Brasil, 2016</w:t>
      </w:r>
      <w:r>
        <w:rPr>
          <w:rFonts w:ascii="Arial" w:hAnsi="Arial" w:cs="Times New Roman"/>
          <w:sz w:val="20"/>
          <w:szCs w:val="20"/>
          <w:lang w:val="pt-BR"/>
        </w:rPr>
        <w:t xml:space="preserve">, </w:t>
      </w:r>
      <w:r>
        <w:rPr>
          <w:rFonts w:ascii="Arial" w:hAnsi="Arial" w:cs="Times New Roman"/>
          <w:i/>
          <w:iCs/>
          <w:sz w:val="20"/>
          <w:szCs w:val="20"/>
          <w:lang w:val="pt-BR"/>
        </w:rPr>
        <w:t>online</w:t>
      </w:r>
      <w:r>
        <w:rPr>
          <w:rFonts w:ascii="Arial" w:hAnsi="Arial" w:cs="Times New Roman"/>
          <w:sz w:val="20"/>
          <w:szCs w:val="20"/>
        </w:rPr>
        <w:t xml:space="preserve">).  </w:t>
      </w:r>
    </w:p>
    <w:p w:rsidR="009D60B7" w:rsidRDefault="009D60B7">
      <w:pPr>
        <w:spacing w:before="1" w:after="5" w:line="360" w:lineRule="auto"/>
        <w:ind w:right="142"/>
        <w:jc w:val="both"/>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Na decisão, o Supremo Tribunal Federal admitiu que a existência da paternidade socioafetiva, mesmo que não formalmente registrada, não exclui o reconhecimento da paternidade biológica, permitindo a coexistência de ambos os vínculos e garantindo todos os efeitos jurídicos a eles inerentes.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O caso concreto envolveu uma mulher que, embora registrada por um pai socioafetivo, descobriu aos 19 anos a identidade de seu pai biológico e buscou o </w:t>
      </w:r>
      <w:r>
        <w:rPr>
          <w:rFonts w:ascii="Arial" w:hAnsi="Arial" w:cs="Times New Roman"/>
          <w:sz w:val="24"/>
          <w:szCs w:val="24"/>
        </w:rPr>
        <w:lastRenderedPageBreak/>
        <w:t>reconhecimento judicial dessa filiação. Inicialmente, houve decisões que reconheceram apenas o vínculo biológico, excluindo o pai socioafetivo. No entanto, o Tribunal de Justiça de Santa Catarina reformou esse entendimento, preservando o vínculo afetivo. Por fim, o STF consolidou a possibilidade de reconhecimento simultâneo das duas paternidades, permitindo que ambos sejam considerados juridicamente como pais (Vieira, 2024).</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Esse posicionamento encontra respaldo na doutrina contemporânea, que reconhece a multiparentalidade como reflexo da evolução do Direito de Família. De acordo com Dias (2009), a valorização da busca pela felicidade, a preferência pelo o amor e o fortalecimento da solidariedade levam ao reconhecimento do afeto como fundamento essencial na definição de família e também na proteção da vida. Nesse cenário, diante das novas transformações sociais, esse aspecto destaca-se como um dos mais inovadores.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 partir desse julgamento, estabeleceu-se que a multiparentalidade deve observar determinados elementos, dentre os quais se destaca a vontade do filho, considerada essencial para evidenciar a existência de vínculo afetivo e a legitimidade do reconhecimento. Nesse sentido, o Ministro Luiz Fux ressaltou a importância da autodeterminação do indivíduo e da proteção aos direitos da personalidade, afirmando que a dignidade humana assegura ao indivíduo a liberdade de definir seus próprios vínculos familiares.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Com isso, o entendimento firmado pela Corte teve como fundamento diversos princípios constitucionais, especialmente a dignidade da pessoa humana, a igualdade entre os filhos e o reconhecimento das diferentes formas de entidade familiar. Além disso, destaca-se o direito à busca da felicidade como fator significativo na formação das relações familiares contemporâneas.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Colaborando esse entendimento, Lôbo (2024) explica que a família moderna recuperou sua função essencial de constituir-se como um núcleo central de vínculos afetivos e na convivência comum. Nesse contexto, o princípio da afetividade assegura a igualdade entre irmãos, independente dos seus laços de sangue, garantindo o respeito aos seus direitos fundamentais e fortalecendo a união entre todos os integrantes, sem que interesses patrimoniais se sobreponham à dignidade da pessoa humana nas relações familiares.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Durante o julgamento, destacou-se também o princípio da paternidade responsável, consagrado na Constituição Federal de 1988, o qual impõe aos pais o dever de assistir, criar e educar os filhos, visando seu desenvolvimento integral. Nesse </w:t>
      </w:r>
      <w:r>
        <w:rPr>
          <w:rFonts w:ascii="Arial" w:hAnsi="Arial" w:cs="Times New Roman"/>
          <w:sz w:val="24"/>
          <w:szCs w:val="24"/>
        </w:rPr>
        <w:lastRenderedPageBreak/>
        <w:t>contexto, observa-se a superação das concepções tradicionais anteriormente centradas exclusivamente no vínculo formal, de modo que o modelo contemporâneo valoriza o exercício efetivo das funções parentais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Sob essas circunstâncias, a Ministra Carmen Lúcia destacou que: O amor não se impõe, mas o cuidado, sim; e esse cuidado me parece integrar o conjunto de direitos assegurados, especialmente no âmbito da paternidade e maternidade responsável (Brasil, 2016).</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Dessa forma, a valorização excessiva da afetividade pode acarretar o enfraquecimento do vínculo biológico, o qual ainda possui relevância jurídica social e até mesmo psicológica. A identidade genética do indivíduo constitui elemento importante para a formação da personalidade, não podendo ser completamente flexibilizada. Nesse contexto a coexistência de vínculos devem ser analisadas com cautela, a fim de evitar a banalização do conceito de parentalidade (Dias, 2016).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Ainda no julgamento, houve divergência apresentada pelo Ministro Marco Aurélio Mello, que defendeu a prevalência da filiação biológica sobre a socioafetiva. Para o ministro, não seria possível a coexistência de ambos os vínculos, devendo o registro civil refletir exclusivamente a verdade biológica. Em seu voto, afirmou: “Permaneço com a convicção de que pai é pai: é pai biológico, de início, a menos que se trate de adoção, quando se tem regência própria. Como, no caso, houve erro no registro de nascimento da autora, este deve ser corrigido para constar o nome do pai biológico (Brasil, 2016).</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base nesses fundamentos, o STF consolidou a possibilidade de coexistência entre vínculos biológicos e socioafetivos, reconhecendo juridicamente a multiparentalidade. A partir desse reconhecimento, surgem diversas consequências jurídicas. Em primeiro lugar, assegura-se a igualdade entre todos os filhos, independentemente da origem da filiação, conforme prevê o artigo 227 da Constituição Federal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Além disso, o reconhecimento da multiparentalidade garante todos os direitos da filiação ao indivíduo, resguardando sua proteção jurídica em relação a todos os genitores reconhecidos. Segundo Lôbo (2024), quanto à guarda, aplica-se, em regra, o modelo compartilhado, inclusive nos casos de filiação afetiva, podendo ser fixada guarda unilateral apenas quando decisão judicial devidamente fundamentada demonstre ser essa a medida mais adequada à proteção do menor; a residência de referência deve refletir a realidade afetiva e social da criança, preservando o convívio com todos os pais e seus respectivos núcleos familiares, especialmente com os avós.</w:t>
      </w:r>
    </w:p>
    <w:p w:rsidR="009D60B7" w:rsidRDefault="00425C09">
      <w:pPr>
        <w:spacing w:line="360" w:lineRule="auto"/>
        <w:ind w:firstLine="709"/>
        <w:jc w:val="both"/>
        <w:rPr>
          <w:rFonts w:ascii="Arial" w:hAnsi="Arial"/>
          <w:sz w:val="24"/>
          <w:szCs w:val="24"/>
        </w:rPr>
      </w:pPr>
      <w:r>
        <w:rPr>
          <w:rFonts w:ascii="Arial" w:hAnsi="Arial" w:cs="Times New Roman"/>
          <w:sz w:val="24"/>
          <w:szCs w:val="24"/>
        </w:rPr>
        <w:lastRenderedPageBreak/>
        <w:t>No tocante aos alimentos, a obrigação deve ser distribuída entre os pais, observando-se, em regra, a igualdade de responsabilidades, sendo que, em situações de divergência, o juiz fixa o valor proporcional às condições econômicas de cada genitor, evitando desequilíbrios e enriquecimento indevido; o dever alimentar dos avós, biológicos ou socioafetivos, possui caráter subsidiário e complementar, acionado conforme a necessidade e a capacidade financeira, podendo futuramente o filho também estar obrigado a prestar alimentos a todos os seus ascendentes (Farias; Rosenvald, 2023).</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Quanto ao nome, admite-se a inclusão do sobrenome dos diferentes genitores mediante alteração do registro civil, sem que isso implique a exclusão dos vínculos anteriormente reconhecidos. No âmbito do direito sucessório, o filho possui plena equiparação, sendo herdeiro necessário tanto dos pais biológicos quanto dos socioafetivos, participando da sucessão de cada um em igualdade de condições com os demais descendentes, sem discriminação quanto à origem da filiação; embora tal situação possa gerar vantagem relativa em comparação a outros herdeiros, isso não constitui impedimento jurídico, pois decorre da própria estrutura plural da filiação reconhecida (Lôbo, 2024).</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Apesar dos avanços, a multiparentalidade ainda apresenta desafios práticos no sistema jurídico. Embora represente um importante reconhecimento da diversidade das formas familiares, surgem dúvidas quanto à responsabilidade de tomar decisões relevantes na vida do filho menor, como autorizar casamento, emancipação ou representá-lo em situações de incapacidade. Questionamentos também envolvem a administração de bens, o exercício dos direitos decorrentes da filiação e a divisão da obrigação alimentar, já que todos os genitores podem ser responsáveis, cabendo ao juiz definir a contribuição de cada um conforme suas condições financeiras (Gonçalves, 2025).</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Além disso, discute-se se o filho, no futuro, poderá prestar alimentos a todos os pais, bem como questões relacionadas à responsabilidade civil pelos atos do menor, à aplicação de prazos de prescrição e à definição de quem exercerá funções como tutela ou curatela, quando necessário. Portanto para Gonçalves (2025), embora a multiparentalidade constitua avanço no reconhecimento da realidade das relações familiares, sua aplicação prática ainda demanda regulamentação jurídica mais clara, a fim de evitar conflitos e garantir segurança nas relações entre pais e filhos.</w:t>
      </w:r>
      <w:r>
        <w:rPr>
          <w:rFonts w:ascii="Arial" w:hAnsi="Arial" w:cs="Times New Roman"/>
          <w:color w:val="EE0000"/>
          <w:sz w:val="24"/>
          <w:szCs w:val="24"/>
        </w:rPr>
        <w:t xml:space="preserve">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Outro aspecto relevante é a necessidade de impedir o uso indevido da </w:t>
      </w:r>
      <w:r>
        <w:rPr>
          <w:rFonts w:ascii="Arial" w:hAnsi="Arial" w:cs="Times New Roman"/>
          <w:sz w:val="24"/>
          <w:szCs w:val="24"/>
        </w:rPr>
        <w:lastRenderedPageBreak/>
        <w:t>multiparentalidade, evitando que seja pleiteada exclusivamente para obtenção de vantagens patrimoniais, como herança ou outros benefícios. O reconhecimento desse instituto deve fundamentar-se em relações concretas de afeto, convivência e responsabilidade, e não em interesses econômicos. Em vista disso, sua aplicação deve priorizar a dimensão existencial da filiação, assegurando que o vínculo parental decorra de uma verdadeira relação familiar, e não de estratégias voltadas a proveitos financeiros.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ausência de legislação específica e detalhada pode gerar insegurança jurídica e resistência na aplicação prática da multiparentalidade. Dessa maneira, cabe ao Poder Judiciário atuar com sensibilidade, considerando as particularidades de cada caso e priorizando os vínculos afetivos efetivamente existentes (Vieira, 2024).</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isso, destaca-se que a decisão do STF no Recurso Extraordinário nº 898.060 consolidou a multiparentalidade no ordenamento jurídico brasileiro, representando um avanço significativo na valorização da afetividade e na proteção das diversas formas de família. Contudo, trata-se de tema relativamente recente, cuja consolidação ainda depende da evolução da jurisprudência e da uniformização de entendimentos (Brasil, 2016).</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Embora esteja fundamentada na valorização da afetividade, a multiparentalidade não se configura como um instituto ilimitado, devendo observar critérios jurídicos que assegurem estabilidade e coerência nas relações familiares. Nesse sentido, exige-se, inicialmente, a comprovação de vínculo afetivo real, contínuo e público, não sendo suficiente a mera manifestação de vontade das partes.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Deve-se, ainda, observar o princípio do melhor interesse da criança e do adolescente, de modo que o reconhecimento somente será admitido quando efetivamente contribuir para o seu desenvolvimento emocional e social. Outro limite relevante consiste na vedação ao uso da multiparentalidade com finalidade exclusivamente patrimonial, prevenindo sua instrumentalização para obtenção de vantagens sucessórias ou benefícios indevidos.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Apesar dos avanços proporcionados pelo reconhecimento da multiparentalidade, é necessário destacar críticas relevantes ao instituto. Um dos principais pontos contrários refere-se ao risco de insegurança jurídica, especialmente diante da ausência de legislação específica que regulamente de forma detalhada suas consequências. A coexistência de múltiplos vínculos parentais podem gerar conflitos no exercício do poder familiar, dificultando a tomada de decisões importantes na vida do menor, como questões relacionadas à guarda, educação e saúde. Além disso, há preocupação quanto à </w:t>
      </w:r>
      <w:r>
        <w:rPr>
          <w:rFonts w:ascii="Arial" w:hAnsi="Arial" w:cs="Times New Roman"/>
          <w:sz w:val="24"/>
          <w:szCs w:val="24"/>
        </w:rPr>
        <w:lastRenderedPageBreak/>
        <w:t xml:space="preserve">possível banalização do instituto, sobretudo quando utilizado com finalidade exclusivamente patrimonial, como a ampliação de direitos sucessórios.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Por fim, é necessária a preservação da segurança jurídica, garantindo coerência quanto aos direitos e deveres decorrentes da filiação, como alimentos, guarda e sucessão. Conseguinte, destaca-se que o reconhecimento da multiparentalidade depende da análise do caso concreto pelo Poder Judiciário, não sendo admitido de forma automática, a fim de evitar a banalização do instituto. Assim, após a análise do reconhecimento da multiparentalidade pelo Supremo Tribunal Federal e de seus efeitos jurídicos, evidencia-se a necessidade de refletir sobre os desafios práticos e os limites desse instituto no Direito de Família contemporâneo. </w:t>
      </w:r>
    </w:p>
    <w:p w:rsidR="009D60B7" w:rsidRDefault="009D60B7">
      <w:pPr>
        <w:spacing w:line="360" w:lineRule="auto"/>
        <w:jc w:val="both"/>
        <w:rPr>
          <w:rFonts w:ascii="Arial" w:hAnsi="Arial" w:cs="Times New Roman"/>
          <w:sz w:val="24"/>
          <w:szCs w:val="24"/>
        </w:rPr>
      </w:pPr>
    </w:p>
    <w:p w:rsidR="009D60B7" w:rsidRPr="00176E51" w:rsidRDefault="00425C09">
      <w:pPr>
        <w:spacing w:line="360" w:lineRule="auto"/>
        <w:jc w:val="both"/>
        <w:rPr>
          <w:rFonts w:ascii="Arial" w:hAnsi="Arial"/>
          <w:sz w:val="24"/>
          <w:szCs w:val="24"/>
        </w:rPr>
      </w:pPr>
      <w:r w:rsidRPr="00176E51">
        <w:rPr>
          <w:rFonts w:ascii="Arial" w:hAnsi="Arial" w:cs="Times New Roman"/>
          <w:sz w:val="24"/>
          <w:szCs w:val="24"/>
        </w:rPr>
        <w:t>CONCLUSÃO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análise desenvolvida demonstra que a afetividade se consolidou como elemento estruturante no reconhecimento das relações familiares contemporâneas, influenciando diretamente a admissão da multiparentalidade no ordenamento jurídico brasileiro. Observa-se que o Direito de Família passou por significativa evolução, deixando de se fundamentar exclusivamente em critérios biológicos e formais para reconhecer a relevância dos vínculos afetivos na constituição das relações familiares. Nesse contexto, o princípio da afetividade consolidou-se como elemento essencial na interpretação jurídica, contribuindo para o reconhecimento de novas formas de parentalidade.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multiparentalidade, nesse cenário, apresenta-se como um avanço relevante no ordenamento jurídico brasileiro, ao admitir a coexistência de vínculos biológicos e socioafetivos, garantindo maior proteção à realidade vivenciada pelos indivíduos. Tal reconhecimento reflete a valorização da dignidade da pessoa humana, da igualdade entre os filhos e do melhor interesse da criança e do adolescente.</w:t>
      </w:r>
    </w:p>
    <w:p w:rsidR="009D60B7" w:rsidRDefault="00425C09">
      <w:pPr>
        <w:spacing w:line="360" w:lineRule="auto"/>
        <w:ind w:firstLine="709"/>
        <w:jc w:val="both"/>
        <w:rPr>
          <w:rFonts w:ascii="Arial" w:hAnsi="Arial" w:cs="Times New Roman"/>
          <w:sz w:val="24"/>
          <w:szCs w:val="24"/>
        </w:rPr>
      </w:pPr>
      <w:r>
        <w:rPr>
          <w:rFonts w:ascii="Arial" w:hAnsi="Arial" w:cs="Times New Roman"/>
          <w:sz w:val="24"/>
          <w:szCs w:val="24"/>
        </w:rPr>
        <w:t xml:space="preserve">O julgamento do Recurso Extraordinário nº 898.060 pelo Supremo Tribunal Federal marcou a consolidação desse entendimento, ao reconhecer juridicamente a possibilidade de multiparentalidade e assegurar a produção de seus efeitos legais. Apesar desses avanços, a multiparentalidade ainda enfrenta desafios práticos, especialmente quanto à definição de limites jurídicos e à resolução de conflitos entre múltiplos genitores.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 coexistência de diferentes vínculos parentais pode gerar situações complexas relacionadas à guarda, aos alimentos e à convivência familiar, exigindo atuação cautelosa do Poder Judiciário. Nesse sentido, torna-se essencial que o reconhecimento </w:t>
      </w:r>
      <w:r>
        <w:rPr>
          <w:rFonts w:ascii="Arial" w:hAnsi="Arial" w:cs="Times New Roman"/>
          <w:sz w:val="24"/>
          <w:szCs w:val="24"/>
        </w:rPr>
        <w:lastRenderedPageBreak/>
        <w:t>da multiparentalidade se dê com base em critérios sólidos, evitando insegurança jurídica e garantindo a efetiva proteção dos interesses da criança e do adolescente.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Destarte, conclui-se que a multiparentalidade representa um avanço significativo no Direito de Família brasileiro, ao reconhecer a afetividade como elemento estruturante das relações familiares. Contudo, seu reconhecimento não pode ocorrer de maneira inextinta, devendo respeitar determinados limites jurídicos. A multiparentalidade deve estar condicionada à comprovação de vínculo afetivo verdadeiro, à observância do princípio do melhor interesse da criança e do adolescente, à vedação de finalidades exclusivamente patrimoniais e à preservação da segurança jurídica das relações familiares.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Portanto, a atuação do Poder Judiciário é fundamental para analisar cada caso concreto, garantindo que o instituto seja aplicado de forma responsável, equilibrada e compatível com os princípios que regem o Direito de Família. Por fim, verifica-se que a multiparentalidade reflete a adaptação do Direito às transformações sociais contemporâneas, reafirmando a importância do afeto como elemento estruturante das relações familiares. Cabe ao ordenamento jurídico continuar evoluindo para assegurar a proteção efetiva dos vínculos afetivos e a promoção da dignidade das pessoas envolvidas.</w:t>
      </w:r>
    </w:p>
    <w:p w:rsidR="009D60B7" w:rsidRDefault="009D60B7">
      <w:pPr>
        <w:spacing w:line="360" w:lineRule="auto"/>
        <w:jc w:val="both"/>
        <w:rPr>
          <w:rFonts w:ascii="Arial" w:hAnsi="Arial" w:cs="Times New Roman"/>
          <w:b/>
          <w:sz w:val="24"/>
          <w:szCs w:val="24"/>
        </w:rPr>
      </w:pPr>
    </w:p>
    <w:p w:rsidR="009D60B7" w:rsidRPr="00176E51" w:rsidRDefault="00425C09">
      <w:pPr>
        <w:spacing w:line="360" w:lineRule="auto"/>
        <w:jc w:val="both"/>
        <w:rPr>
          <w:rFonts w:ascii="Arial" w:hAnsi="Arial" w:cs="Times New Roman"/>
          <w:sz w:val="24"/>
          <w:szCs w:val="24"/>
        </w:rPr>
      </w:pPr>
      <w:r w:rsidRPr="00176E51">
        <w:rPr>
          <w:rFonts w:ascii="Arial" w:hAnsi="Arial" w:cs="Times New Roman"/>
          <w:sz w:val="24"/>
          <w:szCs w:val="24"/>
        </w:rPr>
        <w:t xml:space="preserve">REFERÊNCIAS </w:t>
      </w:r>
    </w:p>
    <w:p w:rsidR="009D60B7" w:rsidRDefault="00425C09">
      <w:pPr>
        <w:rPr>
          <w:sz w:val="24"/>
          <w:szCs w:val="24"/>
        </w:rPr>
      </w:pPr>
      <w:r>
        <w:rPr>
          <w:rFonts w:ascii="Arial" w:hAnsi="Arial" w:cs="Times New Roman"/>
          <w:sz w:val="24"/>
          <w:szCs w:val="24"/>
        </w:rPr>
        <w:t xml:space="preserve">BARROSO, Kamila. </w:t>
      </w:r>
      <w:r>
        <w:rPr>
          <w:rStyle w:val="nfase"/>
          <w:rFonts w:ascii="Arial" w:hAnsi="Arial" w:cs="Times New Roman"/>
          <w:b/>
          <w:bCs/>
          <w:i w:val="0"/>
          <w:iCs w:val="0"/>
          <w:sz w:val="24"/>
          <w:szCs w:val="24"/>
        </w:rPr>
        <w:t>A multiparentalidade decorrente da filiação socioafetiva: análise dos critérios para seu reconhecimento no ordenamento jurídico brasileiro</w:t>
      </w:r>
      <w:r>
        <w:rPr>
          <w:rFonts w:ascii="Arial" w:hAnsi="Arial" w:cs="Times New Roman"/>
          <w:i/>
          <w:iCs/>
          <w:sz w:val="24"/>
          <w:szCs w:val="24"/>
        </w:rPr>
        <w:t>.</w:t>
      </w:r>
      <w:r>
        <w:rPr>
          <w:rFonts w:ascii="Arial" w:hAnsi="Arial" w:cs="Times New Roman"/>
          <w:sz w:val="24"/>
          <w:szCs w:val="24"/>
        </w:rPr>
        <w:t xml:space="preserve"> JusBrasil, 2018. Disponível em: </w:t>
      </w:r>
      <w:hyperlink r:id="rId33" w:tgtFrame="_new">
        <w:r>
          <w:rPr>
            <w:rStyle w:val="Hyperlink1"/>
            <w:rFonts w:ascii="Arial" w:hAnsi="Arial" w:cs="Times New Roman"/>
            <w:color w:val="auto"/>
            <w:sz w:val="24"/>
            <w:szCs w:val="24"/>
            <w:u w:val="none"/>
          </w:rPr>
          <w:t>https://www.jusbrasil.com.br/artigos/a-multiparentalidade-decorrente-da-filiacao-socioafetiva-analise-dos-criterios-para-seu-reconhecimento-no-ordenamento-juridico-brasileiro/534002375</w:t>
        </w:r>
      </w:hyperlink>
      <w:r>
        <w:rPr>
          <w:rFonts w:ascii="Arial" w:hAnsi="Arial" w:cs="Times New Roman"/>
          <w:sz w:val="24"/>
          <w:szCs w:val="24"/>
        </w:rPr>
        <w:t>. Acesso em: 23 mar. 2026.</w:t>
      </w:r>
    </w:p>
    <w:p w:rsidR="009D60B7" w:rsidRDefault="009D60B7">
      <w:pPr>
        <w:jc w:val="both"/>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BEVILÁQUA, Clóvis. </w:t>
      </w:r>
      <w:r>
        <w:rPr>
          <w:rFonts w:ascii="Arial" w:hAnsi="Arial" w:cs="Times New Roman"/>
          <w:b/>
          <w:bCs/>
          <w:sz w:val="24"/>
          <w:szCs w:val="24"/>
        </w:rPr>
        <w:t>Direito de Família</w:t>
      </w:r>
      <w:r>
        <w:rPr>
          <w:rFonts w:ascii="Arial" w:hAnsi="Arial" w:cs="Times New Roman"/>
          <w:sz w:val="24"/>
          <w:szCs w:val="24"/>
        </w:rPr>
        <w:t xml:space="preserve">. Recife: Editora Ramiro Costa, 2001. </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Conselho Nacional de Justiça</w:t>
      </w:r>
      <w:r>
        <w:rPr>
          <w:rFonts w:ascii="Arial" w:hAnsi="Arial" w:cs="Times New Roman"/>
          <w:sz w:val="24"/>
          <w:szCs w:val="24"/>
        </w:rPr>
        <w:t xml:space="preserve">. </w:t>
      </w:r>
      <w:r>
        <w:rPr>
          <w:rStyle w:val="nfase"/>
          <w:rFonts w:ascii="Arial" w:hAnsi="Arial" w:cs="Times New Roman"/>
          <w:i w:val="0"/>
          <w:iCs w:val="0"/>
          <w:sz w:val="24"/>
          <w:szCs w:val="24"/>
        </w:rPr>
        <w:t>Provimento nº 83, de 14 de agosto de 2019</w:t>
      </w:r>
      <w:r>
        <w:rPr>
          <w:rFonts w:ascii="Arial" w:hAnsi="Arial" w:cs="Times New Roman"/>
          <w:sz w:val="24"/>
          <w:szCs w:val="24"/>
        </w:rPr>
        <w:t xml:space="preserve">. Altera o Provimento nº 63/2017, que trata da paternidade socioafetiva. Disponível em: </w:t>
      </w:r>
      <w:hyperlink r:id="rId34" w:tgtFrame="_new">
        <w:r>
          <w:rPr>
            <w:rStyle w:val="Hyperlink1"/>
            <w:rFonts w:ascii="Arial" w:hAnsi="Arial" w:cs="Times New Roman"/>
            <w:color w:val="auto"/>
            <w:sz w:val="24"/>
            <w:szCs w:val="24"/>
            <w:u w:val="none"/>
          </w:rPr>
          <w:t>https://atos.cnj.jus.br/atos/detalhar/2975</w:t>
        </w:r>
      </w:hyperlink>
      <w:r>
        <w:rPr>
          <w:rFonts w:ascii="Arial" w:hAnsi="Arial" w:cs="Times New Roman"/>
          <w:sz w:val="24"/>
          <w:szCs w:val="24"/>
        </w:rPr>
        <w:t xml:space="preserve">. Acesso em: </w:t>
      </w:r>
      <w:r>
        <w:rPr>
          <w:rStyle w:val="nfase"/>
          <w:rFonts w:ascii="Arial" w:hAnsi="Arial" w:cs="Times New Roman"/>
          <w:i w:val="0"/>
          <w:iCs w:val="0"/>
          <w:sz w:val="24"/>
          <w:szCs w:val="24"/>
        </w:rPr>
        <w:t>23 mar</w:t>
      </w:r>
      <w:r>
        <w:rPr>
          <w:rFonts w:ascii="Arial" w:hAnsi="Arial" w:cs="Times New Roman"/>
          <w:sz w:val="24"/>
          <w:szCs w:val="24"/>
        </w:rPr>
        <w:t xml:space="preserve">. 2026. </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hyperlink r:id="rId35">
        <w:r>
          <w:rPr>
            <w:rStyle w:val="Hyperlink1"/>
            <w:rFonts w:ascii="Arial" w:hAnsi="Arial" w:cs="Times New Roman"/>
            <w:b/>
            <w:bCs/>
            <w:color w:val="auto"/>
            <w:sz w:val="24"/>
            <w:szCs w:val="24"/>
            <w:u w:val="none"/>
          </w:rPr>
          <w:t>Constituição da república federativa do brasil de 1988</w:t>
        </w:r>
      </w:hyperlink>
      <w:r>
        <w:rPr>
          <w:rFonts w:ascii="Arial" w:hAnsi="Arial" w:cs="Times New Roman"/>
          <w:sz w:val="24"/>
          <w:szCs w:val="24"/>
        </w:rPr>
        <w:t>.</w:t>
      </w:r>
      <w:r>
        <w:rPr>
          <w:rFonts w:ascii="Arial" w:hAnsi="Arial" w:cs="Times New Roman"/>
          <w:sz w:val="24"/>
          <w:szCs w:val="24"/>
          <w:shd w:val="clear" w:color="auto" w:fill="FFFFFF"/>
        </w:rPr>
        <w:t xml:space="preserve"> </w:t>
      </w:r>
      <w:hyperlink r:id="rId36">
        <w:r>
          <w:rPr>
            <w:rStyle w:val="Hyperlink1"/>
            <w:rFonts w:ascii="Arial" w:hAnsi="Arial" w:cs="Times New Roman"/>
            <w:color w:val="auto"/>
            <w:sz w:val="24"/>
            <w:szCs w:val="24"/>
            <w:u w:val="none"/>
          </w:rPr>
          <w:t>Emendas Constitucionais de Revisão</w:t>
        </w:r>
      </w:hyperlink>
      <w:r>
        <w:rPr>
          <w:rFonts w:ascii="Arial" w:hAnsi="Arial" w:cs="Times New Roman"/>
          <w:sz w:val="24"/>
          <w:szCs w:val="24"/>
        </w:rPr>
        <w:t>. Brasília: Planalto, 1988. Disponível em:   https://www.planalto.gov.br/ccivil_03/constituicao/constituicao.htm. Acesso em: 02 fev. 2026.</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BRASIL. </w:t>
      </w:r>
      <w:r>
        <w:rPr>
          <w:rFonts w:ascii="Arial" w:hAnsi="Arial" w:cs="Times New Roman"/>
          <w:b/>
          <w:bCs/>
          <w:sz w:val="24"/>
          <w:szCs w:val="24"/>
        </w:rPr>
        <w:t>Declaração Universal dos Direitos Humanos de 1948</w:t>
      </w:r>
      <w:r>
        <w:rPr>
          <w:rFonts w:ascii="Arial" w:hAnsi="Arial" w:cs="Times New Roman"/>
          <w:sz w:val="24"/>
          <w:szCs w:val="24"/>
        </w:rPr>
        <w:t xml:space="preserve">. Brasília: Ministério dos Direitos Humanos e da Cidadania, 1948. Disponível em: </w:t>
      </w:r>
      <w:r>
        <w:rPr>
          <w:rFonts w:ascii="Arial" w:hAnsi="Arial" w:cs="Times New Roman"/>
          <w:sz w:val="24"/>
          <w:szCs w:val="24"/>
        </w:rPr>
        <w:lastRenderedPageBreak/>
        <w:t>https://www.unicef.org/brazil/declaracao-universal-dos-direitos-humanos. Acesso em: 20 abr. 2026.</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r>
        <w:rPr>
          <w:rFonts w:ascii="Arial" w:hAnsi="Arial" w:cs="Times New Roman"/>
          <w:b/>
          <w:bCs/>
          <w:sz w:val="24"/>
          <w:szCs w:val="24"/>
        </w:rPr>
        <w:t>Lei nº 10.406, de 10 de janeiro de 2002</w:t>
      </w:r>
      <w:r>
        <w:rPr>
          <w:rFonts w:ascii="Arial" w:hAnsi="Arial" w:cs="Times New Roman"/>
          <w:sz w:val="24"/>
          <w:szCs w:val="24"/>
        </w:rPr>
        <w:t>.</w:t>
      </w:r>
      <w:r>
        <w:rPr>
          <w:rFonts w:ascii="Arial" w:hAnsi="Arial" w:cs="Times New Roman"/>
          <w:sz w:val="24"/>
          <w:szCs w:val="24"/>
          <w:shd w:val="clear" w:color="auto" w:fill="FFFFFF"/>
        </w:rPr>
        <w:t xml:space="preserve"> </w:t>
      </w:r>
      <w:r>
        <w:rPr>
          <w:rFonts w:ascii="Arial" w:hAnsi="Arial" w:cs="Times New Roman"/>
          <w:sz w:val="24"/>
          <w:szCs w:val="24"/>
        </w:rPr>
        <w:t xml:space="preserve">Institui o Código Civil. Brasília: Planalto, 2002. Disponível em:   </w:t>
      </w:r>
      <w:hyperlink r:id="rId37">
        <w:r>
          <w:rPr>
            <w:rStyle w:val="Hyperlink1"/>
            <w:rFonts w:ascii="Arial" w:hAnsi="Arial" w:cs="Times New Roman"/>
            <w:color w:val="auto"/>
            <w:sz w:val="24"/>
            <w:szCs w:val="24"/>
            <w:u w:val="none"/>
          </w:rPr>
          <w:t>https://www.planalto.gov.br/ccivil_03/_ato2007-2010/2010/lei/l12318.htm</w:t>
        </w:r>
      </w:hyperlink>
      <w:r>
        <w:rPr>
          <w:rFonts w:ascii="Arial" w:hAnsi="Arial" w:cs="Times New Roman"/>
          <w:sz w:val="24"/>
          <w:szCs w:val="24"/>
        </w:rPr>
        <w:t>. Acesso em: 18 fev. 2026.</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sz w:val="24"/>
          <w:szCs w:val="24"/>
        </w:rPr>
      </w:pPr>
      <w:r>
        <w:rPr>
          <w:rStyle w:val="Forte1"/>
          <w:rFonts w:ascii="Arial" w:hAnsi="Arial" w:cs="Times New Roman"/>
          <w:b w:val="0"/>
          <w:bCs w:val="0"/>
          <w:sz w:val="24"/>
          <w:szCs w:val="24"/>
        </w:rPr>
        <w:t>BRASIL.</w:t>
      </w:r>
      <w:r>
        <w:rPr>
          <w:rFonts w:ascii="Arial" w:hAnsi="Arial" w:cs="Times New Roman"/>
          <w:sz w:val="24"/>
          <w:szCs w:val="24"/>
        </w:rPr>
        <w:t xml:space="preserve"> </w:t>
      </w:r>
      <w:r>
        <w:rPr>
          <w:rStyle w:val="nfase"/>
          <w:rFonts w:ascii="Arial" w:hAnsi="Arial" w:cs="Times New Roman"/>
          <w:b/>
          <w:bCs/>
          <w:i w:val="0"/>
          <w:iCs w:val="0"/>
          <w:sz w:val="24"/>
          <w:szCs w:val="24"/>
        </w:rPr>
        <w:t>Lei nº 8.069, de 13 de julho de 1990</w:t>
      </w:r>
      <w:r>
        <w:rPr>
          <w:rFonts w:ascii="Arial" w:hAnsi="Arial" w:cs="Times New Roman"/>
          <w:b/>
          <w:bCs/>
          <w:i/>
          <w:iCs/>
          <w:sz w:val="24"/>
          <w:szCs w:val="24"/>
        </w:rPr>
        <w:t>.</w:t>
      </w:r>
      <w:r>
        <w:rPr>
          <w:rFonts w:ascii="Arial" w:hAnsi="Arial" w:cs="Times New Roman"/>
          <w:sz w:val="24"/>
          <w:szCs w:val="24"/>
        </w:rPr>
        <w:t xml:space="preserve"> Dispõe sobre o Estatuto da Criança e do Adolescente. Brasília: Planalto, 1990. Disponível em: </w:t>
      </w:r>
      <w:hyperlink r:id="rId38" w:tgtFrame="_new">
        <w:r>
          <w:rPr>
            <w:rStyle w:val="Hyperlink1"/>
            <w:rFonts w:ascii="Arial" w:hAnsi="Arial" w:cs="Times New Roman"/>
            <w:color w:val="auto"/>
            <w:sz w:val="24"/>
            <w:szCs w:val="24"/>
            <w:u w:val="none"/>
          </w:rPr>
          <w:t>https://www.planalto.gov.br/ccivil_03/leis/l8069.htm</w:t>
        </w:r>
      </w:hyperlink>
      <w:r>
        <w:rPr>
          <w:rFonts w:ascii="Arial" w:hAnsi="Arial" w:cs="Times New Roman"/>
          <w:sz w:val="24"/>
          <w:szCs w:val="24"/>
        </w:rPr>
        <w:t>. Acesso em: 29 mar.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Supremo Tribunal Federal</w:t>
      </w:r>
      <w:r>
        <w:rPr>
          <w:rFonts w:ascii="Arial" w:hAnsi="Arial" w:cs="Times New Roman"/>
          <w:sz w:val="24"/>
          <w:szCs w:val="24"/>
        </w:rPr>
        <w:t xml:space="preserve">. Recurso Extraordinário nº 898.060. Relator: Min. Luiz Fux. Julgado em 2016. Disponível em: </w:t>
      </w:r>
      <w:hyperlink r:id="rId39">
        <w:r>
          <w:rPr>
            <w:rStyle w:val="Hyperlink1"/>
            <w:rFonts w:ascii="Arial" w:hAnsi="Arial" w:cs="Times New Roman"/>
            <w:color w:val="auto"/>
            <w:sz w:val="24"/>
            <w:szCs w:val="24"/>
            <w:u w:val="none"/>
          </w:rPr>
          <w:t>https://jurisprudencia.stf.jus.br/pages/search?base=acordaos&amp;sinonimo=true&amp;plural=true&amp;page=1&amp;pageSize=10&amp;sort=_score&amp;sortBy=desc&amp;isAdvanced=true&amp;origem=AP&amp;classeNumeroIncidente=RE%20898060</w:t>
        </w:r>
      </w:hyperlink>
      <w:r>
        <w:rPr>
          <w:rFonts w:ascii="Arial" w:hAnsi="Arial" w:cs="Times New Roman"/>
          <w:sz w:val="24"/>
          <w:szCs w:val="24"/>
        </w:rPr>
        <w:t xml:space="preserve">.  Acesso em: 23 mar. 2026.  </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Tribunal de Justiça</w:t>
      </w:r>
      <w:r>
        <w:rPr>
          <w:rFonts w:ascii="Arial" w:hAnsi="Arial" w:cs="Times New Roman"/>
          <w:sz w:val="24"/>
          <w:szCs w:val="24"/>
        </w:rPr>
        <w:t xml:space="preserve">. Apelação Cível nº 70.018.070.102. Relator: Ricardo Raupp Ruschel. Rio Grande do Sul: Porto Alegre, 23 de maio de 2007. Disponível em: </w:t>
      </w:r>
      <w:hyperlink r:id="rId40">
        <w:r>
          <w:rPr>
            <w:rStyle w:val="Hyperlink1"/>
            <w:rFonts w:ascii="Arial" w:hAnsi="Arial" w:cs="Times New Roman"/>
            <w:color w:val="auto"/>
            <w:sz w:val="24"/>
            <w:szCs w:val="24"/>
            <w:u w:val="none"/>
          </w:rPr>
          <w:t>https://www.jusbrasil.com.br/processos/nome/30785370/ricardo-raupp-ruschel</w:t>
        </w:r>
      </w:hyperlink>
      <w:r>
        <w:rPr>
          <w:rFonts w:ascii="Arial" w:hAnsi="Arial" w:cs="Times New Roman"/>
          <w:sz w:val="24"/>
          <w:szCs w:val="24"/>
        </w:rPr>
        <w:t>. . Acesso em: 20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DANTAS, San Tiago. </w:t>
      </w:r>
      <w:r>
        <w:rPr>
          <w:rStyle w:val="nfase"/>
          <w:rFonts w:ascii="Arial" w:hAnsi="Arial" w:cs="Times New Roman"/>
          <w:b/>
          <w:bCs/>
          <w:i w:val="0"/>
          <w:iCs w:val="0"/>
          <w:sz w:val="24"/>
          <w:szCs w:val="24"/>
        </w:rPr>
        <w:t>Direitos de família e das sucessões</w:t>
      </w:r>
      <w:r>
        <w:rPr>
          <w:rFonts w:ascii="Arial" w:hAnsi="Arial" w:cs="Times New Roman"/>
          <w:sz w:val="24"/>
          <w:szCs w:val="24"/>
        </w:rPr>
        <w:t xml:space="preserve">. Rio de Janeiro: Forense, 1991.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DIAS, Maria Berenice. </w:t>
      </w:r>
      <w:r>
        <w:rPr>
          <w:rFonts w:ascii="Arial" w:hAnsi="Arial" w:cs="Times New Roman"/>
          <w:b/>
          <w:bCs/>
          <w:sz w:val="24"/>
          <w:szCs w:val="24"/>
        </w:rPr>
        <w:t>Direito das Famílias</w:t>
      </w:r>
      <w:r>
        <w:rPr>
          <w:rFonts w:ascii="Arial" w:hAnsi="Arial" w:cs="Times New Roman"/>
          <w:sz w:val="24"/>
          <w:szCs w:val="24"/>
        </w:rPr>
        <w:t>. São Paulo: Atlas, 2009.</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DIAS, Maria Berenice. </w:t>
      </w:r>
      <w:r>
        <w:rPr>
          <w:rStyle w:val="nfase"/>
          <w:rFonts w:ascii="Arial" w:hAnsi="Arial" w:cs="Times New Roman"/>
          <w:b/>
          <w:bCs/>
          <w:i w:val="0"/>
          <w:iCs w:val="0"/>
          <w:sz w:val="24"/>
          <w:szCs w:val="24"/>
        </w:rPr>
        <w:t>Manual de direito das famílias</w:t>
      </w:r>
      <w:r>
        <w:rPr>
          <w:rFonts w:ascii="Arial" w:hAnsi="Arial" w:cs="Times New Roman"/>
          <w:i/>
          <w:iCs/>
          <w:sz w:val="24"/>
          <w:szCs w:val="24"/>
        </w:rPr>
        <w:t>.</w:t>
      </w:r>
      <w:r>
        <w:rPr>
          <w:rFonts w:ascii="Arial" w:hAnsi="Arial" w:cs="Times New Roman"/>
          <w:sz w:val="24"/>
          <w:szCs w:val="24"/>
        </w:rPr>
        <w:t xml:space="preserve"> São Paulo: Editora dos Tribunais, 2016.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FARIAS, Cristiano Chaves de; ROSENVALD, Nelson. </w:t>
      </w:r>
      <w:r>
        <w:rPr>
          <w:rFonts w:ascii="Arial" w:hAnsi="Arial" w:cs="Times New Roman"/>
          <w:b/>
          <w:bCs/>
          <w:sz w:val="24"/>
          <w:szCs w:val="24"/>
        </w:rPr>
        <w:t>Curso de Direito Civil: Famílias</w:t>
      </w:r>
      <w:r>
        <w:rPr>
          <w:rFonts w:ascii="Arial" w:hAnsi="Arial" w:cs="Times New Roman"/>
          <w:sz w:val="24"/>
          <w:szCs w:val="24"/>
        </w:rPr>
        <w:t xml:space="preserve">. Salvador: Editora JusPodivm, 2023.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FILHO, Washington Luiz G. </w:t>
      </w:r>
      <w:r>
        <w:rPr>
          <w:rFonts w:ascii="Arial" w:hAnsi="Arial" w:cs="Times New Roman"/>
          <w:b/>
          <w:bCs/>
          <w:sz w:val="24"/>
          <w:szCs w:val="24"/>
        </w:rPr>
        <w:t>Evolução histórica envolvendo o direito de família</w:t>
      </w:r>
      <w:r>
        <w:rPr>
          <w:rFonts w:ascii="Arial" w:hAnsi="Arial" w:cs="Times New Roman"/>
          <w:sz w:val="24"/>
          <w:szCs w:val="24"/>
        </w:rPr>
        <w:t>.  Rio de Janeiro: Forense, 2013.</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shd w:val="clear" w:color="auto" w:fill="FFFFFF"/>
        </w:rPr>
        <w:t>FUJITA, Jorge. </w:t>
      </w:r>
      <w:r>
        <w:rPr>
          <w:rStyle w:val="Forte1"/>
          <w:rFonts w:ascii="Arial" w:hAnsi="Arial" w:cs="Times New Roman"/>
          <w:sz w:val="24"/>
          <w:szCs w:val="24"/>
          <w:shd w:val="clear" w:color="auto" w:fill="FFFFFF"/>
        </w:rPr>
        <w:t>Filiação</w:t>
      </w:r>
      <w:r>
        <w:rPr>
          <w:rStyle w:val="Forte1"/>
          <w:rFonts w:ascii="Arial" w:eastAsiaTheme="majorEastAsia" w:hAnsi="Arial" w:cs="Times New Roman"/>
          <w:sz w:val="24"/>
          <w:szCs w:val="24"/>
          <w:shd w:val="clear" w:color="auto" w:fill="FFFFFF"/>
        </w:rPr>
        <w:t xml:space="preserve">. </w:t>
      </w:r>
      <w:r>
        <w:rPr>
          <w:rFonts w:ascii="Arial" w:hAnsi="Arial" w:cs="Times New Roman"/>
          <w:sz w:val="24"/>
          <w:szCs w:val="24"/>
          <w:shd w:val="clear" w:color="auto" w:fill="FFFFFF"/>
        </w:rPr>
        <w:t>Rio de Janeiro: Atlas, 2011.</w:t>
      </w:r>
    </w:p>
    <w:p w:rsidR="009D60B7" w:rsidRDefault="009D60B7">
      <w:pPr>
        <w:rPr>
          <w:rFonts w:ascii="Arial" w:hAnsi="Arial" w:cs="Times New Roman"/>
          <w:sz w:val="24"/>
          <w:szCs w:val="24"/>
          <w:shd w:val="clear" w:color="auto" w:fill="FFFFFF"/>
        </w:rPr>
      </w:pPr>
    </w:p>
    <w:p w:rsidR="009D60B7" w:rsidRDefault="00425C09">
      <w:pPr>
        <w:rPr>
          <w:sz w:val="24"/>
          <w:szCs w:val="24"/>
        </w:rPr>
      </w:pPr>
      <w:r>
        <w:rPr>
          <w:rFonts w:ascii="Arial" w:hAnsi="Arial" w:cs="Times New Roman"/>
          <w:sz w:val="24"/>
          <w:szCs w:val="24"/>
          <w:shd w:val="clear" w:color="auto" w:fill="FFFFFF"/>
        </w:rPr>
        <w:t>GONÇALVES, Carlos R. </w:t>
      </w:r>
      <w:r>
        <w:rPr>
          <w:rStyle w:val="Forte1"/>
          <w:rFonts w:ascii="Arial" w:hAnsi="Arial" w:cs="Times New Roman"/>
          <w:sz w:val="24"/>
          <w:szCs w:val="24"/>
          <w:shd w:val="clear" w:color="auto" w:fill="FFFFFF"/>
        </w:rPr>
        <w:t>Direito Civil Brasileiro: Direito de Família</w:t>
      </w:r>
      <w:r>
        <w:rPr>
          <w:rFonts w:ascii="Arial" w:hAnsi="Arial" w:cs="Times New Roman"/>
          <w:sz w:val="24"/>
          <w:szCs w:val="24"/>
          <w:shd w:val="clear" w:color="auto" w:fill="FFFFFF"/>
        </w:rPr>
        <w:t>. Rio de Janeiro: Editora SRV, 2025. </w:t>
      </w:r>
    </w:p>
    <w:p w:rsidR="009D60B7" w:rsidRDefault="009D60B7">
      <w:pPr>
        <w:rPr>
          <w:rFonts w:ascii="Arial" w:hAnsi="Arial" w:cs="Times New Roman"/>
          <w:sz w:val="24"/>
          <w:szCs w:val="24"/>
          <w:shd w:val="clear" w:color="auto" w:fill="FFFFFF"/>
        </w:rPr>
      </w:pPr>
    </w:p>
    <w:p w:rsidR="009D60B7" w:rsidRDefault="00425C09">
      <w:pPr>
        <w:rPr>
          <w:rFonts w:ascii="Arial" w:hAnsi="Arial"/>
          <w:sz w:val="24"/>
          <w:szCs w:val="24"/>
        </w:rPr>
      </w:pPr>
      <w:r>
        <w:rPr>
          <w:rFonts w:ascii="Arial" w:hAnsi="Arial" w:cs="Times New Roman"/>
          <w:sz w:val="24"/>
          <w:szCs w:val="24"/>
        </w:rPr>
        <w:t xml:space="preserve">GONÇALVES, Carlos Roberto. </w:t>
      </w:r>
      <w:r>
        <w:rPr>
          <w:rFonts w:ascii="Arial" w:hAnsi="Arial" w:cs="Times New Roman"/>
          <w:b/>
          <w:bCs/>
          <w:sz w:val="24"/>
          <w:szCs w:val="24"/>
        </w:rPr>
        <w:t>Direito civil brasileiro</w:t>
      </w:r>
      <w:r>
        <w:rPr>
          <w:rFonts w:ascii="Arial" w:hAnsi="Arial" w:cs="Times New Roman"/>
          <w:sz w:val="24"/>
          <w:szCs w:val="24"/>
        </w:rPr>
        <w:t>. São Paulo: Saraiva, 2010,</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shd w:val="clear" w:color="auto" w:fill="FFFFFF"/>
        </w:rPr>
        <w:t>LÔBO, Paulo. </w:t>
      </w:r>
      <w:r>
        <w:rPr>
          <w:rStyle w:val="Forte1"/>
          <w:rFonts w:ascii="Arial" w:hAnsi="Arial" w:cs="Times New Roman"/>
          <w:sz w:val="24"/>
          <w:szCs w:val="24"/>
          <w:shd w:val="clear" w:color="auto" w:fill="FFFFFF"/>
        </w:rPr>
        <w:t xml:space="preserve">Direito Civil: Famílias. </w:t>
      </w:r>
      <w:r>
        <w:rPr>
          <w:rFonts w:ascii="Arial" w:hAnsi="Arial" w:cs="Times New Roman"/>
          <w:sz w:val="24"/>
          <w:szCs w:val="24"/>
          <w:shd w:val="clear" w:color="auto" w:fill="FFFFFF"/>
        </w:rPr>
        <w:t>Rio de Janeiro: Editora: SRV, 2024.</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LUIZ, Valdemar. </w:t>
      </w:r>
      <w:r>
        <w:rPr>
          <w:rFonts w:ascii="Arial" w:hAnsi="Arial" w:cs="Times New Roman"/>
          <w:b/>
          <w:bCs/>
          <w:sz w:val="24"/>
          <w:szCs w:val="24"/>
        </w:rPr>
        <w:t>Manual de Direito de Família</w:t>
      </w:r>
      <w:r>
        <w:rPr>
          <w:rFonts w:ascii="Arial" w:hAnsi="Arial" w:cs="Times New Roman"/>
          <w:sz w:val="24"/>
          <w:szCs w:val="24"/>
        </w:rPr>
        <w:t>. Barueri: Editora Manole, 2009.</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NUNES, Rizzatto. </w:t>
      </w:r>
      <w:r>
        <w:rPr>
          <w:rStyle w:val="nfase"/>
          <w:rFonts w:ascii="Arial" w:hAnsi="Arial" w:cs="Times New Roman"/>
          <w:b/>
          <w:bCs/>
          <w:i w:val="0"/>
          <w:iCs w:val="0"/>
          <w:sz w:val="24"/>
          <w:szCs w:val="24"/>
        </w:rPr>
        <w:t>O princípio constitucional da dignidade da pessoa humana</w:t>
      </w:r>
      <w:r>
        <w:rPr>
          <w:rFonts w:ascii="Arial" w:hAnsi="Arial" w:cs="Times New Roman"/>
          <w:i/>
          <w:iCs/>
          <w:sz w:val="24"/>
          <w:szCs w:val="24"/>
        </w:rPr>
        <w:t>.</w:t>
      </w:r>
      <w:r>
        <w:rPr>
          <w:rFonts w:ascii="Arial" w:hAnsi="Arial" w:cs="Times New Roman"/>
          <w:sz w:val="24"/>
          <w:szCs w:val="24"/>
        </w:rPr>
        <w:t xml:space="preserve"> São Paulo: Editora Jus Podivm, 2022. </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shd w:val="clear" w:color="auto" w:fill="FFFFFF"/>
        </w:rPr>
        <w:lastRenderedPageBreak/>
        <w:t>VIEIRA, Camacho. </w:t>
      </w:r>
      <w:r>
        <w:rPr>
          <w:rStyle w:val="Forte1"/>
          <w:rFonts w:ascii="Arial" w:hAnsi="Arial" w:cs="Times New Roman"/>
          <w:sz w:val="24"/>
          <w:szCs w:val="24"/>
          <w:shd w:val="clear" w:color="auto" w:fill="FFFFFF"/>
        </w:rPr>
        <w:t>Multiparentalidade e efeitos sucessórios</w:t>
      </w:r>
      <w:r>
        <w:rPr>
          <w:rFonts w:ascii="Arial" w:hAnsi="Arial" w:cs="Times New Roman"/>
          <w:sz w:val="24"/>
          <w:szCs w:val="24"/>
          <w:shd w:val="clear" w:color="auto" w:fill="FFFFFF"/>
        </w:rPr>
        <w:t>. São Paulo: Editora Almedina Brasil, 2024. </w:t>
      </w:r>
    </w:p>
    <w:p w:rsidR="009D60B7" w:rsidRDefault="009D60B7">
      <w:pPr>
        <w:ind w:left="142" w:right="142" w:hanging="10"/>
        <w:rPr>
          <w:rFonts w:ascii="Arial" w:hAnsi="Arial" w:cs="Times New Roman"/>
          <w:sz w:val="24"/>
          <w:szCs w:val="24"/>
        </w:rPr>
      </w:pPr>
    </w:p>
    <w:p w:rsidR="00176E51" w:rsidRDefault="00176E51">
      <w:pPr>
        <w:ind w:left="142" w:right="142" w:hanging="10"/>
        <w:rPr>
          <w:rFonts w:ascii="Arial" w:hAnsi="Arial" w:cs="Times New Roman"/>
          <w:sz w:val="24"/>
          <w:szCs w:val="24"/>
        </w:rPr>
      </w:pPr>
    </w:p>
    <w:p w:rsidR="00176E51" w:rsidRDefault="00176E51">
      <w:pPr>
        <w:ind w:left="142" w:right="142" w:hanging="10"/>
        <w:rPr>
          <w:rFonts w:ascii="Arial" w:hAnsi="Arial" w:cs="Times New Roman"/>
          <w:sz w:val="24"/>
          <w:szCs w:val="24"/>
        </w:rPr>
      </w:pPr>
    </w:p>
    <w:p w:rsidR="00176E51" w:rsidRDefault="00176E51">
      <w:pPr>
        <w:ind w:left="142" w:right="142" w:hanging="10"/>
        <w:rPr>
          <w:rFonts w:ascii="Arial" w:hAnsi="Arial" w:cs="Times New Roman"/>
          <w:sz w:val="24"/>
          <w:szCs w:val="24"/>
        </w:rPr>
      </w:pPr>
    </w:p>
    <w:p w:rsidR="009D60B7" w:rsidRDefault="009D60B7">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355F7E" w:rsidRDefault="00355F7E">
      <w:pPr>
        <w:ind w:left="142" w:right="142" w:hanging="10"/>
        <w:rPr>
          <w:rFonts w:ascii="Arial" w:hAnsi="Arial" w:cs="Times New Roman"/>
          <w:sz w:val="20"/>
          <w:szCs w:val="20"/>
        </w:rPr>
      </w:pPr>
    </w:p>
    <w:p w:rsidR="009D60B7" w:rsidRDefault="009D60B7">
      <w:pPr>
        <w:ind w:right="142"/>
        <w:rPr>
          <w:rFonts w:ascii="Arial" w:hAnsi="Arial" w:cs="Times New Roman"/>
          <w:sz w:val="20"/>
          <w:szCs w:val="20"/>
        </w:rPr>
      </w:pPr>
    </w:p>
    <w:sdt>
      <w:sdtPr>
        <w:rPr>
          <w:sz w:val="24"/>
          <w:szCs w:val="24"/>
        </w:rPr>
        <w:tag w:val="goog_rdk_0"/>
        <w:id w:val="147480871"/>
      </w:sdtPr>
      <w:sdtContent>
        <w:p w:rsidR="009D60B7" w:rsidRPr="00176E51" w:rsidRDefault="00425C09" w:rsidP="00176E51">
          <w:pPr>
            <w:pStyle w:val="Ttulo"/>
            <w:ind w:left="0" w:right="-28"/>
            <w:rPr>
              <w:rFonts w:ascii="Arial" w:hAnsi="Arial"/>
              <w:smallCaps/>
              <w:sz w:val="28"/>
              <w:szCs w:val="28"/>
            </w:rPr>
          </w:pPr>
          <w:r w:rsidRPr="00176E51">
            <w:rPr>
              <w:rFonts w:ascii="Arial" w:hAnsi="Arial"/>
              <w:smallCaps/>
              <w:sz w:val="28"/>
              <w:szCs w:val="28"/>
            </w:rPr>
            <w:t xml:space="preserve">A PROTEÇÃO DOS DIREITOS DAS PESSOAS COM TRANSTORNO DO ESPECTRO AUTISTA DIANTE DAS BARREIRAS IMPOSTAS </w:t>
          </w:r>
        </w:p>
        <w:p w:rsidR="009D60B7" w:rsidRDefault="00425C09" w:rsidP="00176E51">
          <w:pPr>
            <w:pStyle w:val="Ttulo"/>
            <w:ind w:left="0" w:right="-28"/>
            <w:rPr>
              <w:rFonts w:ascii="Arial" w:hAnsi="Arial"/>
              <w:smallCaps/>
              <w:sz w:val="24"/>
              <w:szCs w:val="24"/>
            </w:rPr>
          </w:pPr>
          <w:r w:rsidRPr="00176E51">
            <w:rPr>
              <w:rFonts w:ascii="Arial" w:hAnsi="Arial"/>
              <w:smallCaps/>
              <w:sz w:val="28"/>
              <w:szCs w:val="28"/>
            </w:rPr>
            <w:t>AO USO DE CÃES DE APOIO EMOCIONAL</w:t>
          </w:r>
          <w:r>
            <w:rPr>
              <w:rFonts w:ascii="Arial" w:hAnsi="Arial"/>
              <w:smallCaps/>
              <w:sz w:val="24"/>
              <w:szCs w:val="24"/>
            </w:rPr>
            <w:t>.</w:t>
          </w:r>
        </w:p>
      </w:sdtContent>
    </w:sdt>
    <w:p w:rsidR="009D60B7" w:rsidRDefault="009D60B7">
      <w:pPr>
        <w:spacing w:line="360" w:lineRule="auto"/>
        <w:ind w:right="-8"/>
        <w:jc w:val="both"/>
        <w:rPr>
          <w:rFonts w:ascii="Arial" w:hAnsi="Arial"/>
          <w:smallCaps/>
          <w:sz w:val="24"/>
          <w:szCs w:val="24"/>
        </w:rPr>
      </w:pPr>
    </w:p>
    <w:p w:rsidR="009D60B7" w:rsidRDefault="00425C09">
      <w:pPr>
        <w:ind w:right="-8"/>
        <w:jc w:val="center"/>
        <w:rPr>
          <w:rFonts w:ascii="Arial" w:hAnsi="Arial"/>
          <w:sz w:val="24"/>
          <w:szCs w:val="24"/>
        </w:rPr>
      </w:pPr>
      <w:r>
        <w:rPr>
          <w:rFonts w:ascii="Arial" w:hAnsi="Arial"/>
          <w:sz w:val="24"/>
          <w:szCs w:val="24"/>
        </w:rPr>
        <w:t>Kaique Valeriano de Barros</w:t>
      </w:r>
      <w:r>
        <w:rPr>
          <w:rStyle w:val="Refdenotaderodap"/>
          <w:rFonts w:ascii="Arial" w:hAnsi="Arial"/>
          <w:sz w:val="24"/>
          <w:szCs w:val="24"/>
        </w:rPr>
        <w:footnoteReference w:id="7"/>
      </w:r>
    </w:p>
    <w:p w:rsidR="009D60B7" w:rsidRDefault="00425C09">
      <w:pPr>
        <w:ind w:right="-8"/>
        <w:jc w:val="center"/>
        <w:rPr>
          <w:rFonts w:ascii="Arial" w:hAnsi="Arial"/>
          <w:sz w:val="24"/>
          <w:szCs w:val="24"/>
        </w:rPr>
      </w:pPr>
      <w:r>
        <w:rPr>
          <w:rFonts w:ascii="Arial" w:hAnsi="Arial"/>
          <w:sz w:val="24"/>
          <w:szCs w:val="24"/>
        </w:rPr>
        <w:t>Márcio Silânio Borges Júnior</w:t>
      </w:r>
      <w:r>
        <w:rPr>
          <w:rStyle w:val="Refdenotaderodap"/>
          <w:rFonts w:ascii="Arial" w:hAnsi="Arial"/>
          <w:sz w:val="24"/>
          <w:szCs w:val="24"/>
        </w:rPr>
        <w:footnoteReference w:id="8"/>
      </w:r>
    </w:p>
    <w:p w:rsidR="009D60B7" w:rsidRDefault="00425C09">
      <w:pPr>
        <w:ind w:left="142" w:right="142" w:hanging="10"/>
        <w:jc w:val="center"/>
        <w:rPr>
          <w:rFonts w:ascii="Arial" w:hAnsi="Arial" w:cs="Times New Roman"/>
          <w:sz w:val="24"/>
          <w:szCs w:val="24"/>
        </w:rPr>
      </w:pPr>
      <w:r>
        <w:rPr>
          <w:rFonts w:ascii="Arial" w:hAnsi="Arial"/>
          <w:sz w:val="24"/>
          <w:szCs w:val="24"/>
        </w:rPr>
        <w:t>Simone de Fátima Silva</w:t>
      </w:r>
      <w:r>
        <w:rPr>
          <w:rStyle w:val="Refdenotaderodap"/>
          <w:rFonts w:ascii="Arial" w:hAnsi="Arial"/>
          <w:sz w:val="24"/>
          <w:szCs w:val="24"/>
        </w:rPr>
        <w:footnoteReference w:id="9"/>
      </w: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4"/>
          <w:szCs w:val="24"/>
        </w:rPr>
      </w:pPr>
    </w:p>
    <w:p w:rsidR="009D60B7" w:rsidRPr="00176E51" w:rsidRDefault="00425C09">
      <w:pPr>
        <w:tabs>
          <w:tab w:val="left" w:pos="2200"/>
        </w:tabs>
        <w:spacing w:line="360" w:lineRule="auto"/>
        <w:ind w:left="142" w:right="112"/>
        <w:jc w:val="center"/>
        <w:rPr>
          <w:rFonts w:ascii="Arial" w:hAnsi="Arial"/>
          <w:sz w:val="24"/>
          <w:szCs w:val="24"/>
        </w:rPr>
      </w:pPr>
      <w:r w:rsidRPr="00176E51">
        <w:rPr>
          <w:rFonts w:ascii="Arial" w:hAnsi="Arial"/>
          <w:bCs/>
          <w:color w:val="000000" w:themeColor="dark1"/>
          <w:sz w:val="24"/>
          <w:szCs w:val="24"/>
        </w:rPr>
        <w:t>RESUMO</w:t>
      </w:r>
    </w:p>
    <w:p w:rsidR="009D60B7" w:rsidRDefault="00425C09">
      <w:pPr>
        <w:ind w:left="142" w:right="112"/>
        <w:jc w:val="both"/>
        <w:rPr>
          <w:rFonts w:ascii="Arial" w:hAnsi="Arial"/>
          <w:sz w:val="20"/>
          <w:szCs w:val="20"/>
        </w:rPr>
      </w:pPr>
      <w:r>
        <w:rPr>
          <w:rFonts w:ascii="Arial" w:hAnsi="Arial"/>
          <w:color w:val="000000" w:themeColor="dark1"/>
          <w:sz w:val="20"/>
          <w:szCs w:val="20"/>
        </w:rPr>
        <w:t xml:space="preserve">O trabalho busca analisar quais os direitos das pessoas com transtorno do espectro autista diante das barreiras impostas ao uso de cães de apoio emocional. A problemática é entender qual é a efetividade do Direito quanto ao reconhecimento e a aceitação social, bem como os benefícios dos cães de assistência, como instrumentos de inclusão, inseridas no contexto das necessidades específicas de pessoas com transtorno do espectro autista (TEA) . O objetivo geral consiste em investigar a efetividade do Direito ao reconhecimento e a aceitação social, bem como destacar quais são os benefícios dos cães de assistência como instrumentos de inclusão, inseridas no contexto das necessidades de pessoas com transtorno do espectro autista (TEA). Tendo como objetivos específicos: a) estudar quais os benefícios da terapia assistida por cães de apoio emocional como peça fundamental na inclusão social dos portadores do transtorno do espectro autista em suas relações sociais, visando suas garantias de direitos por lei estabelecidos. </w:t>
      </w:r>
      <w:r>
        <w:rPr>
          <w:rFonts w:ascii="Arial" w:hAnsi="Arial"/>
          <w:sz w:val="20"/>
          <w:szCs w:val="20"/>
        </w:rPr>
        <w:t xml:space="preserve">b) identificar falhas nos direitos e reconhecimento das necessidades de pessoas com TEA  e c)analisar casos em que o direito de cães de apoio emocional não foram devidamente aceitos. </w:t>
      </w:r>
      <w:r>
        <w:rPr>
          <w:rFonts w:ascii="Arial" w:hAnsi="Arial"/>
          <w:color w:val="000000" w:themeColor="dark1"/>
          <w:sz w:val="20"/>
          <w:szCs w:val="20"/>
        </w:rPr>
        <w:t>A metodologia baseia-se na pesquisa qualitativa, em formato bibliográfico com amparo documental, sendo baseada em artigos científicos, políticas nacionais e legislações vigentes. Concluiu-se que inúmeros são os benefícios da terapia realizada com o apoio de cães, como manter o controle emocional em situações de tensão e evitar crises de ansiedade, sendo visível a necessidade de uma regulamentação para esse tipo de serviço terapêutico realizado pelo cão.</w:t>
      </w:r>
    </w:p>
    <w:p w:rsidR="009D60B7" w:rsidRDefault="009D60B7">
      <w:pPr>
        <w:ind w:left="142" w:right="112"/>
        <w:jc w:val="both"/>
        <w:rPr>
          <w:rFonts w:ascii="Arial" w:hAnsi="Arial"/>
          <w:b/>
          <w:bCs/>
          <w:color w:val="000000"/>
          <w:sz w:val="20"/>
          <w:szCs w:val="20"/>
        </w:rPr>
      </w:pPr>
    </w:p>
    <w:p w:rsidR="009D60B7" w:rsidRDefault="00425C09" w:rsidP="00176E51">
      <w:pPr>
        <w:ind w:left="142" w:right="113"/>
        <w:jc w:val="both"/>
        <w:rPr>
          <w:rFonts w:ascii="Arial" w:hAnsi="Arial"/>
          <w:sz w:val="20"/>
          <w:szCs w:val="20"/>
        </w:rPr>
      </w:pPr>
      <w:r>
        <w:rPr>
          <w:rFonts w:ascii="Arial" w:hAnsi="Arial"/>
          <w:b/>
          <w:bCs/>
          <w:color w:val="000000"/>
          <w:sz w:val="20"/>
          <w:szCs w:val="20"/>
        </w:rPr>
        <w:t xml:space="preserve">PALAVRAS-CHAVES: </w:t>
      </w:r>
      <w:r>
        <w:rPr>
          <w:rFonts w:ascii="Arial" w:hAnsi="Arial"/>
          <w:color w:val="000000"/>
          <w:sz w:val="20"/>
          <w:szCs w:val="20"/>
        </w:rPr>
        <w:t>Cães de apoio emocional. Direitos das pessoas autistas. Terapia assistida por cães.</w:t>
      </w:r>
    </w:p>
    <w:p w:rsidR="009D60B7" w:rsidRPr="00176E51" w:rsidRDefault="009D60B7">
      <w:pPr>
        <w:spacing w:line="360" w:lineRule="auto"/>
        <w:ind w:left="142" w:right="112"/>
        <w:jc w:val="both"/>
        <w:rPr>
          <w:rFonts w:ascii="Arial" w:hAnsi="Arial"/>
          <w:color w:val="000000"/>
          <w:sz w:val="20"/>
          <w:szCs w:val="20"/>
        </w:rPr>
      </w:pPr>
    </w:p>
    <w:p w:rsidR="009D60B7" w:rsidRPr="00176E51" w:rsidRDefault="00425C09">
      <w:pPr>
        <w:spacing w:line="360" w:lineRule="auto"/>
        <w:ind w:left="142" w:right="112"/>
        <w:jc w:val="both"/>
        <w:rPr>
          <w:rFonts w:ascii="Arial" w:hAnsi="Arial"/>
          <w:sz w:val="24"/>
          <w:szCs w:val="24"/>
        </w:rPr>
      </w:pPr>
      <w:r w:rsidRPr="00176E51">
        <w:rPr>
          <w:rFonts w:ascii="Arial" w:hAnsi="Arial"/>
          <w:bCs/>
          <w:color w:val="000000"/>
          <w:sz w:val="24"/>
          <w:szCs w:val="24"/>
        </w:rPr>
        <w:t>INTRODUÇÃO</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O presente estudo explora as dificuldades enfrentadas pelos portadores do transtorno do espectro autista, barreiras como direitos negados, ou omitidos seja pela sociedade ou por negligência do Estado, o que infelizmente tem se tornado mais comum nos dias atuais, as barreiras para interação social por consequência do transtorno do espectro autista e formas que auxiliam no tratamento e na realizações dessas atividades para que quem possuem o transtorno do espectro autista possa realizar tais atividades sem tornar ainda mais traumática e difícil. A importância do tema abordado é notória  para resguardar e defender direitos, além de apresentar formas menos nocivas nos tratamentos ou terapias, buscando analisar os pontos positivos e empecilhos como no tema principal sobre o auxílio de cães de apoio </w:t>
      </w:r>
      <w:r>
        <w:rPr>
          <w:rFonts w:ascii="Arial" w:hAnsi="Arial"/>
          <w:color w:val="000000" w:themeColor="dark1"/>
          <w:sz w:val="24"/>
          <w:szCs w:val="24"/>
        </w:rPr>
        <w:lastRenderedPageBreak/>
        <w:t>emocional, os benefícios para quem se utiliza do serviço e dificuldades para regulamentação do uso em lei que aborde, obrigações e direitos, como criação de uma identificação dos cães como também o direito de transitar em locais e transportes públicos.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O principal objetivo da pesquisa é investigar a (in)efetividade do Direito ao reconhecimento e a aceitação social, bem como destacar se há e quais são os benefícios dos cães de assistência como instrumentos de inclusão, inseridas no contexto das necessidades de pessoas com transtorno do espectro autista (TEA), em especial, com vistas a tutela prevista nas Leis 12.764 (2012) e 13.146 (2015).)</w:t>
      </w:r>
    </w:p>
    <w:p w:rsidR="009D60B7" w:rsidRDefault="00425C09">
      <w:pPr>
        <w:spacing w:line="360" w:lineRule="auto"/>
        <w:ind w:left="142" w:right="112" w:firstLine="709"/>
        <w:jc w:val="both"/>
        <w:rPr>
          <w:rFonts w:ascii="Arial" w:hAnsi="Arial"/>
          <w:color w:val="000000" w:themeColor="dark1"/>
          <w:sz w:val="24"/>
          <w:szCs w:val="24"/>
        </w:rPr>
      </w:pPr>
      <w:r>
        <w:rPr>
          <w:rFonts w:ascii="Arial" w:hAnsi="Arial"/>
          <w:color w:val="000000" w:themeColor="dark1"/>
          <w:sz w:val="24"/>
          <w:szCs w:val="24"/>
        </w:rPr>
        <w:t>Os objetivos específicos são: a) estudar quais os benefícios da terapia assistida por cães de apoio emocional como peça fundamental na inclusão social dos portadores do transtorno do espectro autista em suas relações sociais, visando suas garantias de direitos por lei estabelecidos, b)</w:t>
      </w:r>
      <w:r>
        <w:rPr>
          <w:rFonts w:ascii="Arial" w:hAnsi="Arial"/>
          <w:sz w:val="24"/>
          <w:szCs w:val="24"/>
        </w:rPr>
        <w:t xml:space="preserve"> identificar falhas nos direitos e reconhecimento das necessidades de pessoas com TEA </w:t>
      </w:r>
      <w:r>
        <w:rPr>
          <w:rFonts w:ascii="Arial" w:hAnsi="Arial"/>
          <w:color w:val="000000" w:themeColor="dark1"/>
          <w:sz w:val="24"/>
          <w:szCs w:val="24"/>
        </w:rPr>
        <w:t>e c)</w:t>
      </w:r>
      <w:r>
        <w:rPr>
          <w:rFonts w:ascii="Arial" w:hAnsi="Arial"/>
          <w:sz w:val="24"/>
          <w:szCs w:val="24"/>
        </w:rPr>
        <w:t xml:space="preserve"> analisar casos em que o direito de cães de apoio emocional não foram devidamente aceitos.</w:t>
      </w:r>
      <w:r>
        <w:rPr>
          <w:rFonts w:ascii="Arial" w:hAnsi="Arial"/>
          <w:color w:val="000000" w:themeColor="dark1"/>
          <w:sz w:val="24"/>
          <w:szCs w:val="24"/>
        </w:rPr>
        <w:t xml:space="preserve">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 Desse modo procurou evidenciar falhas nos serviços oferecidos pelo Sistema Único de Saúde e a falta de assistência que são essenciais para os portadores do transtorno do espectro autista (TEA), bem como benefícios oferecidos pela terapia realizada com os cães de apoio emocional, a falta de regulamentações específicas para este animal com função terapêutica, e analisar o caso em que o cão com essa função foi impedido de embarcar em um voo com a sua paciente que possui o TEA onde a presença do animal amenizava e prevenia crises relativas ao transtorno (Rio de Janeiro, 2025).</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A metodologia adotada baseia-se na pesquisa qualitativa, em formato bibliográfico com amparo documental, sendo baseada em artigos científicos, políticas nacionais e legislações vigentes.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O estudo estrutura-se em três tópicos. O primeiro analisa quais são os direitos da pessoa com transtorno do espectro autista com foco na inclusão, visando abordar dificuldades e formas de facilitar a inclusão como um todo. O segundo destaca o princípio da dignidade da pessoa portadora do transtorno do espectro autista. O terceiro avalia quais são os impactos da omissão do poder público frente a necessidade de judicialização em casos de regulamentação dos cães de apoio emocional.    </w:t>
      </w:r>
    </w:p>
    <w:p w:rsidR="009D60B7" w:rsidRDefault="009D60B7">
      <w:pPr>
        <w:spacing w:line="360" w:lineRule="auto"/>
        <w:ind w:left="142" w:right="112" w:firstLine="709"/>
        <w:jc w:val="both"/>
        <w:rPr>
          <w:rFonts w:ascii="Arial" w:hAnsi="Arial"/>
          <w:color w:val="000000"/>
          <w:sz w:val="24"/>
          <w:szCs w:val="24"/>
        </w:rPr>
      </w:pPr>
    </w:p>
    <w:p w:rsidR="009D60B7" w:rsidRPr="0036782D" w:rsidRDefault="00425C09">
      <w:pPr>
        <w:spacing w:line="360" w:lineRule="auto"/>
        <w:ind w:right="112"/>
        <w:jc w:val="both"/>
        <w:rPr>
          <w:rFonts w:ascii="Arial" w:hAnsi="Arial"/>
          <w:sz w:val="24"/>
          <w:szCs w:val="24"/>
        </w:rPr>
      </w:pPr>
      <w:r w:rsidRPr="0036782D">
        <w:rPr>
          <w:rFonts w:ascii="Arial" w:hAnsi="Arial"/>
          <w:bCs/>
          <w:color w:val="000000" w:themeColor="dark1"/>
          <w:sz w:val="24"/>
          <w:szCs w:val="24"/>
        </w:rPr>
        <w:lastRenderedPageBreak/>
        <w:t>1.O DIREITO À INCLUSÃO DA PESSOA COM TRANSTORNO DO ESPECTRO AUTISTA.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Inicialmente cumpre destacar quais as normativas acerca do reconhecimento dos portadores do transtorno do espectro autista como pessoas portadoras de deficiência. Nesse sentido, merece destaque a Lei 12.764 de 2012, que tutela os direitos das pessoas, que necessitam terapias e entre outros tratamentos.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A Lei 12.764 de 2012 visa garantir os mesmos direitos das pessoas portadoras de deficiência para os portadores do transtorno do espectro autista, sendo pautada na garantia da dignidade humana. De acordo com Sauáia Filho (2024) os portadores do TEA tem por direito um tratamento contínuo e eficaz, para a inclusão tanto no ambiente social, e uma maior qualidade de vida, indo de acordo com a Constituição Federal de 1988 em seu artigo 1º inciso III que garante a dignidade da vida humana.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A Lei 12.764 de 2012 destaca quais são os direitos das pessoas portadoras do espectro autista, desde o começo da vida social. Corrobora o Estatuto da Criança e do Adolescente que toda criança e adolescente tem direito à proteção especial, considerando sua condição peculiar de desenvolvimento (Brasil, 1990).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Entre os direitos fundamentais garantidos pelo Estatuto da Criança e do Adolescente  (ECA, 1990) está o direito à convivência familiar e comunitária, à educação, à saúde, à profissionalização e ao lazer, além de mecanismos específicos de proteção contra violência, exploração e negligência.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O ECA (1990</w:t>
      </w:r>
      <w:r>
        <w:rPr>
          <w:rFonts w:ascii="Arial" w:hAnsi="Arial"/>
          <w:b/>
          <w:bCs/>
          <w:color w:val="000000" w:themeColor="dark1"/>
          <w:sz w:val="24"/>
          <w:szCs w:val="24"/>
        </w:rPr>
        <w:t>),</w:t>
      </w:r>
      <w:r>
        <w:rPr>
          <w:rFonts w:ascii="Arial" w:hAnsi="Arial"/>
          <w:color w:val="000000" w:themeColor="dark1"/>
          <w:sz w:val="24"/>
          <w:szCs w:val="24"/>
        </w:rPr>
        <w:t xml:space="preserve"> em seu artigo 4º reforça que esses direitos devem ser assegurados com absoluta prioridade, o que significa que políticas públicas e investimentos devem ser direcionados preferencialmente para garantir seu cumprimento.</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O que reforça mais ainda o dever da inclusão de pessoas com TEA no âmbito social, desde o começo da sua vida, resguardando as peculiaridades e dificuldades por eles enfrentados. Segundo Lacerda e Dantas (2025) o direito à educação deve ser garantia fundamental independentemente de deficiência ou não de uma forma justa e igualitária, portanto crianças com TEA devem por lei estarem inseridas na sala de aula juntamente com outros colegas de turma, para uma inserção no meio social e educacional, ferramentas e terapias devem ser contínuas para um processo mais calmo e seguro, pensando na qualidade de vida de uma forma geral.</w:t>
      </w:r>
    </w:p>
    <w:p w:rsidR="009D60B7" w:rsidRDefault="00425C09">
      <w:pPr>
        <w:spacing w:line="360" w:lineRule="auto"/>
        <w:ind w:left="142" w:right="112" w:firstLine="709"/>
        <w:jc w:val="both"/>
        <w:rPr>
          <w:rFonts w:ascii="Arial" w:hAnsi="Arial"/>
          <w:sz w:val="24"/>
          <w:szCs w:val="24"/>
        </w:rPr>
      </w:pPr>
      <w:r>
        <w:rPr>
          <w:rFonts w:ascii="Arial" w:hAnsi="Arial"/>
          <w:color w:val="000000"/>
          <w:sz w:val="24"/>
          <w:szCs w:val="24"/>
        </w:rPr>
        <w:t xml:space="preserve">Seguindo ainda o raciocínio de Lacerda e Dantas (2025) uma educação inclusiva deve ser exigida em todos os níveis de ensino, o que está presente na lei </w:t>
      </w:r>
      <w:r>
        <w:rPr>
          <w:rFonts w:ascii="Arial" w:hAnsi="Arial"/>
          <w:color w:val="000000"/>
          <w:sz w:val="24"/>
          <w:szCs w:val="24"/>
        </w:rPr>
        <w:lastRenderedPageBreak/>
        <w:t>13.146/2015 a Lei Brasileira de Inclusão (LBI) buscando uma inserção no meio social mais segura e adequada para as pessoas com o TEA, inovando formas menos prejudiciais e desgastantes para que não prejudique sua saúde e nem sua qualidade de vida, com formas mais aceitas pelos portadores.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Partindo de um ponto de vista mais crítico sobre a realidade da inclusão de pessoas portadoras do espectro autista vem Oliveira (2023) que deixou explicita a falta de capacitação por meio de profissionais que tem contato comos portadores do TEA, e também uma lacuna nos Sistema Único de Saúde (SUS) na garantia de serviços e terapias voltadas para o TEA para que facilitem inclusão no meio social como um todo, que na maioria dos casos não tem recursos e estruturas necessárias para as necessidades contínuas no tratamento para pessoas portadoras do transtorno do espectro autista.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Notório foram os pontos positivos desta inclusão do TEA no ordenamento jurídico como pessoas portadoras de deficiência, abrangendo mais direitos para que tenham maior qualidade de vida e uma melhor inclusão no meio social por meio de garantias exigidas por lei, mas fica evidente a falta de preparo na maioria das vezes para que eles tenham acesso e um cuidado digno, o que na maioria por falta de estrutura do Sistema Único de Saúde e uma falta de preparo em geral.</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Políticas públicas voltadas a esse grupo de portadores do transtorno do espectro autista necessitam de criação, exigindo terapias e outros recursos para que tenham uma vida mais tranquila mesmo com suas dificuldades, para que eles e os familiares se sintam incluídos no meio social sem distinção alguma.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Nesse sentido, o estudo da inclusão da pessoa com TEA evidencia que os direitos fundamentais só se tornam reais quando os princípios constitucionais são efetivamente aplicados por meio de políticas públicas e práticas sociais inclusivas. Assim, a análise da efetividade desses direitos é essencial para compreender o alcance do direito à inclusão no ordenamento jurídico brasileiro.</w:t>
      </w:r>
    </w:p>
    <w:p w:rsidR="009D60B7" w:rsidRDefault="009D60B7">
      <w:pPr>
        <w:spacing w:line="360" w:lineRule="auto"/>
        <w:ind w:left="142" w:right="112" w:firstLine="709"/>
        <w:jc w:val="both"/>
        <w:rPr>
          <w:rFonts w:ascii="Arial" w:hAnsi="Arial"/>
          <w:color w:val="000000"/>
          <w:sz w:val="24"/>
          <w:szCs w:val="24"/>
        </w:rPr>
      </w:pPr>
    </w:p>
    <w:p w:rsidR="009D60B7" w:rsidRDefault="00425C09">
      <w:pPr>
        <w:spacing w:line="360" w:lineRule="auto"/>
        <w:ind w:right="112"/>
        <w:jc w:val="both"/>
        <w:rPr>
          <w:rFonts w:ascii="Arial" w:hAnsi="Arial"/>
          <w:sz w:val="24"/>
          <w:szCs w:val="24"/>
        </w:rPr>
      </w:pPr>
      <w:r>
        <w:rPr>
          <w:rFonts w:ascii="Arial" w:hAnsi="Arial"/>
          <w:color w:val="000000" w:themeColor="dark1"/>
          <w:sz w:val="24"/>
          <w:szCs w:val="24"/>
        </w:rPr>
        <w:t>1.1 A Efetividade dos Direitos Fundamentais e o Exercício dos Princípios Constitucionais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Diante da importância de se sentir incluído no seio social, destaca-se o primeiro artigo, da CF (1988) que inaugura o princípio da dignidade da pessoa humana (Brasil,1988), sendo considerado como um pilar para garantir a efetividades dos direitos fundamentais para todos os cidadãos e neste caso os portadores do TEA, que </w:t>
      </w:r>
      <w:r>
        <w:rPr>
          <w:rFonts w:ascii="Arial" w:hAnsi="Arial"/>
          <w:color w:val="000000" w:themeColor="dark1"/>
          <w:sz w:val="24"/>
          <w:szCs w:val="24"/>
        </w:rPr>
        <w:lastRenderedPageBreak/>
        <w:t>possuem bastante obstáculos para uma maior dignidade humana em sua vida, por este motivo carece de maior atenção e cuidado de forma geral.</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A Constituição em seu artigo 1º inciso III estabelece como um fundamento da República Federativa do Brasil a dignidade da pessoa humana, portanto fica evidente o dever do Estado lutar e promover uma verdadeira e digna qualidade de vida para o povo em geral, nos casos de pessoas diagnosticadas com o TEA a luta por uma dignidade humana de forma igualitária começa desde a infância com o direito ao diagnóstico precoce para uma maior qualidade de vida desde o começo, e ao longo de sua vida como a acesso a terapias, professores de apoio em sala de aula, direito ao trabalho, direito a inclusão entre outros que devem ser garantidos por meio do Estado.</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Indo de acordo com os estudos de Moraes e Nokata (2022) é dever explícito do Estado a garantia integral de todos os direitos dos portadores do TEA com fundamento no princípio da dignidade humana, desde no ambiente escolar até recursos que deviam ser oferecidos pelo SUS que são muitas das vezes onde os portadores e seus familiares enfrentam maior dificuldade, a partir do diagnóstico já são enfrentadas várias barreiras que impedem uma inclusão e uma qualidade de vida digna, portanto cabe ao estado um olhar voltado com delicadeza, para diminuir um pouco as dificuldades encaradas desde o princípio pelos portadores e seus familiares.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O artigo 5° caput da Constituição Federal de 1988, assegura a todos aos brasileiros e estrangeiros residentes no Brasil, o direito à vida: “Todos são iguais perante a lei, sem distinção de qualquer natureza, garantindo-se aos brasileiros e aos estrangeiros residentes no País a inviolabilidade do direito à vida, à liberdade, à igualdade, à segurança e à propriedade.”</w:t>
      </w:r>
      <w:r>
        <w:rPr>
          <w:rFonts w:ascii="Arial" w:hAnsi="Arial"/>
          <w:color w:val="FF0000"/>
          <w:sz w:val="24"/>
          <w:szCs w:val="24"/>
        </w:rPr>
        <w:t xml:space="preserve"> </w:t>
      </w:r>
      <w:r>
        <w:rPr>
          <w:rFonts w:ascii="Arial" w:hAnsi="Arial"/>
          <w:sz w:val="24"/>
          <w:szCs w:val="24"/>
        </w:rPr>
        <w:t>( 1988)</w:t>
      </w:r>
      <w:r>
        <w:rPr>
          <w:rFonts w:ascii="Arial" w:hAnsi="Arial"/>
          <w:color w:val="000000" w:themeColor="dark1"/>
          <w:sz w:val="24"/>
          <w:szCs w:val="24"/>
        </w:rPr>
        <w:t>. Para o direito à vida vale-se destacar o direito à saúde que andam lada a lado, para uma vida digna de qualquer ser humano e em especial os autistas, que por sua vez necessitam frequentemente de tratamentos voltados a sua saúde física e mental, o que por meio particular acaba tendo um custo muito elevado.</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Entretanto, os familiares dos portadores do TEA enfrentam dificuldades no SUS para tratamentos e terapias, por superlotação das unidades, pela falta de profissionais, falta de estrutura, o que atrasa drasticamente a evolução do paciente pela necessidade de se ter uma continuidade no seu tratamento para sua real e verdadeira evolução, portanto para não se tornar um pesadelo algo que deve ser ajuda na melhoria à dignidade da vida humana, o SUS do país carece por mudanças, em </w:t>
      </w:r>
      <w:r>
        <w:rPr>
          <w:rFonts w:ascii="Arial" w:hAnsi="Arial"/>
          <w:color w:val="000000" w:themeColor="dark1"/>
          <w:sz w:val="24"/>
          <w:szCs w:val="24"/>
        </w:rPr>
        <w:lastRenderedPageBreak/>
        <w:t>questão de preparo profissional, estrutura e contratação de novos profissionais conforme demanda e necessidade, para que não haja atraso nos tratamentos do TEA que devem ser contínuos, e contribua verdadeiramente para evolução individualmente de cada paciente, que exerça sua função para qual foi criado e tenha fiscalizações constantes para se findar problemas como esses e que não omitam direitos fundamentais como o da saúde e da dignidade da vida humana.</w:t>
      </w:r>
    </w:p>
    <w:p w:rsidR="009D60B7" w:rsidRDefault="00425C09">
      <w:pPr>
        <w:spacing w:line="360" w:lineRule="auto"/>
        <w:ind w:left="142" w:right="112" w:firstLine="709"/>
        <w:jc w:val="both"/>
        <w:rPr>
          <w:rFonts w:ascii="Arial" w:hAnsi="Arial"/>
          <w:sz w:val="24"/>
          <w:szCs w:val="24"/>
        </w:rPr>
      </w:pPr>
      <w:r>
        <w:rPr>
          <w:rFonts w:ascii="Arial" w:hAnsi="Arial"/>
          <w:color w:val="000000"/>
          <w:sz w:val="24"/>
          <w:szCs w:val="24"/>
        </w:rPr>
        <w:t>Em concordância com o estudo de Ribeiro (2023) que vem deixando claro a necessidade do poder executivo atuar de forma mais árdua nessa esfera da saúde para que não deixem de cumprir direitos fundamentais e básicos de todos cidadãos, a criação de políticas públicas para auxílio ao âmbito da saúde, e uma verdadeira fiscalização observando onde carece de mais atenção, seja na demora dos atendimentos, na falta de profissionais capacitados ou em falta de estrutura, que o direito à saúde seja prioridade independente de qualquer coisa, que busquem recursos e aumentar a qualidade dos seus Sistemas Únicos de Saúde para um verdadeiro cumprimento dos direitos fundamentais para todos, pensando em uma maior dignidade para todos sem distinção dos mais necessitados.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A inclusão dos portadores de TEA é um assunto bastante utilizado, e que tem uma relevância grande em âmbito nacional no Brasil, vê-se mudanças positivas e significativas após a inclusão dos portadores de TEA como também pessoas com deficiência, o que foi um salto enorme para que o Brasil seja um lugar mais inclusivo e igual nas oportunidades para todos, buscando de forma justa incluir e tornar todos sem distinção com os mesmos direitos, deixando de lado o preconceito e tornando todos ambientes acessíveis para todos incluindo pessoas com deficiência e portadores do TEA.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O direito a inclusão ficou evidente e mais visível com as mudanças na legislação e com a real utilização de leis que garantem e promovem a inclusão dos portadores do TEA assim como deixa claro Cunha (2024) que fala para uma maior inclusão dos autistas e outras minorias, necessita-se de criação de políticas públicas o que evoluiu consideravelmente no Brasil, entretanto não cabe somente a criação de leis especificamente, mas uma maior conscientização e aceitação da população em geral, para que aceitem a inclusão de todos em consonância, transformando ambientes sociais locais realmente de todos, essa conscientização deve ocorrer desde o começo da vida social, para que diferenças sejam igualdade em todos ambientes sociais.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No Brasil fica claro a evolução nesses quesitos a se comparem com tempos </w:t>
      </w:r>
      <w:r>
        <w:rPr>
          <w:rFonts w:ascii="Arial" w:hAnsi="Arial"/>
          <w:color w:val="000000" w:themeColor="dark1"/>
          <w:sz w:val="24"/>
          <w:szCs w:val="24"/>
        </w:rPr>
        <w:lastRenderedPageBreak/>
        <w:t>atrás, mas fica escancarado também a necessidade de mudanças em várias áreas buscando uma igualdade de direitos para os portadores do TEA para com a população em geral, desde uma melhora nos sistemas de saúde para resguardar uma vida digna e seus direitos à saúde garantidos, para uma melhor qualidade de vida dos portadores e seus familiares, melhora nas estruturas, na capacitação de professores, e também de profissionais da saúde que tem papel fundamental na evolução destes pacientes, que pensem realmente numa vida justa e menos árdua para os portadores do espectro autista.</w:t>
      </w:r>
    </w:p>
    <w:p w:rsidR="009D60B7" w:rsidRDefault="00425C09">
      <w:pPr>
        <w:pStyle w:val="Corpodetexto"/>
        <w:spacing w:line="360" w:lineRule="auto"/>
        <w:ind w:left="142" w:right="112" w:firstLine="709"/>
        <w:jc w:val="both"/>
        <w:rPr>
          <w:rFonts w:ascii="Arial" w:hAnsi="Arial"/>
          <w:sz w:val="24"/>
          <w:szCs w:val="24"/>
        </w:rPr>
      </w:pPr>
      <w:r>
        <w:rPr>
          <w:rFonts w:ascii="Arial" w:hAnsi="Arial"/>
          <w:color w:val="000000" w:themeColor="dark1"/>
          <w:sz w:val="24"/>
          <w:szCs w:val="24"/>
        </w:rPr>
        <w:t>A efetividade dos direitos fundamentais depende da implementação de políticas públicas capazes de garantir, na prática, princípios como a dignidade da pessoa humana, a igualdade e a justiça social. Desse modo, as políticas públicas funcionam como o principal mecanismo de materialização dos princípios constitucionais no processo de inclusão social.</w:t>
      </w:r>
    </w:p>
    <w:p w:rsidR="009D60B7" w:rsidRDefault="009D60B7">
      <w:pPr>
        <w:spacing w:line="360" w:lineRule="auto"/>
        <w:ind w:right="112"/>
        <w:jc w:val="both"/>
        <w:rPr>
          <w:rFonts w:ascii="Arial" w:hAnsi="Arial"/>
          <w:color w:val="000000" w:themeColor="dark1"/>
          <w:sz w:val="24"/>
          <w:szCs w:val="24"/>
        </w:rPr>
      </w:pPr>
    </w:p>
    <w:p w:rsidR="009D60B7" w:rsidRDefault="00425C09">
      <w:pPr>
        <w:spacing w:line="360" w:lineRule="auto"/>
        <w:ind w:right="112"/>
        <w:jc w:val="both"/>
        <w:rPr>
          <w:rFonts w:ascii="Arial" w:hAnsi="Arial"/>
          <w:sz w:val="24"/>
          <w:szCs w:val="24"/>
        </w:rPr>
      </w:pPr>
      <w:r>
        <w:rPr>
          <w:rFonts w:ascii="Arial" w:hAnsi="Arial"/>
          <w:color w:val="000000" w:themeColor="dark1"/>
          <w:sz w:val="24"/>
          <w:szCs w:val="24"/>
        </w:rPr>
        <w:t xml:space="preserve">1.2 Política Públicas Como Instrumentos de Inclusão e Incorporação no Brasil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A inclusão de pessoas com TEA é uma questão de relevância global, refletindo o compromisso da sociedade em respeitar e valorizar a diversidade humana. A Lei 13.146/15 em seu artigo 53, diz o seguinte: “A acessibilidade é direito que garante à pessoa com deficiência ou com mobilidade reduzida viver de forma independente e exercer seus direitos de cidadania e de participação social.” Nesse sentido, é notório observar a crescente preocupação do poder público com esses indivíduos, entretanto não é o suficiente, visto que a compreensão das complexidades envolvidas na inclusão de portadores do TEA pode levar a intervenções mais competentes e a políticas públicas mais inclusivas e equitativas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De acordo com Benitez e Domenicani (2015) os comportamentos desse transtorno se tornam mais expressivos à medida que a idade avança, refletindo-se nas interações sociais mais amplas e em comportamentos não verbais. Isso inclui a capacidade de manter contato visual direto, expressar-se por meio de expressões faciais, gestos corporais e outros meios que influenciam a interação do indivíduo com o ambiente que o cerca. Diante disso, é fundamental ressaltar que cada indivíduo possuí suas próprias particularidades, portanto cada pessoa deve ser tratada de forma individual, de acordo com suas necessidades.</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Diante desse contexto, o uso de cães de apoio emocional, é uma das formas de terapia para o desenvolvimento de interações sociais, bem como para atuarem no </w:t>
      </w:r>
      <w:r>
        <w:rPr>
          <w:rFonts w:ascii="Arial" w:hAnsi="Arial"/>
          <w:color w:val="000000" w:themeColor="dark1"/>
          <w:sz w:val="24"/>
          <w:szCs w:val="24"/>
        </w:rPr>
        <w:lastRenderedPageBreak/>
        <w:t>auxílio das atividades corriqueiras do cotidiano, pois é uma técnica de intervenção que utiliza a ajuda de cães durante o processo  terapêutico, sem  o uso  de medicamentos, onde apenas a presença do animal traz calma, tranquilidade e identifica quando o paciente está prestes a ter crises decorrentes do transtorno. Ribeiro, Panzenhagen, Luz, Henkes (2023).</w:t>
      </w:r>
    </w:p>
    <w:p w:rsidR="009D60B7" w:rsidRDefault="00425C09">
      <w:pPr>
        <w:spacing w:line="360" w:lineRule="auto"/>
        <w:ind w:left="142" w:right="112" w:firstLine="709"/>
        <w:jc w:val="both"/>
        <w:rPr>
          <w:rFonts w:ascii="Arial" w:hAnsi="Arial"/>
          <w:color w:val="000000"/>
          <w:sz w:val="24"/>
          <w:szCs w:val="24"/>
        </w:rPr>
      </w:pPr>
      <w:r>
        <w:rPr>
          <w:rFonts w:ascii="Arial" w:hAnsi="Arial"/>
          <w:color w:val="000000"/>
          <w:sz w:val="24"/>
          <w:szCs w:val="24"/>
        </w:rPr>
        <w:t xml:space="preserve">Entretanto a terapia assistida por cães como apoio emocional carece de uma regularização e um olhar voltado para a criação de políticas públicas para esse tipo de terapia que vem se mostrando tão eficaz no tratamento do TEA, auxiliando no autocontrole do paciente em situações do cotidiano, trazendo calma para interações sociais e pressentindo futuras crises do portador do transtorno. Necessita-se de um olhar especial para ajudar a regulamentar o cão de apoio emocional para que tenham identificação necessária do animal e também seu treinamento específico, podendo assim estar acompanhando seus pacientes em situações corriqueiras. </w:t>
      </w:r>
    </w:p>
    <w:p w:rsidR="009D60B7" w:rsidRDefault="00425C09">
      <w:pPr>
        <w:spacing w:line="360" w:lineRule="auto"/>
        <w:ind w:left="142" w:right="112" w:firstLine="709"/>
        <w:jc w:val="both"/>
        <w:rPr>
          <w:rFonts w:ascii="Arial" w:hAnsi="Arial"/>
          <w:sz w:val="24"/>
          <w:szCs w:val="24"/>
        </w:rPr>
      </w:pPr>
      <w:r>
        <w:rPr>
          <w:rFonts w:ascii="Arial" w:hAnsi="Arial"/>
          <w:color w:val="000000"/>
          <w:sz w:val="24"/>
          <w:szCs w:val="24"/>
        </w:rPr>
        <w:t>Lima (2025) expressa a necessidade da equiparação do cão de serviço emocional com o cão guia, tanto em direitos como em deveres, ter a devida regulamentação e treinamento para que transitem com seus tutores em espaços públicos sem impasses e tragam segurança para seus tutores e também para a população em um todo, além da carência de uma identificação de tal animal.</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Um caso que representa a necessidade e deixa claro a eficiência do cão de apoio emocional, foi um episódio onde o cão de apoio emocional Teddy foi impedido de acompanhar a criança com TEA Alice para um voo internacional para Portugal junto com a família, o cão ajuda Alice a prevenir crises chamadas metdown que é uma crise em que ela perde o controle sobre as suas próprias ações, o que as vezes resulta em ações autolesivas e heterolesivas. E mesmo com medida judicial e todo treinamento necessário para não causar transtornos aos demais passageiros tal medida foi negada pela companhia aérea, dificultando a viagem da criança. G1 Rio de Janeiro (2025). </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Contudo, para uma sociedade mais inclusiva, o Brasil carece por criações e aperfeiçoamento nas políticas públicas para que acontecimento desse formato não ocorra com tanta frequência, como também passe a olhar verdadeiramente para a necessidade da população em geral, em especial minorias que precisam e necessitam de serviços como esse dos cães de apoio emocional. Segundo Silva (2011) a maior distribuição de recursos por meio do Estado ocorre por meio de políticas públicas, que tem como objeto atender as necessidades da sociedade, portanto deve-se olhar para a regulamentação e regularização dos cães de apoio emocional como prioridades </w:t>
      </w:r>
      <w:r>
        <w:rPr>
          <w:rFonts w:ascii="Arial" w:hAnsi="Arial"/>
          <w:color w:val="000000" w:themeColor="dark1"/>
          <w:sz w:val="24"/>
          <w:szCs w:val="24"/>
        </w:rPr>
        <w:lastRenderedPageBreak/>
        <w:t>visto as dificuldades enfrentadas pelos portadores e seus familiares, como forma de exercer a inclusão sem distinção de todos no meio social.</w:t>
      </w:r>
    </w:p>
    <w:p w:rsidR="009D60B7" w:rsidRDefault="00425C09">
      <w:pPr>
        <w:spacing w:line="360" w:lineRule="auto"/>
        <w:ind w:left="142" w:right="112" w:firstLine="709"/>
        <w:jc w:val="both"/>
        <w:rPr>
          <w:rFonts w:ascii="Arial" w:hAnsi="Arial"/>
          <w:sz w:val="24"/>
          <w:szCs w:val="24"/>
        </w:rPr>
      </w:pPr>
      <w:r>
        <w:rPr>
          <w:rFonts w:ascii="Arial" w:hAnsi="Arial"/>
          <w:sz w:val="24"/>
          <w:szCs w:val="24"/>
        </w:rPr>
        <w:t>Em geral, necessita-se da criação de políticas públicas voltadas para os portadores do TEA diante dos crescentes números de casos de autismo no Brasil, visando abranger toda a população de forma ampla. Isso ocorre devido à necessidade de medidas que melhorem o convívio dos autistas no meio social, já que muitos possuem maior dificuldade de adaptação em ambientes sociais.</w:t>
      </w:r>
    </w:p>
    <w:p w:rsidR="009D60B7" w:rsidRDefault="00425C09">
      <w:pPr>
        <w:spacing w:line="360" w:lineRule="auto"/>
        <w:ind w:left="142" w:right="112" w:firstLine="709"/>
        <w:jc w:val="both"/>
        <w:rPr>
          <w:rFonts w:ascii="Arial" w:hAnsi="Arial"/>
          <w:sz w:val="24"/>
          <w:szCs w:val="24"/>
        </w:rPr>
      </w:pPr>
      <w:r>
        <w:rPr>
          <w:rFonts w:ascii="Arial" w:hAnsi="Arial"/>
          <w:sz w:val="24"/>
          <w:szCs w:val="24"/>
        </w:rPr>
        <w:t>Além disso, busca-se regularizar e garantir tratamentos, como a terapia assistida por cães, de forma legal e aceita em todo o território brasileiro, promovendo maior inclusão das pessoas com deficiência. Portanto, a sociedade deve cobrar efetivamente seus direitos e a criação de políticas públicas voltadas para atender suas necessidades, como forma de assegurar a dignidade da pessoa humana.</w:t>
      </w:r>
    </w:p>
    <w:p w:rsidR="009D60B7" w:rsidRDefault="00425C09">
      <w:pPr>
        <w:spacing w:line="360" w:lineRule="auto"/>
        <w:ind w:left="142" w:right="112" w:firstLine="709"/>
        <w:jc w:val="both"/>
        <w:rPr>
          <w:rFonts w:ascii="Arial" w:hAnsi="Arial"/>
          <w:sz w:val="24"/>
          <w:szCs w:val="24"/>
        </w:rPr>
      </w:pPr>
      <w:r>
        <w:rPr>
          <w:rFonts w:ascii="Arial" w:hAnsi="Arial"/>
          <w:color w:val="000000" w:themeColor="dark1"/>
          <w:sz w:val="24"/>
          <w:szCs w:val="24"/>
        </w:rPr>
        <w:t xml:space="preserve">Nesse sentido, garantir a dignidade da pessoa com TEA depende da implementação de políticas públicas que promovam acessibilidade, inclusão social, educação e saúde adequadas, assegurando tratamento igualitário e respeito às suas particularidades. Assim, as políticas públicas atuam como meio essencial para tornar efetivo o princípio da dignidade humana. </w:t>
      </w:r>
    </w:p>
    <w:p w:rsidR="009D60B7" w:rsidRPr="0036782D" w:rsidRDefault="00425C09">
      <w:pPr>
        <w:pStyle w:val="Ttulo1"/>
        <w:tabs>
          <w:tab w:val="left" w:pos="284"/>
        </w:tabs>
        <w:spacing w:line="360" w:lineRule="auto"/>
        <w:ind w:left="0" w:right="116"/>
        <w:jc w:val="both"/>
        <w:rPr>
          <w:rFonts w:ascii="Arial" w:hAnsi="Arial"/>
          <w:sz w:val="24"/>
          <w:szCs w:val="24"/>
        </w:rPr>
      </w:pPr>
      <w:r w:rsidRPr="0036782D">
        <w:rPr>
          <w:rFonts w:ascii="Arial" w:hAnsi="Arial"/>
          <w:bCs/>
          <w:sz w:val="24"/>
          <w:szCs w:val="24"/>
          <w:lang w:val="pt-BR"/>
        </w:rPr>
        <w:t>2.</w:t>
      </w:r>
      <w:sdt>
        <w:sdtPr>
          <w:rPr>
            <w:bCs/>
            <w:sz w:val="24"/>
            <w:szCs w:val="24"/>
          </w:rPr>
          <w:tag w:val="goog_rdk_1"/>
          <w:id w:val="147472097"/>
        </w:sdtPr>
        <w:sdtContent>
          <w:r w:rsidRPr="0036782D">
            <w:rPr>
              <w:rFonts w:ascii="Arial" w:hAnsi="Arial"/>
              <w:bCs/>
              <w:sz w:val="24"/>
              <w:szCs w:val="24"/>
            </w:rPr>
            <w:t>O DIREITO À DIGNIDADE DA PESSOA COM TRANSTORNO DO ESPECTRO AUTISTA.</w:t>
          </w:r>
        </w:sdtContent>
      </w:sdt>
    </w:p>
    <w:p w:rsidR="009D60B7" w:rsidRDefault="00425C09">
      <w:pPr>
        <w:spacing w:line="360" w:lineRule="auto"/>
        <w:ind w:left="142" w:firstLine="709"/>
        <w:jc w:val="both"/>
        <w:rPr>
          <w:rFonts w:ascii="Arial" w:hAnsi="Arial"/>
          <w:sz w:val="24"/>
          <w:szCs w:val="24"/>
        </w:rPr>
      </w:pPr>
      <w:r>
        <w:rPr>
          <w:rFonts w:ascii="Arial" w:hAnsi="Arial"/>
          <w:sz w:val="24"/>
          <w:szCs w:val="24"/>
        </w:rPr>
        <w:t>O reconhecimento dos portadores do transtorno do espectro autista (TEA) como pessoas portadoras de deficiência está regulamentado na Lei n. 12.764 de 2012, que por sua vez adota como garantia da dignidade humana os mesmos direitos das pessoas portadoras de deficiência para os portadores do transtorno do espectro autista.</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 Para </w:t>
      </w:r>
      <w:r>
        <w:rPr>
          <w:rFonts w:ascii="Arial" w:hAnsi="Arial"/>
          <w:sz w:val="24"/>
          <w:szCs w:val="24"/>
          <w:lang w:val="pt-BR"/>
        </w:rPr>
        <w:t>Sauiá</w:t>
      </w:r>
      <w:r>
        <w:rPr>
          <w:rFonts w:ascii="Arial" w:hAnsi="Arial"/>
          <w:sz w:val="24"/>
          <w:szCs w:val="24"/>
        </w:rPr>
        <w:t xml:space="preserve"> Filho (2024) os portadores do TEA tem o direito ao tratamento </w:t>
      </w:r>
      <w:r>
        <w:rPr>
          <w:rFonts w:ascii="Arial" w:hAnsi="Arial"/>
          <w:sz w:val="24"/>
          <w:szCs w:val="24"/>
          <w:lang w:val="pt-BR"/>
        </w:rPr>
        <w:t>contínuo</w:t>
      </w:r>
      <w:r>
        <w:rPr>
          <w:rFonts w:ascii="Arial" w:hAnsi="Arial"/>
          <w:sz w:val="24"/>
          <w:szCs w:val="24"/>
        </w:rPr>
        <w:t xml:space="preserve"> e eficaz, e ainda, a proteção quanto à inclusão no ambiente social, garantindo o respeito ao princípio da dignidade da vida humana, disposto na Constituição Federal 1988 em seu artigo 1º inciso III. </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Assim, o direito dos portadores do TEA além de corresponder às previsões inseridas na Constituição Federal (1988) .  Cumpre destacar que os direitos das pessoas portadoras do espectro autista, no começo da sua vida social, encontram tutela no Estatuto da Criança e do Adolescente </w:t>
      </w:r>
      <w:r>
        <w:rPr>
          <w:rFonts w:ascii="Arial" w:hAnsi="Arial"/>
          <w:sz w:val="24"/>
          <w:szCs w:val="24"/>
          <w:lang w:val="pt-BR"/>
        </w:rPr>
        <w:t>(1990)</w:t>
      </w:r>
      <w:r>
        <w:rPr>
          <w:rFonts w:ascii="Arial" w:hAnsi="Arial"/>
          <w:sz w:val="24"/>
          <w:szCs w:val="24"/>
        </w:rPr>
        <w:t xml:space="preserve"> que, por sua vez, estabelece que toda criança e adolescente tem direito à proteção especial, considerando sua condição peculiar de desenvolvimento (Brasil, 1990).</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lastRenderedPageBreak/>
        <w:t>Entre os direitos fundamentais garantidos pelo ECA (1990) estão o direito à convivência familiar e comunitária, à educação, à saúde, à profissionalização e ao lazer, além de mecanismos específicos de proteção contra violência, exploração e negligência. O artigo 4º do ECA (1990) reforça que esses direitos devem ser assegurados com absoluta prioridade, o que significa que políticas públicas e investimentos devem ser direcionados preferencialmente para garantir seu cumprimento.</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O que reforça mais ainda o dever da inclusão de pessoas com TEA no âmbito social, desde o começo da sua vida, resguardando as peculiaridades e dificuldades por eles enfrentados. Segundo </w:t>
      </w:r>
      <w:r>
        <w:rPr>
          <w:rFonts w:ascii="Arial" w:hAnsi="Arial"/>
          <w:sz w:val="24"/>
          <w:szCs w:val="24"/>
          <w:lang w:val="pt-BR"/>
        </w:rPr>
        <w:t>Lacerda e D</w:t>
      </w:r>
      <w:r>
        <w:rPr>
          <w:rFonts w:ascii="Arial" w:hAnsi="Arial"/>
          <w:sz w:val="24"/>
          <w:szCs w:val="24"/>
        </w:rPr>
        <w:t xml:space="preserve">antas (2025) o direito a educação deve ser garantia fundamental independentemente de deficiência ou não de uma forma justa e igualitária, portanto crianças com TEA devem por lei estarem inseridas na sala de aula juntamente com outros colegas de turma, para uma inserção no meio social e educacional, ferramentas e terapias devem ser </w:t>
      </w:r>
      <w:r>
        <w:rPr>
          <w:rFonts w:ascii="Arial" w:hAnsi="Arial"/>
          <w:sz w:val="24"/>
          <w:szCs w:val="24"/>
          <w:lang w:val="pt-BR"/>
        </w:rPr>
        <w:t>contínuas</w:t>
      </w:r>
      <w:r>
        <w:rPr>
          <w:rFonts w:ascii="Arial" w:hAnsi="Arial"/>
          <w:sz w:val="24"/>
          <w:szCs w:val="24"/>
        </w:rPr>
        <w:t xml:space="preserve"> para um processo mais calmo e seguro, pensando na qualidade de vida de uma forma geral.</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Seguindo ainda o raciocínio de </w:t>
      </w:r>
      <w:r>
        <w:rPr>
          <w:rFonts w:ascii="Arial" w:hAnsi="Arial"/>
          <w:sz w:val="24"/>
          <w:szCs w:val="24"/>
          <w:lang w:val="pt-BR"/>
        </w:rPr>
        <w:t>Lacerda e Dantas</w:t>
      </w:r>
      <w:r>
        <w:rPr>
          <w:rFonts w:ascii="Arial" w:hAnsi="Arial"/>
          <w:sz w:val="24"/>
          <w:szCs w:val="24"/>
        </w:rPr>
        <w:t xml:space="preserve"> (2025) uma educação inclusiva deve ser exigida em todos os níveis de ensino, o que está presente na Lei 13.146 de 2015, conhecida como Lei Brasileira de Inclusão (LBI) buscando uma inserção no meio social mais segura e adequada para as pessoas com o TEA, inovando formas menos prejudiciais e desgastantes para que não prejudique sua saúde e nem sua qualidade de vida, com formas mais aceitas pelos portadores. </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Partindo de um ponto de vista mais crítico sobre a realidade da inclusão de pessoas portadoras do espectro autista vem </w:t>
      </w:r>
      <w:r>
        <w:rPr>
          <w:rFonts w:ascii="Arial" w:hAnsi="Arial"/>
          <w:sz w:val="24"/>
          <w:szCs w:val="24"/>
          <w:lang w:val="pt-BR"/>
        </w:rPr>
        <w:t xml:space="preserve">Oliveira </w:t>
      </w:r>
      <w:r>
        <w:rPr>
          <w:rFonts w:ascii="Arial" w:hAnsi="Arial"/>
          <w:sz w:val="24"/>
          <w:szCs w:val="24"/>
        </w:rPr>
        <w:t>(2023) que ressalta acerca da falta de capacitação por meio de profissionais que tem contato com</w:t>
      </w:r>
      <w:r>
        <w:rPr>
          <w:rFonts w:ascii="Arial" w:hAnsi="Arial"/>
          <w:sz w:val="24"/>
          <w:szCs w:val="24"/>
          <w:lang w:val="pt-BR"/>
        </w:rPr>
        <w:t xml:space="preserve"> </w:t>
      </w:r>
      <w:r>
        <w:rPr>
          <w:rFonts w:ascii="Arial" w:hAnsi="Arial"/>
          <w:sz w:val="24"/>
          <w:szCs w:val="24"/>
        </w:rPr>
        <w:t xml:space="preserve">os portadores do TEA, bem como sobre a lacuna no Sistema Único de Saúde (SUS) no que tange a garantia de serviços e terapias voltadas para o TEA para a inclusão no meio social como um todo, carecendo de recursos e estruturas necessárias para as necessidades </w:t>
      </w:r>
      <w:r>
        <w:rPr>
          <w:rFonts w:ascii="Arial" w:hAnsi="Arial"/>
          <w:sz w:val="24"/>
          <w:szCs w:val="24"/>
          <w:lang w:val="pt-BR"/>
        </w:rPr>
        <w:t>contínuas</w:t>
      </w:r>
      <w:r>
        <w:rPr>
          <w:rFonts w:ascii="Arial" w:hAnsi="Arial"/>
          <w:sz w:val="24"/>
          <w:szCs w:val="24"/>
        </w:rPr>
        <w:t xml:space="preserve"> no tratamento para as pessoas portadoras do transtorno do espectro autista.</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Notório foram os pontos positivos desta inclusão do TEA no ordenamento </w:t>
      </w:r>
      <w:r>
        <w:rPr>
          <w:rFonts w:ascii="Arial" w:hAnsi="Arial"/>
          <w:sz w:val="24"/>
          <w:szCs w:val="24"/>
          <w:lang w:val="pt-BR"/>
        </w:rPr>
        <w:t>jurídico</w:t>
      </w:r>
      <w:r>
        <w:rPr>
          <w:rFonts w:ascii="Arial" w:hAnsi="Arial"/>
          <w:sz w:val="24"/>
          <w:szCs w:val="24"/>
        </w:rPr>
        <w:t xml:space="preserve"> como pessoas portadoras de deficiência, </w:t>
      </w:r>
      <w:r>
        <w:rPr>
          <w:rFonts w:ascii="Arial" w:hAnsi="Arial"/>
          <w:sz w:val="24"/>
          <w:szCs w:val="24"/>
          <w:lang w:val="pt-BR"/>
        </w:rPr>
        <w:t>abrangendo</w:t>
      </w:r>
      <w:r>
        <w:rPr>
          <w:rFonts w:ascii="Arial" w:hAnsi="Arial"/>
          <w:sz w:val="24"/>
          <w:szCs w:val="24"/>
        </w:rPr>
        <w:t xml:space="preserve"> mais direitos para que tenham maior qualidade de vida e uma melhor inclusão no meio social por meios de garantidas exigidas por lei. Mas fica evidente a falta de preparo para que esse público tenha acesso e um cuidado digno.</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lastRenderedPageBreak/>
        <w:t>Políticas públicas voltadas a esse grupo de portadores do transtorno do espectro autista necessitam de criação, exigindo terapias e outros recursos para que tenham uma vida mais tranquila mesmo com suas dificuldades, para que eles e os familiares se sintam incluídos no meio social sem distinção alguma.</w:t>
      </w:r>
    </w:p>
    <w:p w:rsidR="009D60B7" w:rsidRDefault="00425C09">
      <w:pPr>
        <w:widowControl/>
        <w:spacing w:line="360" w:lineRule="auto"/>
        <w:ind w:left="142" w:firstLine="709"/>
        <w:jc w:val="both"/>
        <w:rPr>
          <w:rFonts w:ascii="Arial" w:hAnsi="Arial"/>
          <w:sz w:val="24"/>
          <w:szCs w:val="24"/>
        </w:rPr>
      </w:pPr>
      <w:r>
        <w:rPr>
          <w:rFonts w:ascii="Arial" w:eastAsia="SimSun" w:hAnsi="Arial"/>
          <w:sz w:val="24"/>
          <w:szCs w:val="24"/>
        </w:rPr>
        <w:t>Assim, a inclusão não deve ser compreendida apenas como um ideal jurídico, mas como uma obrigação concreta, cuja realização demanda a articulação entre normas constitucionais e ações efetivas, garantindo o pleno exercício da cidadania por parte dessas pessoas.</w:t>
      </w:r>
    </w:p>
    <w:p w:rsidR="009D60B7" w:rsidRDefault="009D60B7">
      <w:pPr>
        <w:widowControl/>
        <w:spacing w:line="360" w:lineRule="auto"/>
        <w:ind w:left="142" w:firstLine="709"/>
        <w:jc w:val="both"/>
        <w:rPr>
          <w:rFonts w:ascii="Arial" w:hAnsi="Arial"/>
          <w:sz w:val="24"/>
          <w:szCs w:val="24"/>
        </w:rPr>
      </w:pPr>
    </w:p>
    <w:p w:rsidR="009D60B7" w:rsidRDefault="00425C09">
      <w:pPr>
        <w:widowControl/>
        <w:spacing w:line="360" w:lineRule="auto"/>
        <w:jc w:val="both"/>
        <w:rPr>
          <w:rFonts w:ascii="Arial" w:hAnsi="Arial"/>
          <w:sz w:val="24"/>
          <w:szCs w:val="24"/>
        </w:rPr>
      </w:pPr>
      <w:r>
        <w:rPr>
          <w:rFonts w:ascii="Arial" w:hAnsi="Arial"/>
          <w:sz w:val="24"/>
          <w:szCs w:val="24"/>
        </w:rPr>
        <w:t>2.1 A (In)Efetividade dos Direitos Fundamentais e o Exercício dos Princípios Constitucionais</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Diante de inúmeras necessidades, tais como</w:t>
      </w:r>
      <w:r>
        <w:rPr>
          <w:rFonts w:ascii="Arial" w:hAnsi="Arial"/>
          <w:sz w:val="24"/>
          <w:szCs w:val="24"/>
          <w:lang w:val="pt-BR"/>
        </w:rPr>
        <w:t xml:space="preserve"> um tratamento digno e uma melhor qualidade de vida</w:t>
      </w:r>
      <w:r>
        <w:rPr>
          <w:rFonts w:ascii="Arial" w:hAnsi="Arial"/>
          <w:sz w:val="24"/>
          <w:szCs w:val="24"/>
        </w:rPr>
        <w:t>, vale-se destacar que a Constituição Federal de 1988 contempla em seu primeiro artigo acerca do Princípio da Dignidade da Pessoa Humana (B</w:t>
      </w:r>
      <w:r>
        <w:rPr>
          <w:rFonts w:ascii="Arial" w:hAnsi="Arial"/>
          <w:sz w:val="24"/>
          <w:szCs w:val="24"/>
          <w:lang w:val="pt-BR"/>
        </w:rPr>
        <w:t>rasil</w:t>
      </w:r>
      <w:r>
        <w:rPr>
          <w:rFonts w:ascii="Arial" w:hAnsi="Arial"/>
          <w:sz w:val="24"/>
          <w:szCs w:val="24"/>
        </w:rPr>
        <w:t>, 1988) como um pilar para garantir a efetividades dos direitos fundamentais para todos os cidadãos portadores do TEA, que possuem bastante obstáculos para uma maior dignidade humana em sua vida, por este motivo carece de maior atenção e cuidado de forma geral.</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A Constituição Federal (1988) em seu artigo 1º inciso III estabelece como um fundamento da República Federativa do Brasil a dignidade da pessoa humana, portanto fica evidente o dever do Estado lutar e promover uma verdadeira e digna qualidade de vida para o povo em geral, nos casos de pessoas diagnosticadas com o TEA a luta por uma dignidade humana de forma igualitária começa desde a infância com o direito ao diagnóstico precoce para uma maior qualidade de vida desde o começo, e ao longo de sua vida como a acesso a terapias, professores de apoio em sala de aula, direito ao trabalho, direito a inclusão entre outros que devem ser </w:t>
      </w:r>
      <w:r>
        <w:rPr>
          <w:rFonts w:ascii="Arial" w:hAnsi="Arial"/>
          <w:sz w:val="24"/>
          <w:szCs w:val="24"/>
          <w:lang w:val="pt-BR"/>
        </w:rPr>
        <w:t>garantidos</w:t>
      </w:r>
      <w:r>
        <w:rPr>
          <w:rFonts w:ascii="Arial" w:hAnsi="Arial"/>
          <w:sz w:val="24"/>
          <w:szCs w:val="24"/>
        </w:rPr>
        <w:t xml:space="preserve"> por meio do Estado.</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Indo de acordo com os estudos de </w:t>
      </w:r>
      <w:r>
        <w:rPr>
          <w:rFonts w:ascii="Arial" w:hAnsi="Arial"/>
          <w:sz w:val="24"/>
          <w:szCs w:val="24"/>
          <w:lang w:val="pt-BR"/>
        </w:rPr>
        <w:t>Moraes e Nokata</w:t>
      </w:r>
      <w:r>
        <w:rPr>
          <w:rFonts w:ascii="Arial" w:hAnsi="Arial"/>
          <w:sz w:val="24"/>
          <w:szCs w:val="24"/>
        </w:rPr>
        <w:t xml:space="preserve"> (2022) é dever </w:t>
      </w:r>
      <w:r>
        <w:rPr>
          <w:rFonts w:ascii="Arial" w:hAnsi="Arial"/>
          <w:sz w:val="24"/>
          <w:szCs w:val="24"/>
          <w:lang w:val="pt-BR"/>
        </w:rPr>
        <w:t>explícito</w:t>
      </w:r>
      <w:r>
        <w:rPr>
          <w:rFonts w:ascii="Arial" w:hAnsi="Arial"/>
          <w:sz w:val="24"/>
          <w:szCs w:val="24"/>
        </w:rPr>
        <w:t xml:space="preserve"> do Estado a garantia integral de todos os direitos dos portadores do TEA com fundamento no princípio da dignidade humana, desde no ambiente escolar até recursos que deviam ser oferecidos pelo SUS que são muitas das vezes onde os portadores e seus familiares enfrentam maior dificuldade, a partir do diagnóstico já são enfrentadas várias barreiras que impedem uma inclusão e uma qualidade de vida digna</w:t>
      </w:r>
      <w:r>
        <w:rPr>
          <w:rFonts w:ascii="Arial" w:eastAsia="SimSun" w:hAnsi="Arial"/>
          <w:sz w:val="24"/>
          <w:szCs w:val="24"/>
        </w:rPr>
        <w:t>. P</w:t>
      </w:r>
      <w:r>
        <w:rPr>
          <w:rFonts w:ascii="Arial" w:hAnsi="Arial"/>
          <w:sz w:val="24"/>
          <w:szCs w:val="24"/>
        </w:rPr>
        <w:t>ortanto cabe ao estado um olhar voltado com delicadeza, para diminuir um pouco as dificuldades encaradas desde o princípio pelos portadores e seus familiares.</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lastRenderedPageBreak/>
        <w:t xml:space="preserve">O artigo 5° caput da Constituição Federal de 1988, assegura a todos aos brasileiros e estrangeiros residentes no Brasil, o direito à vida: “Todos são iguais perante a lei, sem distinção de qualquer natureza, garantindo-se aos brasileiros e aos estrangeiros residentes no País a inviolabilidade do direito à vida, à liberdade, à igualdade, à segurança e à propriedade.” </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Atrelado ao direito à vida está o direito à saúde, isto porque para uma vida digna de qualquer ser humano e em especial os autistas, é necessário vários tratamento e terapias, que por meio particular acaba tendo um custo muito elevado, portanto cabe ao Estado resguardar e providenciar estes tratamentos gratuitamente para os de situação carente e sem condições financeiramente estável por meio do SUS tais tratamentos.</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Entretanto, os familiares dos portadores do TEA enfrentam dificuldades diante dos serviços fornecidos pelo SUS para tratamentos e terapias, por superlotação das unidades, pela falta de profissionais, falta de estrutura, o que atrasa </w:t>
      </w:r>
      <w:r>
        <w:rPr>
          <w:rFonts w:ascii="Arial" w:hAnsi="Arial"/>
          <w:sz w:val="24"/>
          <w:szCs w:val="24"/>
          <w:lang w:val="pt-BR"/>
        </w:rPr>
        <w:t>drasticamente</w:t>
      </w:r>
      <w:r>
        <w:rPr>
          <w:rFonts w:ascii="Arial" w:hAnsi="Arial"/>
          <w:sz w:val="24"/>
          <w:szCs w:val="24"/>
        </w:rPr>
        <w:t xml:space="preserve"> a evolução do paciente pela necessidade de se ter uma continuidade no seu tratamento para sua real e verdadeira evolução</w:t>
      </w:r>
      <w:r>
        <w:rPr>
          <w:rFonts w:ascii="Arial" w:eastAsia="SimSun" w:hAnsi="Arial"/>
          <w:sz w:val="24"/>
          <w:szCs w:val="24"/>
        </w:rPr>
        <w:t>.</w:t>
      </w:r>
      <w:r>
        <w:rPr>
          <w:rFonts w:ascii="Arial" w:hAnsi="Arial"/>
          <w:sz w:val="24"/>
          <w:szCs w:val="24"/>
        </w:rPr>
        <w:t xml:space="preserve"> Portanto, a dignidade da vida humana carece por mudanças no SUS do país em questão de preparo profissional, estrutura e contratação de novos profissionais conforme demanda e necessidade, para que não haja atraso nos tratamentos voltados para o TEA e que devem ser contínuos, além de contribuir individualmente na vida de cada paciente</w:t>
      </w:r>
      <w:r>
        <w:rPr>
          <w:rFonts w:ascii="Arial" w:eastAsia="SimSun" w:hAnsi="Arial"/>
          <w:sz w:val="24"/>
          <w:szCs w:val="24"/>
        </w:rPr>
        <w:t xml:space="preserve">. </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Em concordância com o estudo de Ribeiro (2023) que deixa claro a necessidade do poder executivo na atuação na esfera da saúde, isto é, na criação de políticas públicas para auxílio ao âmbito da saúde, além da fiscalização na efetividade dos tratamentos já oferecidos, seja na demora dos atendimentos, na falta de profissionais capacitados ou em falta de estrutura.</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Nesse sentido, a inclusão dos portadores de TEA é um assunto frequentemente debatido e que tem grande relevância em âmbito nacional. A inclusão dos portadores de TEA como também pessoas com deficiência, é um salto enorme para que o Brasil se torne um país inclusivo e igual em oportunidades, a buscar de forma justa e igualitária tornar todos sem distinção com os mesmos direitos, excluindo o preconceito e tornando os ambientes </w:t>
      </w:r>
      <w:r>
        <w:rPr>
          <w:rFonts w:ascii="Arial" w:hAnsi="Arial"/>
          <w:sz w:val="24"/>
          <w:szCs w:val="24"/>
          <w:lang w:val="pt-BR"/>
        </w:rPr>
        <w:t>acessíveis</w:t>
      </w:r>
      <w:r>
        <w:rPr>
          <w:rFonts w:ascii="Arial" w:hAnsi="Arial"/>
          <w:sz w:val="24"/>
          <w:szCs w:val="24"/>
        </w:rPr>
        <w:t xml:space="preserve"> para todos. </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O direito à inclusão ficou evidente e mais visível com a real utilização de leis que garantem e promovem a inclusão dos portadores do TEA. Nesse sentido, C</w:t>
      </w:r>
      <w:r>
        <w:rPr>
          <w:rFonts w:ascii="Arial" w:hAnsi="Arial"/>
          <w:sz w:val="24"/>
          <w:szCs w:val="24"/>
          <w:lang w:val="pt-BR"/>
        </w:rPr>
        <w:t xml:space="preserve">unha </w:t>
      </w:r>
      <w:r>
        <w:rPr>
          <w:rFonts w:ascii="Arial" w:hAnsi="Arial"/>
          <w:sz w:val="24"/>
          <w:szCs w:val="24"/>
        </w:rPr>
        <w:t xml:space="preserve">(2024) ressalta a importância sobre a inclusão dos autistas e outros aspectos na criação de </w:t>
      </w:r>
      <w:r>
        <w:rPr>
          <w:rFonts w:ascii="Arial" w:hAnsi="Arial"/>
          <w:sz w:val="24"/>
          <w:szCs w:val="24"/>
        </w:rPr>
        <w:lastRenderedPageBreak/>
        <w:t>políticas públicas. Trata-se do quanto essa questão evoluiu</w:t>
      </w:r>
      <w:r>
        <w:rPr>
          <w:rFonts w:ascii="Arial" w:hAnsi="Arial"/>
          <w:sz w:val="24"/>
          <w:szCs w:val="24"/>
          <w:lang w:val="pt-BR"/>
        </w:rPr>
        <w:t xml:space="preserve"> </w:t>
      </w:r>
      <w:r>
        <w:rPr>
          <w:rFonts w:ascii="Arial" w:hAnsi="Arial"/>
          <w:sz w:val="24"/>
          <w:szCs w:val="24"/>
        </w:rPr>
        <w:t>no Brasil.  Todavia, não cabe somente a criação de normas, mas também políticas públicas conscientizando sobre a aceitação dos indivíduos da comunidade, no tocante à aceitação a inclusão e o respeito  em consonância, transformando locais sociais um ambiente de todos.</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No </w:t>
      </w:r>
      <w:r>
        <w:rPr>
          <w:rFonts w:ascii="Arial" w:hAnsi="Arial"/>
          <w:sz w:val="24"/>
          <w:szCs w:val="24"/>
          <w:lang w:val="pt-BR"/>
        </w:rPr>
        <w:t>B</w:t>
      </w:r>
      <w:r>
        <w:rPr>
          <w:rFonts w:ascii="Arial" w:hAnsi="Arial"/>
          <w:sz w:val="24"/>
          <w:szCs w:val="24"/>
        </w:rPr>
        <w:t xml:space="preserve">rasil fica claro a evolução nesses quesitos a se comparem com tempos atrás, mas fica escancarados também necessidades de mudanças em várias </w:t>
      </w:r>
      <w:r>
        <w:rPr>
          <w:rFonts w:ascii="Arial" w:hAnsi="Arial"/>
          <w:sz w:val="24"/>
          <w:szCs w:val="24"/>
          <w:lang w:val="pt-BR"/>
        </w:rPr>
        <w:t>áreas</w:t>
      </w:r>
      <w:r>
        <w:rPr>
          <w:rFonts w:ascii="Arial" w:hAnsi="Arial"/>
          <w:sz w:val="24"/>
          <w:szCs w:val="24"/>
        </w:rPr>
        <w:t xml:space="preserve"> buscando uma igualdade de direitos para os portadores do TEA para com a população em geral, desde uma melhora nos sistemas de saúde para resguardar uma vida digna e seus direitos à saúde garantidos, para uma melhor qualidade de vida dos portadores e seus familiares, melhora nas estruturas, na capacitação de professores, e também de profissionais da saúde que tem papel fundamental na evolução destes pacientes, que pensem realmente numa vida justa e menos árdua para os portadores do espectro autista.  Paragrafo repetido em outro momento do texto</w:t>
      </w:r>
    </w:p>
    <w:p w:rsidR="009D60B7" w:rsidRDefault="00425C09">
      <w:pPr>
        <w:widowControl/>
        <w:spacing w:line="360" w:lineRule="auto"/>
        <w:ind w:left="142" w:firstLine="709"/>
        <w:jc w:val="both"/>
        <w:rPr>
          <w:rFonts w:ascii="Arial" w:hAnsi="Arial"/>
          <w:sz w:val="24"/>
          <w:szCs w:val="24"/>
        </w:rPr>
      </w:pPr>
      <w:r>
        <w:rPr>
          <w:rFonts w:ascii="Arial" w:eastAsia="SimSun" w:hAnsi="Arial"/>
          <w:sz w:val="24"/>
          <w:szCs w:val="24"/>
        </w:rPr>
        <w:t>A efetividade dos direitos fundamentais e a concretização dos princípios constitucionais não se esgotam no plano teórico, exigindo a atuação prática do Estado por meio de instrumentos capazes de promover a inclusão social. Nesse contexto, as políticas públicas assumem papel central como mecanismos de materialização desses direitos, especialmente no que se refere à inclusão da pessoa com Transtorno do Espectro Autista.</w:t>
      </w:r>
    </w:p>
    <w:p w:rsidR="009D60B7" w:rsidRDefault="009D60B7">
      <w:pPr>
        <w:widowControl/>
        <w:spacing w:line="360" w:lineRule="auto"/>
        <w:jc w:val="both"/>
        <w:rPr>
          <w:rFonts w:ascii="Arial" w:hAnsi="Arial"/>
          <w:sz w:val="24"/>
          <w:szCs w:val="24"/>
        </w:rPr>
      </w:pPr>
    </w:p>
    <w:p w:rsidR="009D60B7" w:rsidRDefault="00425C09">
      <w:pPr>
        <w:widowControl/>
        <w:spacing w:line="360" w:lineRule="auto"/>
        <w:jc w:val="both"/>
        <w:rPr>
          <w:rFonts w:ascii="Arial" w:hAnsi="Arial"/>
          <w:sz w:val="24"/>
          <w:szCs w:val="24"/>
        </w:rPr>
      </w:pPr>
      <w:r>
        <w:rPr>
          <w:rFonts w:ascii="Arial" w:hAnsi="Arial"/>
          <w:sz w:val="24"/>
          <w:szCs w:val="24"/>
        </w:rPr>
        <w:t>2.</w:t>
      </w:r>
      <w:r>
        <w:rPr>
          <w:rFonts w:ascii="Arial" w:hAnsi="Arial"/>
          <w:sz w:val="24"/>
          <w:szCs w:val="24"/>
          <w:lang w:val="pt-BR"/>
        </w:rPr>
        <w:t>2</w:t>
      </w:r>
      <w:r>
        <w:rPr>
          <w:rFonts w:ascii="Arial" w:hAnsi="Arial"/>
          <w:sz w:val="24"/>
          <w:szCs w:val="24"/>
        </w:rPr>
        <w:t xml:space="preserve"> Políticas Públicas como instrumentos de inclusão e incorporação no Brasil</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A inclusão de pessoas com TEA é uma questão de relevância global, refletindo o compromisso da sociedade em respeitar e valorizar a diversidade humana. A Lei 13.146/15 em seu artigo 53, diz o seguinte: “A acessibilidade é direito que garante à pessoa com deficiência ou com mobilidade reduzida viver de forma independente e exercer seus direitos de cidadania e de participação social.” (Brasil, 2015, </w:t>
      </w:r>
      <w:r>
        <w:rPr>
          <w:rFonts w:ascii="Arial" w:hAnsi="Arial"/>
          <w:i/>
          <w:iCs/>
          <w:sz w:val="24"/>
          <w:szCs w:val="24"/>
        </w:rPr>
        <w:t>online</w:t>
      </w:r>
      <w:r>
        <w:rPr>
          <w:rFonts w:ascii="Arial" w:hAnsi="Arial"/>
          <w:sz w:val="24"/>
          <w:szCs w:val="24"/>
        </w:rPr>
        <w:t>)</w:t>
      </w:r>
    </w:p>
    <w:p w:rsidR="009D60B7" w:rsidRDefault="00425C09">
      <w:pPr>
        <w:widowControl/>
        <w:spacing w:line="360" w:lineRule="auto"/>
        <w:ind w:left="142" w:firstLine="709"/>
        <w:jc w:val="both"/>
        <w:rPr>
          <w:rFonts w:ascii="Arial" w:hAnsi="Arial"/>
          <w:sz w:val="24"/>
          <w:szCs w:val="24"/>
        </w:rPr>
      </w:pPr>
      <w:r>
        <w:rPr>
          <w:rFonts w:ascii="Arial" w:hAnsi="Arial"/>
          <w:bCs/>
          <w:sz w:val="24"/>
          <w:szCs w:val="24"/>
        </w:rPr>
        <w:t xml:space="preserve">Nesse sentido, é notório observar a crescente preocupação do poder público com esses indivíduos, entretanto não é o suficiente, visto que a compreensão das complexidades envolvidas na inclusão de portadores do TEA pode levar a intervenções mais competentes e a políticas públicas mais inclusivas e equitativas. </w:t>
      </w:r>
      <w:r>
        <w:rPr>
          <w:rFonts w:ascii="Arial" w:hAnsi="Arial"/>
          <w:sz w:val="24"/>
          <w:szCs w:val="24"/>
        </w:rPr>
        <w:t>Guareschi, Alves, Naujorks (2016)</w:t>
      </w:r>
    </w:p>
    <w:p w:rsidR="009D60B7" w:rsidRDefault="00425C09">
      <w:pPr>
        <w:widowControl/>
        <w:spacing w:line="360" w:lineRule="auto"/>
        <w:ind w:left="142" w:firstLine="709"/>
        <w:jc w:val="both"/>
        <w:rPr>
          <w:rFonts w:ascii="Arial" w:hAnsi="Arial"/>
          <w:sz w:val="24"/>
          <w:szCs w:val="24"/>
        </w:rPr>
      </w:pPr>
      <w:r>
        <w:rPr>
          <w:rFonts w:ascii="Arial" w:hAnsi="Arial"/>
          <w:bCs/>
          <w:sz w:val="24"/>
          <w:szCs w:val="24"/>
        </w:rPr>
        <w:t>De acordo com B</w:t>
      </w:r>
      <w:r>
        <w:rPr>
          <w:rFonts w:ascii="Arial" w:hAnsi="Arial"/>
          <w:bCs/>
          <w:sz w:val="24"/>
          <w:szCs w:val="24"/>
          <w:lang w:val="pt-BR"/>
        </w:rPr>
        <w:t>enitez</w:t>
      </w:r>
      <w:r>
        <w:rPr>
          <w:rFonts w:ascii="Arial" w:hAnsi="Arial"/>
          <w:bCs/>
          <w:sz w:val="24"/>
          <w:szCs w:val="24"/>
        </w:rPr>
        <w:t xml:space="preserve"> e D</w:t>
      </w:r>
      <w:r>
        <w:rPr>
          <w:rFonts w:ascii="Arial" w:hAnsi="Arial"/>
          <w:bCs/>
          <w:sz w:val="24"/>
          <w:szCs w:val="24"/>
          <w:lang w:val="pt-BR"/>
        </w:rPr>
        <w:t>omenicani</w:t>
      </w:r>
      <w:r>
        <w:rPr>
          <w:rFonts w:ascii="Arial" w:hAnsi="Arial"/>
          <w:bCs/>
          <w:sz w:val="24"/>
          <w:szCs w:val="24"/>
        </w:rPr>
        <w:t xml:space="preserve"> (2015) os comportamentos desse transtorno se tornam mais expressivos à medida que a idade avança, refletindo-se nas interações sociais mais amplas e em comportamentos não verbais. Isso inclui a </w:t>
      </w:r>
      <w:r>
        <w:rPr>
          <w:rFonts w:ascii="Arial" w:hAnsi="Arial"/>
          <w:bCs/>
          <w:sz w:val="24"/>
          <w:szCs w:val="24"/>
        </w:rPr>
        <w:lastRenderedPageBreak/>
        <w:t>capacidade de manter contato visual direto, expressar-se por meio de expressões faciais, gestos corporais e outros meios que influenciam a interação do indivíduo com o ambiente que o cerca. Diante disso, é fundamental ressaltar que cada indivíduo possuí suas pr</w:t>
      </w:r>
      <w:r>
        <w:rPr>
          <w:rFonts w:ascii="Arial" w:hAnsi="Arial"/>
          <w:bCs/>
          <w:sz w:val="24"/>
          <w:szCs w:val="24"/>
          <w:lang w:val="pt-BR"/>
        </w:rPr>
        <w:t>ó</w:t>
      </w:r>
      <w:r>
        <w:rPr>
          <w:rFonts w:ascii="Arial" w:hAnsi="Arial"/>
          <w:bCs/>
          <w:sz w:val="24"/>
          <w:szCs w:val="24"/>
        </w:rPr>
        <w:t>p</w:t>
      </w:r>
      <w:r>
        <w:rPr>
          <w:rFonts w:ascii="Arial" w:hAnsi="Arial"/>
          <w:bCs/>
          <w:sz w:val="24"/>
          <w:szCs w:val="24"/>
          <w:lang w:val="pt-BR"/>
        </w:rPr>
        <w:t>r</w:t>
      </w:r>
      <w:r>
        <w:rPr>
          <w:rFonts w:ascii="Arial" w:hAnsi="Arial"/>
          <w:bCs/>
          <w:sz w:val="24"/>
          <w:szCs w:val="24"/>
        </w:rPr>
        <w:t>ias particularidades, portanto cada pessoa deve ser tratada de forma individual, de acordo com suas necessidades.</w:t>
      </w:r>
    </w:p>
    <w:p w:rsidR="009D60B7" w:rsidRDefault="00425C09">
      <w:pPr>
        <w:widowControl/>
        <w:tabs>
          <w:tab w:val="left" w:pos="855"/>
        </w:tabs>
        <w:spacing w:line="360" w:lineRule="auto"/>
        <w:ind w:left="142" w:firstLine="709"/>
        <w:jc w:val="both"/>
        <w:rPr>
          <w:rFonts w:ascii="Arial" w:hAnsi="Arial"/>
          <w:sz w:val="24"/>
          <w:szCs w:val="24"/>
        </w:rPr>
      </w:pPr>
      <w:r>
        <w:rPr>
          <w:rFonts w:ascii="Arial" w:hAnsi="Arial"/>
          <w:sz w:val="24"/>
          <w:szCs w:val="24"/>
        </w:rPr>
        <w:t xml:space="preserve">Diante desse contexto, o uso de cães de apoio emocional, é uma das formas de terapia para o desenvolvimento de interações sociais, bem como para atuarem no auxílio das atividades corriqueiras do </w:t>
      </w:r>
      <w:r>
        <w:rPr>
          <w:rFonts w:ascii="Arial" w:hAnsi="Arial"/>
          <w:sz w:val="24"/>
          <w:szCs w:val="24"/>
          <w:lang w:val="pt-BR"/>
        </w:rPr>
        <w:t>quotidiano</w:t>
      </w:r>
      <w:r>
        <w:rPr>
          <w:rFonts w:ascii="Arial" w:hAnsi="Arial"/>
          <w:sz w:val="24"/>
          <w:szCs w:val="24"/>
        </w:rPr>
        <w:t>,</w:t>
      </w:r>
      <w:r>
        <w:rPr>
          <w:rFonts w:ascii="Arial" w:hAnsi="Arial"/>
          <w:sz w:val="24"/>
          <w:szCs w:val="24"/>
          <w:lang w:val="pt-BR"/>
        </w:rPr>
        <w:t xml:space="preserve"> pois é uma técnica de intervenção que utiliza a ajuda de cães durante o processo  terapêutico, sem  o uso  de medicamentos, onde apenas a presença do animal trás calma, tranquilidade e identifica quando o paciente está prestes a ter crises decorrentes do transtorno.  Ribeiro, Panzenhagen, Luz, Henkes (2023).</w:t>
      </w:r>
      <w:r>
        <w:rPr>
          <w:rFonts w:ascii="Arial" w:hAnsi="Arial"/>
          <w:color w:val="FF0000"/>
          <w:sz w:val="24"/>
          <w:szCs w:val="24"/>
          <w:lang w:val="pt-BR"/>
        </w:rPr>
        <w:t xml:space="preserve"> </w:t>
      </w:r>
    </w:p>
    <w:p w:rsidR="009D60B7" w:rsidRDefault="00425C09">
      <w:pPr>
        <w:widowControl/>
        <w:tabs>
          <w:tab w:val="left" w:pos="855"/>
        </w:tabs>
        <w:spacing w:line="360" w:lineRule="auto"/>
        <w:ind w:left="142" w:firstLine="709"/>
        <w:jc w:val="both"/>
        <w:rPr>
          <w:rFonts w:ascii="Arial" w:hAnsi="Arial"/>
          <w:sz w:val="24"/>
          <w:szCs w:val="24"/>
        </w:rPr>
      </w:pPr>
      <w:r>
        <w:rPr>
          <w:rFonts w:ascii="Arial" w:hAnsi="Arial"/>
          <w:sz w:val="24"/>
          <w:szCs w:val="24"/>
          <w:lang w:val="pt-BR"/>
        </w:rPr>
        <w:t>Entretanto, a terapia assistida por cães como apoio emocional ainda carece de regulamentação e de maior atenção na criação de políticas públicas específicas. Esse tipo de terapia vem demonstrando eficácia no tratamento do TEA, auxiliando no autocontrole do paciente em situações do cotidiano, proporcionando maior calma em interações sociais e ajudando na percepção de possíveis crises do portador do transtorno.</w:t>
      </w:r>
    </w:p>
    <w:p w:rsidR="009D60B7" w:rsidRDefault="00425C09">
      <w:pPr>
        <w:widowControl/>
        <w:tabs>
          <w:tab w:val="left" w:pos="855"/>
        </w:tabs>
        <w:spacing w:line="360" w:lineRule="auto"/>
        <w:ind w:left="142" w:firstLine="709"/>
        <w:jc w:val="both"/>
        <w:rPr>
          <w:rFonts w:ascii="Arial" w:hAnsi="Arial"/>
          <w:sz w:val="24"/>
          <w:szCs w:val="24"/>
        </w:rPr>
      </w:pPr>
      <w:r>
        <w:rPr>
          <w:rFonts w:ascii="Arial" w:hAnsi="Arial"/>
          <w:sz w:val="24"/>
          <w:szCs w:val="24"/>
          <w:lang w:val="pt-BR"/>
        </w:rPr>
        <w:t>Dessa forma, torna-se necessário um olhar mais atento para a regulamentação dos cães de apoio emocional, garantindo identificação adequada dos animais e treinamento específico. Assim, esses cães poderiam acompanhar seus pacientes em ambientes públicos e situações corriqueiras com maior segurança. Lima (2025) destaca a necessidade de equiparação do cão de apoio emocional ao cão-guia, tanto em direitos quanto em deveres, defendendo regulamentação, treinamento adequado e identificação do animal para assegurar acessibilidade e segurança à população em geral.</w:t>
      </w:r>
    </w:p>
    <w:p w:rsidR="009D60B7" w:rsidRDefault="00425C09">
      <w:pPr>
        <w:widowControl/>
        <w:spacing w:line="360" w:lineRule="auto"/>
        <w:ind w:left="142" w:firstLine="709"/>
        <w:jc w:val="both"/>
        <w:rPr>
          <w:rFonts w:ascii="Arial" w:hAnsi="Arial"/>
          <w:sz w:val="24"/>
          <w:szCs w:val="24"/>
        </w:rPr>
      </w:pPr>
      <w:r>
        <w:rPr>
          <w:rFonts w:ascii="Arial" w:hAnsi="Arial"/>
          <w:bCs/>
          <w:sz w:val="24"/>
          <w:szCs w:val="24"/>
          <w:lang w:val="pt-BR"/>
        </w:rPr>
        <w:t xml:space="preserve">Um caso que representa a necessidade e deixa claro a eficiência do cão de apoio emocional, foi um episódio onde o cão de apoio emocional Teddy foi impedido de acompanhar a criança com TEA Alice para um voo internacional para Portugal junto com a família, o cão ajuda Alice a prevenir crises chamadas metdown </w:t>
      </w:r>
      <w:r>
        <w:rPr>
          <w:rFonts w:ascii="Arial" w:hAnsi="Arial"/>
          <w:sz w:val="24"/>
          <w:szCs w:val="24"/>
        </w:rPr>
        <w:t>que é uma crise em que ela perde o controle sobre as suas próprias ações.</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 Isso às vezes resulta em ações </w:t>
      </w:r>
      <w:r>
        <w:rPr>
          <w:rFonts w:ascii="Arial" w:hAnsi="Arial"/>
          <w:sz w:val="24"/>
          <w:szCs w:val="24"/>
          <w:lang w:val="pt-BR"/>
        </w:rPr>
        <w:t>auto lesivas</w:t>
      </w:r>
      <w:r>
        <w:rPr>
          <w:rFonts w:ascii="Arial" w:hAnsi="Arial"/>
          <w:sz w:val="24"/>
          <w:szCs w:val="24"/>
        </w:rPr>
        <w:t xml:space="preserve"> e heterolesivas, mesmo com medida judicial, todo treinamento necessário para não causar transtornos aos demais passageiros foi negado pela companhia aérea, dificultando a viagem da criança e a </w:t>
      </w:r>
      <w:r>
        <w:rPr>
          <w:rFonts w:ascii="Arial" w:hAnsi="Arial"/>
          <w:sz w:val="24"/>
          <w:szCs w:val="24"/>
        </w:rPr>
        <w:lastRenderedPageBreak/>
        <w:t>falta que o animal estava fazendo tão longe, o que depois de alguns meses foi resolvido e o cão retornou ao encontro de Alice</w:t>
      </w:r>
      <w:r>
        <w:rPr>
          <w:rFonts w:ascii="Arial" w:hAnsi="Arial"/>
          <w:sz w:val="24"/>
          <w:szCs w:val="24"/>
          <w:lang w:val="pt-BR"/>
        </w:rPr>
        <w:t xml:space="preserve"> “Cão de serviço impedido de embarcar em voo tem função terapêutica e previne meltdown</w:t>
      </w:r>
      <w:r>
        <w:rPr>
          <w:rFonts w:ascii="Arial" w:hAnsi="Arial"/>
          <w:sz w:val="24"/>
          <w:szCs w:val="24"/>
        </w:rPr>
        <w:t xml:space="preserve"> </w:t>
      </w:r>
      <w:r>
        <w:rPr>
          <w:rFonts w:ascii="Arial" w:hAnsi="Arial"/>
          <w:sz w:val="24"/>
          <w:szCs w:val="24"/>
          <w:lang w:val="pt-BR"/>
        </w:rPr>
        <w:t xml:space="preserve"> de criança” G1 Rio de Janeiro</w:t>
      </w:r>
      <w:r>
        <w:rPr>
          <w:rFonts w:ascii="Arial" w:hAnsi="Arial"/>
          <w:sz w:val="24"/>
          <w:szCs w:val="24"/>
        </w:rPr>
        <w:t xml:space="preserve"> (2025).</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Contudo para uma sociedade mais inclusiva, carece por criações e aperfeiçoamento nas políticas públicas para que acontecimentos desse formato não ocorra com tanta </w:t>
      </w:r>
      <w:r>
        <w:rPr>
          <w:rFonts w:ascii="Arial" w:hAnsi="Arial"/>
          <w:sz w:val="24"/>
          <w:szCs w:val="24"/>
          <w:lang w:val="pt-BR"/>
        </w:rPr>
        <w:t>frequência</w:t>
      </w:r>
      <w:r>
        <w:rPr>
          <w:rFonts w:ascii="Arial" w:hAnsi="Arial"/>
          <w:sz w:val="24"/>
          <w:szCs w:val="24"/>
        </w:rPr>
        <w:t xml:space="preserve">, e passe a olhar verdadeiramente para a necessidade da população em geral, em especial minorias que precisam e </w:t>
      </w:r>
      <w:r>
        <w:rPr>
          <w:rFonts w:ascii="Arial" w:hAnsi="Arial"/>
          <w:sz w:val="24"/>
          <w:szCs w:val="24"/>
          <w:lang w:val="pt-BR"/>
        </w:rPr>
        <w:t>necessitam</w:t>
      </w:r>
      <w:r>
        <w:rPr>
          <w:rFonts w:ascii="Arial" w:hAnsi="Arial"/>
          <w:sz w:val="24"/>
          <w:szCs w:val="24"/>
        </w:rPr>
        <w:t xml:space="preserve"> de serviços como esse dos cães de apoio emocional. </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Segundo S</w:t>
      </w:r>
      <w:r>
        <w:rPr>
          <w:rFonts w:ascii="Arial" w:hAnsi="Arial"/>
          <w:sz w:val="24"/>
          <w:szCs w:val="24"/>
          <w:lang w:val="pt-BR"/>
        </w:rPr>
        <w:t xml:space="preserve">ilva </w:t>
      </w:r>
      <w:r>
        <w:rPr>
          <w:rFonts w:ascii="Arial" w:hAnsi="Arial"/>
          <w:sz w:val="24"/>
          <w:szCs w:val="24"/>
        </w:rPr>
        <w:t>(2011) a maior distribuição de recursos por meio do Estado ocorre por meio de políticas públicas, que tem como objeto atender as necessidades da sociedade, portanto deve-se olhar para a regulamentação e regularização dos cães de apoio emocional como prioridades visto as dificuldades enfrentadas pelos portadores e seus familiares, como forma de exercer a inclusão sem distinção de todos no meio social.</w:t>
      </w:r>
    </w:p>
    <w:p w:rsidR="009D60B7" w:rsidRDefault="00425C09">
      <w:pPr>
        <w:widowControl/>
        <w:spacing w:line="360" w:lineRule="auto"/>
        <w:ind w:left="142" w:firstLine="709"/>
        <w:jc w:val="both"/>
        <w:rPr>
          <w:rFonts w:ascii="Arial" w:hAnsi="Arial"/>
          <w:sz w:val="24"/>
          <w:szCs w:val="24"/>
        </w:rPr>
      </w:pPr>
      <w:r>
        <w:rPr>
          <w:rFonts w:ascii="Arial" w:hAnsi="Arial"/>
          <w:sz w:val="24"/>
          <w:szCs w:val="24"/>
        </w:rPr>
        <w:t xml:space="preserve">Em geral faz se necessário a criação de políticas públicas voltadas para os portadores do TEA, diante dos crescentes números de casos de autismo no Brasil, para </w:t>
      </w:r>
      <w:r>
        <w:rPr>
          <w:rFonts w:ascii="Arial" w:hAnsi="Arial"/>
          <w:sz w:val="24"/>
          <w:szCs w:val="24"/>
          <w:lang w:val="pt-BR"/>
        </w:rPr>
        <w:t>abranger</w:t>
      </w:r>
      <w:r>
        <w:rPr>
          <w:rFonts w:ascii="Arial" w:hAnsi="Arial"/>
          <w:sz w:val="24"/>
          <w:szCs w:val="24"/>
        </w:rPr>
        <w:t xml:space="preserve"> toda a população em forma total, visto a necessidade de formas para melhorar o convívio dos autistas no meio social por terem maiores </w:t>
      </w:r>
      <w:r>
        <w:rPr>
          <w:rFonts w:ascii="Arial" w:hAnsi="Arial"/>
          <w:sz w:val="24"/>
          <w:szCs w:val="24"/>
          <w:lang w:val="pt-BR"/>
        </w:rPr>
        <w:t>dificuldades</w:t>
      </w:r>
      <w:r>
        <w:rPr>
          <w:rFonts w:ascii="Arial" w:hAnsi="Arial"/>
          <w:sz w:val="24"/>
          <w:szCs w:val="24"/>
        </w:rPr>
        <w:t>, buscando regularizar e trazer tratamentos como a terapia assistida por cães de forma legal em sua totalidade no território brasileiro, como forma de maior inclusão dos portadores de deficiência. Portanto a sociedade tem de se cobrar verdadeiramente para que seus direitos sejam atendidos e assim,  exercerem a sua dignidade de vida humana.</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Assuntos recorrentes e atuais como políticas públicas para garantir a inclusão e incorporação no Brasil devem ser mais abordados, bem como também um olhar direcionado aos impactos da omissão do poder público e a necessidade de judicialização.</w:t>
      </w:r>
    </w:p>
    <w:p w:rsidR="009D60B7" w:rsidRDefault="009D60B7">
      <w:pPr>
        <w:widowControl/>
        <w:spacing w:line="360" w:lineRule="auto"/>
        <w:jc w:val="both"/>
        <w:rPr>
          <w:rFonts w:ascii="Arial" w:hAnsi="Arial"/>
          <w:b/>
          <w:bCs/>
          <w:sz w:val="24"/>
          <w:szCs w:val="24"/>
          <w:lang w:val="pt-BR"/>
        </w:rPr>
      </w:pPr>
    </w:p>
    <w:p w:rsidR="009D60B7" w:rsidRPr="0036782D" w:rsidRDefault="00425C09">
      <w:pPr>
        <w:widowControl/>
        <w:spacing w:line="360" w:lineRule="auto"/>
        <w:jc w:val="both"/>
        <w:rPr>
          <w:rFonts w:ascii="Arial" w:hAnsi="Arial"/>
          <w:sz w:val="24"/>
          <w:szCs w:val="24"/>
        </w:rPr>
      </w:pPr>
      <w:r w:rsidRPr="0036782D">
        <w:rPr>
          <w:rFonts w:ascii="Arial" w:hAnsi="Arial"/>
          <w:bCs/>
          <w:sz w:val="24"/>
          <w:szCs w:val="24"/>
          <w:lang w:val="pt-BR"/>
        </w:rPr>
        <w:t xml:space="preserve">3.IMPACTOS DA OMISSÃO DO PODER PÚBLICO E A NECESSIDADE DE JUDICIALIZAÇÃO.    </w:t>
      </w:r>
    </w:p>
    <w:p w:rsidR="009D60B7" w:rsidRDefault="00425C09">
      <w:pPr>
        <w:widowControl/>
        <w:spacing w:line="360" w:lineRule="auto"/>
        <w:ind w:left="142" w:firstLine="709"/>
        <w:jc w:val="both"/>
        <w:rPr>
          <w:rFonts w:ascii="Arial" w:hAnsi="Arial"/>
          <w:sz w:val="24"/>
          <w:szCs w:val="24"/>
          <w:lang w:val="pt-BR"/>
        </w:rPr>
      </w:pPr>
      <w:r>
        <w:rPr>
          <w:rFonts w:ascii="Arial" w:hAnsi="Arial"/>
          <w:sz w:val="24"/>
          <w:szCs w:val="24"/>
          <w:lang w:val="pt-BR"/>
        </w:rPr>
        <w:t xml:space="preserve">A saúde pública é um dos direitos garantidos na Constituição Federal Brasileira (1988), escancarando assim o dever do Estado resguardar este Direito à todos da população sem distinção de classes ou minorias, incluindo o TEA que necessita indispensavelmente de acompanhamentos médicos regularmente, terapias ocupacionais, profissionais qualificados para acompanhamento de sua evolução </w:t>
      </w:r>
      <w:r>
        <w:rPr>
          <w:rFonts w:ascii="Arial" w:hAnsi="Arial"/>
          <w:sz w:val="24"/>
          <w:szCs w:val="24"/>
          <w:lang w:val="pt-BR"/>
        </w:rPr>
        <w:lastRenderedPageBreak/>
        <w:t xml:space="preserve">cognitiva e emocional, o que nem sempre são oferecidos de forma descomplicada por meio do Estado. </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Sendo assim omisso quanto à sua obrigação resguardada por lei, formas eficazes de garantir o direito à saúde principalmente para os portadores do TEA são trazidas diariamente, mas nem sempre são oferecidas pelo próprio Estado, portando a grande parte dos que precisam dos serviços e não possuem recursos para ser realizado por meio próprio acabam tendo o desenvolvimento prejudicado. Além da omissão, carece que o Legislativo crie e regularize leis aprovando tratamentos novos e que são verdadeiramente válidos no tratamento do TEA, para um amplo acesso não apenas a uma pequena minoria da sociedade, como a regularização dos cães de apoio emocional, visando amenizar o desequilíbrio emocional presente em pessoas com deficiência mais especificamente o TEA,</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Em concordância com os estudos de Lima e Freitas (2026), a omissão do cumprimento do dever do Estado na garantia do direito à saúde, traz inúmeros prejuízos e retrocessos para quem realmente depende desta garantia e por muitas vezes encontram direitos negados e oferecidos de forma rasa, não resolvendo o problema ou necessidade pretendida, como os autores deixam explícitos em seus estudos, a omissão resulta em danos irreversíveis como a ausência de profissionais qualificados, a falta de locais adequados e adaptados para acompanhamento dos pacientes necessitados, além da morosidade nos atendimentos, obtendo inúmeros danos à população necessitada, como em casos de TEA que se exige um tratamento contínuo e sem pausas, o desenvolvimento do paciente é prejudicado por tais omissões do estado.</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O direito a cães de apoio emocional necessita atualmente de criação de regulamentação legal, para acesso a benefícios da terapia como equilíbrio emocional, desenvolvimento cognitivo, e em situações de interação social seja mais tranquila por parte do portador do TEA, mas carece de regularização para ter devido treinamento ao cão para evitar acidentes com o paciente e a população em geral, e uma identificação do animal para o regular acompanhamento a pacientes em locais públicos</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 xml:space="preserve"> Lima (2025) traz um olhar crítico sobre a criação de projetos de lei para regularizar a utilização dos cães de apoio emocional, ressalta a importância do serviço oferecido pelo animal com função terapêutica e destaca que deve-se reestruturar a redação do projeto de lei n°33/2022 (2022) no sentido: não se deve comparar o serviço </w:t>
      </w:r>
      <w:r>
        <w:rPr>
          <w:rFonts w:ascii="Arial" w:hAnsi="Arial"/>
          <w:sz w:val="24"/>
          <w:szCs w:val="24"/>
          <w:lang w:val="pt-BR"/>
        </w:rPr>
        <w:lastRenderedPageBreak/>
        <w:t>prestado pelo cães de apoio emocional com os prestados pelo cão-guia, isto porque, é necessário um maior preparo e treinamento, por parte do cão-guia.</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 xml:space="preserve"> Lima (2025) defende os benefícios para utilitários dos serviços dos cães de apoio emocional, que possuem uma função terapêutica, haja vista, que os cães de apoio emocional atuam de forma essencial em casos dos pacientes portarem deficiências cognitivas, como é o caso do TEA.</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 xml:space="preserve">Segundo Roma(2016) os portadores do TEA que dispõe de dificuldades em interações sociais e inúmeras outras atividades são auxiliadas pelo cão de apoio emocional, que contribui para o controle em situações de maior dificuldade, onde sem a presença do mesmo torna-o ainda mais difícil. </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A vista disso, é notório que a inclusão das pessoas com Transtorno do Espectro Autista depende não apenas da existência de direitos previstos em lei, mas também da efetivação de políticas públicas capazes de garantir dignidade, acessibilidade e qualidade de vida. Nesse contexto, a terapia assistida por cães de apoio emocional demonstra resultados positivos no auxílio ao controle emocional e na inclusão social dos portadores do TEA, evidenciando a necessidade de regulamentação específica para assegurar segurança, reconhecimento e acesso adequado a esse suporte terapêutico. Assim, torna-se indispensável a atuação conjunta do Estado e da sociedade na promoção de medidas inclusivas que garantam o pleno exercício dos direitos fundamentais das pessoas com TEA.</w:t>
      </w:r>
    </w:p>
    <w:p w:rsidR="009D60B7" w:rsidRDefault="009D60B7">
      <w:pPr>
        <w:widowControl/>
        <w:spacing w:line="360" w:lineRule="auto"/>
        <w:jc w:val="both"/>
        <w:rPr>
          <w:rFonts w:ascii="Arial" w:hAnsi="Arial"/>
          <w:b/>
          <w:bCs/>
          <w:sz w:val="24"/>
          <w:szCs w:val="24"/>
          <w:lang w:val="pt-BR"/>
        </w:rPr>
      </w:pPr>
    </w:p>
    <w:p w:rsidR="009D60B7" w:rsidRPr="0036782D" w:rsidRDefault="00425C09">
      <w:pPr>
        <w:widowControl/>
        <w:spacing w:line="360" w:lineRule="auto"/>
        <w:jc w:val="both"/>
        <w:rPr>
          <w:rFonts w:ascii="Arial" w:hAnsi="Arial"/>
          <w:sz w:val="24"/>
          <w:szCs w:val="24"/>
        </w:rPr>
      </w:pPr>
      <w:r w:rsidRPr="0036782D">
        <w:rPr>
          <w:rFonts w:ascii="Arial" w:hAnsi="Arial"/>
          <w:bCs/>
          <w:sz w:val="24"/>
          <w:szCs w:val="24"/>
          <w:lang w:val="pt-BR"/>
        </w:rPr>
        <w:t>CONCLUSÃO</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 xml:space="preserve">Diante do exposto no presente estudo, ressalta-se a importância das terapias realizadas quanto ao tratamento do transtorno do espectro autista, em especial a terapia assistida por cães de apoio emocional. São inúmeros os benefícios expostos no presente estudo, sendo uma delas a assistência em atividades corriqueiras por parte dos portadores do tal transtorno que o torna essencial, auxiliando aqueles que enfrentam dificuldades ajudando-os a manter o controle emocional, trazendo segurança em sua rotina apenas por sua presença que acalma os seus pacientes. </w:t>
      </w:r>
    </w:p>
    <w:p w:rsidR="009D60B7" w:rsidRDefault="00425C09">
      <w:pPr>
        <w:widowControl/>
        <w:spacing w:line="360" w:lineRule="auto"/>
        <w:ind w:left="142" w:firstLine="709"/>
        <w:jc w:val="both"/>
        <w:rPr>
          <w:rFonts w:ascii="Arial" w:hAnsi="Arial"/>
          <w:sz w:val="24"/>
          <w:szCs w:val="24"/>
          <w:lang w:val="pt-BR"/>
        </w:rPr>
      </w:pPr>
      <w:r>
        <w:rPr>
          <w:rFonts w:ascii="Arial" w:hAnsi="Arial"/>
          <w:sz w:val="24"/>
          <w:szCs w:val="24"/>
          <w:lang w:val="pt-BR"/>
        </w:rPr>
        <w:t xml:space="preserve">O Transtorno do Espectro Autista (TEA) vem se tornando cada vez mais presente no contexto contemporâneo, trazendo inúmeras dificuldades ao longo da vida do indivíduo, desde a infância até a fase adulta. Além dos desafios decorrentes do próprio transtorno, são evidentes as barreiras enfrentadas em razão da negligência estatal na efetivação de direitos fundamentais, uma vez que o Estado nem sempre </w:t>
      </w:r>
      <w:r>
        <w:rPr>
          <w:rFonts w:ascii="Arial" w:hAnsi="Arial"/>
          <w:sz w:val="24"/>
          <w:szCs w:val="24"/>
          <w:lang w:val="pt-BR"/>
        </w:rPr>
        <w:lastRenderedPageBreak/>
        <w:t xml:space="preserve">cumpre adequadamente sua função de garantir proteção e igualdade a todos os cidadãos, sem distinção. </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 xml:space="preserve">Nesse sentido, observa-se a deficiência do Sistema Único de Saúde (SUS), que muitas vezes não dispõe de recursos, estrutura e profissionais suficientes para oferecer terapias e tratamentos essenciais ao desenvolvimento das pessoas com TEA. Tal realidade compromete a continuidade do tratamento, retarda a evolução do paciente e prejudica a garantia de uma vida digna, direito assegurado pela Constituição Federal de 1988. </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O Estatuto da pessoa com deficiência presente na Lei 13.146 (2015) evoluiu significativamente, pois incluiu os portadores do transtorno do espectro autista como portador de deficiência garantindo os mesmos direitos em Lei. Entretanto, esse fato ainda carece de uma fiscalização mais abrangente para que não existam direitos negligenciados e não respeitados. Assim, a fiscalização por parte do Poder Público ofereceria maior segurança aos que necessitam dos serviços públicos garantidos na presente Lei, mesmo com as dificuldades garantindo uma maior evolução em todos os sentidos.</w:t>
      </w:r>
      <w:r>
        <w:rPr>
          <w:rFonts w:ascii="Arial" w:hAnsi="Arial"/>
          <w:color w:val="FF0000"/>
          <w:sz w:val="24"/>
          <w:szCs w:val="24"/>
          <w:lang w:val="pt-BR"/>
        </w:rPr>
        <w:t xml:space="preserve"> </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A terapia assistida por cães de apoio emocional é essencial para um desenvolvimento emocional e cognitivo para os portadores do transtorno do espectro autista, em especial, pois ajuda-os a realizarem atividades antes frustrantes como atividades normais do cotidiano para que mantenham a calma como em transportes públicos, interações sociais e inúmeros outros afazeres. Contudo, mesmo sendo eficiente no tratamento, esse modo de apoio ainda é um pouco desconhecido e pouco utilizado, pois faltam regularizações e legislações específicas para a terapia.</w:t>
      </w:r>
      <w:r>
        <w:rPr>
          <w:rFonts w:ascii="Arial" w:hAnsi="Arial"/>
          <w:color w:val="FF0000"/>
          <w:sz w:val="24"/>
          <w:szCs w:val="24"/>
          <w:lang w:val="pt-BR"/>
        </w:rPr>
        <w:t xml:space="preserve"> </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Conclui-se, portanto, diante do presente estudo, que há necessidade de maior fiscalização por parte do Estado para que nenhum direito assegurado em lei seja negligenciado ou retirado das pessoas que mais necessitam de proteção, como os portadores do Transtorno do Espectro Autista. Além disso, evidencia-se a importância da regulamentação das terapias assistidas por cães de apoio emocional, uma vez que esses animais exercem funções excepcionais nos tratamentos do TEA e nas atividades do cotidiano, desempenhando papel direto, específico e fundamental na evolução do paciente.</w:t>
      </w:r>
    </w:p>
    <w:p w:rsidR="009D60B7" w:rsidRDefault="00425C09">
      <w:pPr>
        <w:widowControl/>
        <w:spacing w:line="360" w:lineRule="auto"/>
        <w:ind w:left="142" w:firstLine="709"/>
        <w:jc w:val="both"/>
        <w:rPr>
          <w:rFonts w:ascii="Arial" w:hAnsi="Arial"/>
          <w:sz w:val="24"/>
          <w:szCs w:val="24"/>
        </w:rPr>
      </w:pPr>
      <w:r>
        <w:rPr>
          <w:rFonts w:ascii="Arial" w:hAnsi="Arial"/>
          <w:sz w:val="24"/>
          <w:szCs w:val="24"/>
          <w:lang w:val="pt-BR"/>
        </w:rPr>
        <w:t xml:space="preserve">Nesse sentido, faz-se necessária a criação de regulamentações próprias, bem como de critérios obrigatórios relacionados ao treinamento e à identificação dos cães de apoio emocional. Dessa forma, esses animais poderão transitar adequadamente em </w:t>
      </w:r>
      <w:r>
        <w:rPr>
          <w:rFonts w:ascii="Arial" w:hAnsi="Arial"/>
          <w:sz w:val="24"/>
          <w:szCs w:val="24"/>
          <w:lang w:val="pt-BR"/>
        </w:rPr>
        <w:lastRenderedPageBreak/>
        <w:t>ambientes públicos e privados, além de acompanhar seus pacientes em transportes terrestres e aéreos sem impedimentos indevidos. Assim, tais medidas contribuirão para a efetivação dos direitos fundamentais e para a garantia da dignidade da pessoa com Transtorno do Espectro Autista.</w:t>
      </w:r>
    </w:p>
    <w:p w:rsidR="009D60B7" w:rsidRDefault="009D60B7">
      <w:pPr>
        <w:widowControl/>
        <w:spacing w:line="360" w:lineRule="auto"/>
        <w:ind w:left="142"/>
        <w:jc w:val="both"/>
        <w:rPr>
          <w:rFonts w:ascii="Arial" w:hAnsi="Arial"/>
          <w:b/>
          <w:bCs/>
          <w:sz w:val="24"/>
          <w:szCs w:val="24"/>
        </w:rPr>
      </w:pPr>
    </w:p>
    <w:p w:rsidR="009D60B7" w:rsidRPr="0036782D" w:rsidRDefault="00425C09">
      <w:pPr>
        <w:widowControl/>
        <w:spacing w:line="360" w:lineRule="auto"/>
        <w:ind w:left="142"/>
        <w:jc w:val="both"/>
        <w:rPr>
          <w:rFonts w:ascii="Arial" w:hAnsi="Arial"/>
          <w:sz w:val="24"/>
          <w:szCs w:val="24"/>
        </w:rPr>
      </w:pPr>
      <w:r w:rsidRPr="0036782D">
        <w:rPr>
          <w:rFonts w:ascii="Arial" w:hAnsi="Arial"/>
          <w:bCs/>
          <w:sz w:val="24"/>
          <w:szCs w:val="24"/>
        </w:rPr>
        <w:t>REFERÊNCIAS</w:t>
      </w:r>
    </w:p>
    <w:p w:rsidR="009D60B7" w:rsidRDefault="00425C09">
      <w:pPr>
        <w:spacing w:before="240" w:after="240"/>
        <w:ind w:left="142"/>
        <w:rPr>
          <w:sz w:val="24"/>
          <w:szCs w:val="24"/>
        </w:rPr>
      </w:pPr>
      <w:r>
        <w:rPr>
          <w:rFonts w:ascii="Arial" w:hAnsi="Arial"/>
          <w:sz w:val="24"/>
          <w:szCs w:val="24"/>
        </w:rPr>
        <w:t xml:space="preserve">BRASIL. Constituição (1988). </w:t>
      </w:r>
      <w:r>
        <w:rPr>
          <w:rFonts w:ascii="Arial" w:hAnsi="Arial"/>
          <w:b/>
          <w:bCs/>
          <w:sz w:val="24"/>
          <w:szCs w:val="24"/>
        </w:rPr>
        <w:t>Constituição da República Federativa do Brasil de 1988.</w:t>
      </w:r>
      <w:r>
        <w:rPr>
          <w:rFonts w:ascii="Arial" w:hAnsi="Arial"/>
          <w:sz w:val="24"/>
          <w:szCs w:val="24"/>
        </w:rPr>
        <w:t xml:space="preserve"> Brasília, DF: Presidência da República, [2016]. Disponível em: </w:t>
      </w:r>
      <w:hyperlink r:id="rId41">
        <w:r>
          <w:rPr>
            <w:rStyle w:val="Hyperlink1"/>
            <w:rFonts w:ascii="Arial" w:hAnsi="Arial"/>
            <w:sz w:val="24"/>
            <w:szCs w:val="24"/>
          </w:rPr>
          <w:t>http://www.planalto.gov.br/ccivil_03/constituicao/constituicao.htm</w:t>
        </w:r>
      </w:hyperlink>
      <w:r>
        <w:rPr>
          <w:rFonts w:ascii="Arial" w:hAnsi="Arial"/>
          <w:sz w:val="24"/>
          <w:szCs w:val="24"/>
        </w:rPr>
        <w:t>. Acesso em: 05 jan. 2026.</w:t>
      </w:r>
    </w:p>
    <w:p w:rsidR="009D60B7" w:rsidRDefault="00425C09">
      <w:pPr>
        <w:spacing w:before="240" w:after="240"/>
        <w:ind w:left="142"/>
        <w:rPr>
          <w:sz w:val="24"/>
          <w:szCs w:val="24"/>
        </w:rPr>
      </w:pPr>
      <w:r>
        <w:rPr>
          <w:rFonts w:ascii="Arial" w:hAnsi="Arial"/>
          <w:sz w:val="24"/>
          <w:szCs w:val="24"/>
        </w:rPr>
        <w:t>BRASIL. Constituição (1988). C</w:t>
      </w:r>
      <w:r>
        <w:rPr>
          <w:rFonts w:ascii="Arial" w:hAnsi="Arial"/>
          <w:b/>
          <w:bCs/>
          <w:sz w:val="24"/>
          <w:szCs w:val="24"/>
        </w:rPr>
        <w:t>onstituição da República Federativa do Brasil de 1988.</w:t>
      </w:r>
      <w:r>
        <w:rPr>
          <w:rFonts w:ascii="Arial" w:hAnsi="Arial"/>
          <w:sz w:val="24"/>
          <w:szCs w:val="24"/>
        </w:rPr>
        <w:t xml:space="preserve"> Brasília, DF: Presidência da República, [2016]. Disponível em: </w:t>
      </w:r>
      <w:hyperlink r:id="rId42">
        <w:r>
          <w:rPr>
            <w:rStyle w:val="Hyperlink1"/>
            <w:rFonts w:ascii="Arial" w:hAnsi="Arial"/>
            <w:sz w:val="24"/>
            <w:szCs w:val="24"/>
          </w:rPr>
          <w:t>http://www.planalto.gov.br/ccivil_03/constituicao/constituicao.htm</w:t>
        </w:r>
      </w:hyperlink>
      <w:r>
        <w:rPr>
          <w:rFonts w:ascii="Arial" w:hAnsi="Arial"/>
          <w:sz w:val="24"/>
          <w:szCs w:val="24"/>
        </w:rPr>
        <w:t>. Acesso em: 28 jan 2026.</w:t>
      </w:r>
    </w:p>
    <w:p w:rsidR="009D60B7" w:rsidRDefault="00425C09">
      <w:pPr>
        <w:spacing w:before="240" w:after="240"/>
        <w:ind w:left="142"/>
        <w:rPr>
          <w:sz w:val="24"/>
          <w:szCs w:val="24"/>
        </w:rPr>
      </w:pPr>
      <w:r>
        <w:rPr>
          <w:rFonts w:ascii="Arial" w:hAnsi="Arial"/>
          <w:sz w:val="24"/>
          <w:szCs w:val="24"/>
        </w:rPr>
        <w:t xml:space="preserve">BRASIL. Projeto de Lei 33, de 2022. </w:t>
      </w:r>
      <w:r>
        <w:rPr>
          <w:rFonts w:ascii="Arial" w:hAnsi="Arial"/>
          <w:b/>
          <w:bCs/>
          <w:sz w:val="24"/>
          <w:szCs w:val="24"/>
        </w:rPr>
        <w:t>Dispõe sobre o direito do portador de deficiência mental, intelectual ou sensorial de ingressar e permanecer em ambientes de uso coletivo acompanhado de cão de apoio emocional.</w:t>
      </w:r>
      <w:r>
        <w:rPr>
          <w:rFonts w:ascii="Arial" w:hAnsi="Arial"/>
          <w:sz w:val="24"/>
          <w:szCs w:val="24"/>
        </w:rPr>
        <w:t xml:space="preserve"> Diário Oficial do Senado: nº 1 de 2022, pp. 236-240. Disponível em: </w:t>
      </w:r>
      <w:hyperlink r:id="rId43">
        <w:r>
          <w:rPr>
            <w:rStyle w:val="Hyperlink1"/>
            <w:rFonts w:ascii="Arial" w:hAnsi="Arial"/>
            <w:sz w:val="24"/>
            <w:szCs w:val="24"/>
          </w:rPr>
          <w:t>https://legis.senado.leg.br/diarios/ver/109231?sequencia=237</w:t>
        </w:r>
      </w:hyperlink>
      <w:r>
        <w:rPr>
          <w:rFonts w:ascii="Arial" w:hAnsi="Arial"/>
          <w:sz w:val="24"/>
          <w:szCs w:val="24"/>
        </w:rPr>
        <w:t>. Acesso em: 13 abr. 2026.</w:t>
      </w:r>
    </w:p>
    <w:p w:rsidR="009D60B7" w:rsidRDefault="00425C09">
      <w:pPr>
        <w:spacing w:before="240" w:after="240"/>
        <w:ind w:left="142"/>
        <w:rPr>
          <w:sz w:val="24"/>
          <w:szCs w:val="24"/>
        </w:rPr>
      </w:pPr>
      <w:r>
        <w:rPr>
          <w:rFonts w:ascii="Arial" w:hAnsi="Arial"/>
          <w:sz w:val="24"/>
          <w:szCs w:val="24"/>
        </w:rPr>
        <w:t xml:space="preserve">CUNHA, S. N. da. </w:t>
      </w:r>
      <w:r>
        <w:rPr>
          <w:rFonts w:ascii="Arial" w:hAnsi="Arial"/>
          <w:b/>
          <w:bCs/>
          <w:sz w:val="24"/>
          <w:szCs w:val="24"/>
        </w:rPr>
        <w:t>Acesso aos direitos fundamentais das pessoas com autismo: desafios na implementação da inclusão.</w:t>
      </w:r>
      <w:r>
        <w:rPr>
          <w:rFonts w:ascii="Arial" w:hAnsi="Arial"/>
          <w:sz w:val="24"/>
          <w:szCs w:val="24"/>
        </w:rPr>
        <w:t xml:space="preserve"> </w:t>
      </w:r>
      <w:r>
        <w:rPr>
          <w:rFonts w:ascii="Arial" w:hAnsi="Arial"/>
          <w:i/>
          <w:iCs/>
          <w:sz w:val="24"/>
          <w:szCs w:val="24"/>
        </w:rPr>
        <w:t>Revista Gestão e Conhecimento</w:t>
      </w:r>
      <w:r>
        <w:rPr>
          <w:rFonts w:ascii="Arial" w:hAnsi="Arial"/>
          <w:sz w:val="24"/>
          <w:szCs w:val="24"/>
        </w:rPr>
        <w:t xml:space="preserve">, v. 18, n. 2, e374, 2024. Disponível em: </w:t>
      </w:r>
      <w:hyperlink r:id="rId44">
        <w:r>
          <w:rPr>
            <w:rStyle w:val="Hyperlink1"/>
            <w:rFonts w:ascii="Arial" w:hAnsi="Arial"/>
            <w:sz w:val="24"/>
            <w:szCs w:val="24"/>
          </w:rPr>
          <w:t>https://doi.org/10.55908/RGCV18N2-015</w:t>
        </w:r>
      </w:hyperlink>
      <w:r>
        <w:rPr>
          <w:rFonts w:ascii="Arial" w:hAnsi="Arial"/>
          <w:sz w:val="24"/>
          <w:szCs w:val="24"/>
        </w:rPr>
        <w:t>. Acesso em: 28 jan. 2026.</w:t>
      </w:r>
    </w:p>
    <w:p w:rsidR="009D60B7" w:rsidRDefault="00425C09">
      <w:pPr>
        <w:spacing w:before="240" w:after="240"/>
        <w:ind w:left="142"/>
        <w:rPr>
          <w:sz w:val="24"/>
          <w:szCs w:val="24"/>
        </w:rPr>
      </w:pPr>
      <w:r>
        <w:rPr>
          <w:rFonts w:ascii="Arial" w:hAnsi="Arial"/>
          <w:sz w:val="24"/>
          <w:szCs w:val="24"/>
        </w:rPr>
        <w:t xml:space="preserve">CUNHA, S. N. da. </w:t>
      </w:r>
      <w:r>
        <w:rPr>
          <w:rFonts w:ascii="Arial" w:hAnsi="Arial"/>
          <w:b/>
          <w:bCs/>
          <w:sz w:val="24"/>
          <w:szCs w:val="24"/>
        </w:rPr>
        <w:t>Acesso aos direitos fundamentais das pessoas com autismo: desafios na implementação da inclusão.</w:t>
      </w:r>
      <w:r>
        <w:rPr>
          <w:rFonts w:ascii="Arial" w:hAnsi="Arial"/>
          <w:sz w:val="24"/>
          <w:szCs w:val="24"/>
        </w:rPr>
        <w:t xml:space="preserve"> </w:t>
      </w:r>
      <w:r>
        <w:rPr>
          <w:rFonts w:ascii="Arial" w:hAnsi="Arial"/>
          <w:i/>
          <w:iCs/>
          <w:sz w:val="24"/>
          <w:szCs w:val="24"/>
        </w:rPr>
        <w:t>Revista Gestão e Conhecimento</w:t>
      </w:r>
      <w:r>
        <w:rPr>
          <w:rFonts w:ascii="Arial" w:hAnsi="Arial"/>
          <w:sz w:val="24"/>
          <w:szCs w:val="24"/>
        </w:rPr>
        <w:t xml:space="preserve">, v. 18, n. 2, e374, 2024. Disponível em: </w:t>
      </w:r>
      <w:hyperlink r:id="rId45">
        <w:r>
          <w:rPr>
            <w:rStyle w:val="Hyperlink1"/>
            <w:rFonts w:ascii="Arial" w:hAnsi="Arial"/>
            <w:sz w:val="24"/>
            <w:szCs w:val="24"/>
          </w:rPr>
          <w:t>https://doi.org/10.55908/RGCV18N2-015</w:t>
        </w:r>
      </w:hyperlink>
      <w:r>
        <w:rPr>
          <w:rFonts w:ascii="Arial" w:hAnsi="Arial"/>
          <w:sz w:val="24"/>
          <w:szCs w:val="24"/>
        </w:rPr>
        <w:t>. Acesso em 29 jan. 2026.</w:t>
      </w:r>
    </w:p>
    <w:p w:rsidR="009D60B7" w:rsidRDefault="00425C09">
      <w:pPr>
        <w:spacing w:before="240" w:after="240"/>
        <w:ind w:left="142"/>
        <w:rPr>
          <w:sz w:val="24"/>
          <w:szCs w:val="24"/>
        </w:rPr>
      </w:pPr>
      <w:r>
        <w:rPr>
          <w:rFonts w:ascii="Arial" w:hAnsi="Arial"/>
          <w:sz w:val="24"/>
          <w:szCs w:val="24"/>
        </w:rPr>
        <w:t xml:space="preserve">DANTAS, João Vitor e Lacerda. </w:t>
      </w:r>
      <w:r>
        <w:rPr>
          <w:rFonts w:ascii="Arial" w:hAnsi="Arial"/>
          <w:b/>
          <w:bCs/>
          <w:sz w:val="24"/>
          <w:szCs w:val="24"/>
        </w:rPr>
        <w:t>O direito social à educação: análise da inclusão educacional de pessoas com transtornos do espectro autista (TEA) à luz do ordenamento jurídico brasileiro.</w:t>
      </w:r>
      <w:r>
        <w:rPr>
          <w:rFonts w:ascii="Arial" w:hAnsi="Arial"/>
          <w:sz w:val="24"/>
          <w:szCs w:val="24"/>
        </w:rPr>
        <w:t xml:space="preserve"> 2025. 64 fls. Trabalho de Conclusão de Curso (Bacharelado em Ciências Jurídicas e Sociais - Direito) – Universidade Federal de Campina Grande, Sousa/PB, 2025. Disponível em: </w:t>
      </w:r>
      <w:hyperlink r:id="rId46">
        <w:r>
          <w:rPr>
            <w:rStyle w:val="Hyperlink1"/>
            <w:rFonts w:ascii="Arial" w:hAnsi="Arial"/>
            <w:sz w:val="24"/>
            <w:szCs w:val="24"/>
          </w:rPr>
          <w:t>https://dspace.sti.ufcg.edu.br/handle/riufcg/44020</w:t>
        </w:r>
      </w:hyperlink>
      <w:r>
        <w:rPr>
          <w:rFonts w:ascii="Arial" w:hAnsi="Arial"/>
          <w:sz w:val="24"/>
          <w:szCs w:val="24"/>
        </w:rPr>
        <w:t>. Acesso em: 15 dez. 2025.</w:t>
      </w:r>
    </w:p>
    <w:p w:rsidR="009D60B7" w:rsidRDefault="00425C09">
      <w:pPr>
        <w:spacing w:before="240" w:after="240"/>
        <w:ind w:left="142"/>
        <w:rPr>
          <w:sz w:val="24"/>
          <w:szCs w:val="24"/>
        </w:rPr>
      </w:pPr>
      <w:r>
        <w:rPr>
          <w:rFonts w:ascii="Arial" w:hAnsi="Arial"/>
          <w:sz w:val="24"/>
          <w:szCs w:val="24"/>
        </w:rPr>
        <w:t xml:space="preserve">DANTAS, João Vitor e Lacerda. </w:t>
      </w:r>
      <w:r>
        <w:rPr>
          <w:rFonts w:ascii="Arial" w:hAnsi="Arial"/>
          <w:b/>
          <w:bCs/>
          <w:sz w:val="24"/>
          <w:szCs w:val="24"/>
        </w:rPr>
        <w:t>O direito social à educação: análise da inclusão educacional de pessoas com transtornos do espectro autista (TEA) à luz do ordenamento jurídico brasileiro.</w:t>
      </w:r>
      <w:r>
        <w:rPr>
          <w:rFonts w:ascii="Arial" w:hAnsi="Arial"/>
          <w:sz w:val="24"/>
          <w:szCs w:val="24"/>
        </w:rPr>
        <w:t xml:space="preserve"> 2025. 64 fls. Trabalho de Conclusão de Curso (Bacharelado em Ciências Jurídicas e Sociais - Direito) – Universidade Federal de Campina Grande, Sousa/PB, 2025. Disponível em: </w:t>
      </w:r>
      <w:hyperlink r:id="rId47">
        <w:r>
          <w:rPr>
            <w:rStyle w:val="Hyperlink1"/>
            <w:rFonts w:ascii="Arial" w:hAnsi="Arial"/>
            <w:sz w:val="24"/>
            <w:szCs w:val="24"/>
          </w:rPr>
          <w:t>https://dspace.sti.ufcg.edu.br/handle/riufcg/44020</w:t>
        </w:r>
      </w:hyperlink>
      <w:r>
        <w:rPr>
          <w:rFonts w:ascii="Arial" w:hAnsi="Arial"/>
          <w:sz w:val="24"/>
          <w:szCs w:val="24"/>
        </w:rPr>
        <w:t>. Acesso em: 10 out. 2025.</w:t>
      </w:r>
    </w:p>
    <w:p w:rsidR="009D60B7" w:rsidRDefault="00425C09">
      <w:pPr>
        <w:spacing w:before="240" w:after="240"/>
        <w:ind w:left="142"/>
        <w:rPr>
          <w:rFonts w:ascii="Arial" w:hAnsi="Arial"/>
          <w:sz w:val="24"/>
          <w:szCs w:val="24"/>
        </w:rPr>
      </w:pPr>
      <w:r>
        <w:rPr>
          <w:rFonts w:ascii="Arial" w:hAnsi="Arial"/>
          <w:sz w:val="24"/>
          <w:szCs w:val="24"/>
        </w:rPr>
        <w:lastRenderedPageBreak/>
        <w:t xml:space="preserve">DE LIMA, Teófilo Lourenço; DE PAULA FREITAS, Keille Suellen. </w:t>
      </w:r>
      <w:r>
        <w:rPr>
          <w:rFonts w:ascii="Arial" w:hAnsi="Arial"/>
          <w:b/>
          <w:bCs/>
          <w:sz w:val="24"/>
          <w:szCs w:val="24"/>
        </w:rPr>
        <w:t>A responsabilidade civil do Estado por omissão no diagnóstico e tratamento precoce de crianças com autismo</w:t>
      </w:r>
      <w:r>
        <w:rPr>
          <w:rFonts w:ascii="Arial" w:hAnsi="Arial"/>
          <w:sz w:val="24"/>
          <w:szCs w:val="24"/>
        </w:rPr>
        <w:t xml:space="preserve">. </w:t>
      </w:r>
      <w:r>
        <w:rPr>
          <w:rFonts w:ascii="Arial" w:hAnsi="Arial"/>
          <w:i/>
          <w:iCs/>
          <w:sz w:val="24"/>
          <w:szCs w:val="24"/>
        </w:rPr>
        <w:t>NATIVA - Revista de Ciências, Tecnologia e Inovação</w:t>
      </w:r>
      <w:r>
        <w:rPr>
          <w:rFonts w:ascii="Arial" w:hAnsi="Arial"/>
          <w:sz w:val="24"/>
          <w:szCs w:val="24"/>
        </w:rPr>
        <w:t>, v. 9, n. 1, p. 41-48, 2026. Acesso em: 13 nov. 2026.</w:t>
      </w:r>
    </w:p>
    <w:p w:rsidR="009D60B7" w:rsidRPr="00761183" w:rsidRDefault="00425C09">
      <w:pPr>
        <w:spacing w:before="240" w:after="240"/>
        <w:ind w:left="142"/>
        <w:rPr>
          <w:rFonts w:ascii="Arial" w:hAnsi="Arial"/>
          <w:sz w:val="24"/>
          <w:szCs w:val="24"/>
          <w:lang w:val="en-US"/>
        </w:rPr>
      </w:pPr>
      <w:r>
        <w:rPr>
          <w:rFonts w:ascii="Arial" w:hAnsi="Arial"/>
          <w:sz w:val="24"/>
          <w:szCs w:val="24"/>
        </w:rPr>
        <w:t>GUARESCHI, Taís; ALVES, Marcia Doralina; NAUJORKS, Maria Inês. Autismo e políticas públicas de inclusão no Brasil. </w:t>
      </w:r>
      <w:r>
        <w:rPr>
          <w:rFonts w:ascii="Arial" w:hAnsi="Arial"/>
          <w:b/>
          <w:bCs/>
          <w:sz w:val="24"/>
          <w:szCs w:val="24"/>
          <w:lang w:val="en-US"/>
        </w:rPr>
        <w:t>Journal of Research in Special Educational Needs</w:t>
      </w:r>
      <w:r>
        <w:rPr>
          <w:rFonts w:ascii="Arial" w:hAnsi="Arial"/>
          <w:sz w:val="24"/>
          <w:szCs w:val="24"/>
          <w:lang w:val="en-US"/>
        </w:rPr>
        <w:t>, v. 16, p. 246-250, 2016. Acesso em: 15 dez. 2025.</w:t>
      </w:r>
    </w:p>
    <w:p w:rsidR="009D60B7" w:rsidRDefault="00425C09">
      <w:pPr>
        <w:spacing w:before="240" w:after="240"/>
        <w:ind w:left="142"/>
        <w:rPr>
          <w:sz w:val="24"/>
          <w:szCs w:val="24"/>
        </w:rPr>
      </w:pPr>
      <w:r>
        <w:rPr>
          <w:rFonts w:ascii="Arial" w:hAnsi="Arial"/>
          <w:sz w:val="24"/>
          <w:szCs w:val="24"/>
        </w:rPr>
        <w:t xml:space="preserve">G1. </w:t>
      </w:r>
      <w:r>
        <w:rPr>
          <w:rFonts w:ascii="Arial" w:hAnsi="Arial"/>
          <w:b/>
          <w:bCs/>
          <w:sz w:val="24"/>
          <w:szCs w:val="24"/>
        </w:rPr>
        <w:t>Cão de serviço impedido de embarcar previne meltdown.</w:t>
      </w:r>
      <w:r>
        <w:rPr>
          <w:rFonts w:ascii="Arial" w:hAnsi="Arial"/>
          <w:sz w:val="24"/>
          <w:szCs w:val="24"/>
        </w:rPr>
        <w:t xml:space="preserve"> Disponível em: </w:t>
      </w:r>
      <w:hyperlink r:id="rId48">
        <w:r>
          <w:rPr>
            <w:rStyle w:val="Hyperlink1"/>
            <w:rFonts w:ascii="Arial" w:hAnsi="Arial"/>
            <w:sz w:val="24"/>
            <w:szCs w:val="24"/>
          </w:rPr>
          <w:t>https://g1.globo.com/rj/rio-de-janeiro/noticia/2025/05/26/cao-de-servico-impedido-embarcar-previne-meltdown.ghtml</w:t>
        </w:r>
      </w:hyperlink>
      <w:r>
        <w:rPr>
          <w:rFonts w:ascii="Arial" w:hAnsi="Arial"/>
          <w:sz w:val="24"/>
          <w:szCs w:val="24"/>
        </w:rPr>
        <w:t>. Acesso em: 28 nov. 2025.</w:t>
      </w:r>
    </w:p>
    <w:p w:rsidR="009D60B7" w:rsidRDefault="00425C09">
      <w:pPr>
        <w:spacing w:before="240" w:after="240"/>
        <w:ind w:left="142"/>
        <w:rPr>
          <w:sz w:val="24"/>
          <w:szCs w:val="24"/>
        </w:rPr>
      </w:pPr>
      <w:r>
        <w:rPr>
          <w:rFonts w:ascii="Arial" w:hAnsi="Arial"/>
          <w:sz w:val="24"/>
          <w:szCs w:val="24"/>
        </w:rPr>
        <w:t>LIMA, Deborah Yasmim Alves Constancio.</w:t>
      </w:r>
      <w:r>
        <w:rPr>
          <w:rFonts w:ascii="Arial" w:hAnsi="Arial"/>
          <w:b/>
          <w:bCs/>
          <w:sz w:val="24"/>
          <w:szCs w:val="24"/>
        </w:rPr>
        <w:t xml:space="preserve"> Aspectos legais e terminológicos da assistência por animais de apoio emocional e de serviço</w:t>
      </w:r>
      <w:r>
        <w:rPr>
          <w:rFonts w:ascii="Arial" w:hAnsi="Arial"/>
          <w:sz w:val="24"/>
          <w:szCs w:val="24"/>
        </w:rPr>
        <w:t xml:space="preserve">. 2025. Trabalho de Conclusão de Curso (Bacharelado em Direito) – Centro Universitário de Brasília, Brasília, 2025. Disponível em: </w:t>
      </w:r>
      <w:hyperlink r:id="rId49">
        <w:r>
          <w:rPr>
            <w:rStyle w:val="Hyperlink1"/>
            <w:rFonts w:ascii="Arial" w:hAnsi="Arial"/>
            <w:sz w:val="24"/>
            <w:szCs w:val="24"/>
          </w:rPr>
          <w:t>https://repositorio.uniceub.br/jspui/handle/prefix/17843</w:t>
        </w:r>
      </w:hyperlink>
      <w:r>
        <w:rPr>
          <w:rFonts w:ascii="Arial" w:hAnsi="Arial"/>
          <w:sz w:val="24"/>
          <w:szCs w:val="24"/>
        </w:rPr>
        <w:t>. Acesso em: 03 fev. 2026.</w:t>
      </w:r>
    </w:p>
    <w:p w:rsidR="009D60B7" w:rsidRDefault="00425C09">
      <w:pPr>
        <w:spacing w:before="240" w:after="240"/>
        <w:ind w:left="142"/>
        <w:rPr>
          <w:sz w:val="24"/>
          <w:szCs w:val="24"/>
        </w:rPr>
      </w:pPr>
      <w:r>
        <w:rPr>
          <w:rFonts w:ascii="Arial" w:hAnsi="Arial"/>
          <w:sz w:val="24"/>
          <w:szCs w:val="24"/>
        </w:rPr>
        <w:t xml:space="preserve">LIMA, Deborah Yasmim Alves Constancio. </w:t>
      </w:r>
      <w:r>
        <w:rPr>
          <w:rFonts w:ascii="Arial" w:hAnsi="Arial"/>
          <w:b/>
          <w:bCs/>
          <w:sz w:val="24"/>
          <w:szCs w:val="24"/>
        </w:rPr>
        <w:t>Aspectos legais e terminológicos da assistência por animais de apoio emocional e de serviço.</w:t>
      </w:r>
      <w:r>
        <w:rPr>
          <w:rFonts w:ascii="Arial" w:hAnsi="Arial"/>
          <w:sz w:val="24"/>
          <w:szCs w:val="24"/>
        </w:rPr>
        <w:t xml:space="preserve"> 2025. Trabalho de Conclusão de Curso (Bacharelado em Direito) – Centro Universitário de Brasília, Brasília, 2025. Disponível em: </w:t>
      </w:r>
      <w:hyperlink r:id="rId50">
        <w:r>
          <w:rPr>
            <w:rStyle w:val="Hyperlink1"/>
            <w:rFonts w:ascii="Arial" w:hAnsi="Arial"/>
            <w:sz w:val="24"/>
            <w:szCs w:val="24"/>
          </w:rPr>
          <w:t>https://repositorio.uniceub.br/jspui/handle/prefix/17843</w:t>
        </w:r>
      </w:hyperlink>
      <w:r>
        <w:rPr>
          <w:rFonts w:ascii="Arial" w:hAnsi="Arial"/>
          <w:sz w:val="24"/>
          <w:szCs w:val="24"/>
        </w:rPr>
        <w:t>. Acesso em: 16 dez. 2025.</w:t>
      </w:r>
    </w:p>
    <w:p w:rsidR="009D60B7" w:rsidRDefault="00425C09">
      <w:pPr>
        <w:spacing w:before="240" w:after="240"/>
        <w:ind w:left="142"/>
        <w:rPr>
          <w:sz w:val="24"/>
          <w:szCs w:val="24"/>
        </w:rPr>
      </w:pPr>
      <w:r>
        <w:rPr>
          <w:rFonts w:ascii="Arial" w:hAnsi="Arial"/>
          <w:sz w:val="24"/>
          <w:szCs w:val="24"/>
        </w:rPr>
        <w:t xml:space="preserve">LIMA, Deborah Yasmim Alves Constancio. </w:t>
      </w:r>
      <w:r>
        <w:rPr>
          <w:rFonts w:ascii="Arial" w:hAnsi="Arial"/>
          <w:b/>
          <w:bCs/>
          <w:sz w:val="24"/>
          <w:szCs w:val="24"/>
        </w:rPr>
        <w:t>Aspectos legais e terminológicos da assistência por animais de apoio emocional e de serviço. 2025.</w:t>
      </w:r>
      <w:r>
        <w:rPr>
          <w:rFonts w:ascii="Arial" w:hAnsi="Arial"/>
          <w:sz w:val="24"/>
          <w:szCs w:val="24"/>
        </w:rPr>
        <w:t xml:space="preserve"> Trabalho de Conclusão de Curso (Bacharelado em Direito) – Centro Universitário de Brasília, Brasília, 2025. Disponível em: </w:t>
      </w:r>
      <w:hyperlink r:id="rId51">
        <w:r>
          <w:rPr>
            <w:rStyle w:val="Hyperlink1"/>
            <w:rFonts w:ascii="Arial" w:hAnsi="Arial"/>
            <w:sz w:val="24"/>
            <w:szCs w:val="24"/>
          </w:rPr>
          <w:t>https://repositorio.uniceub.br/jspui/handle/prefix/17843</w:t>
        </w:r>
      </w:hyperlink>
      <w:r>
        <w:rPr>
          <w:rFonts w:ascii="Arial" w:hAnsi="Arial"/>
          <w:sz w:val="24"/>
          <w:szCs w:val="24"/>
        </w:rPr>
        <w:t>. Acesso em: 13 nov. 2026.</w:t>
      </w:r>
    </w:p>
    <w:p w:rsidR="009D60B7" w:rsidRDefault="00425C09">
      <w:pPr>
        <w:spacing w:before="240" w:after="240"/>
        <w:ind w:left="142"/>
        <w:rPr>
          <w:sz w:val="24"/>
          <w:szCs w:val="24"/>
        </w:rPr>
      </w:pPr>
      <w:r>
        <w:rPr>
          <w:rFonts w:ascii="Arial" w:hAnsi="Arial"/>
          <w:b/>
          <w:bCs/>
          <w:sz w:val="24"/>
          <w:szCs w:val="24"/>
        </w:rPr>
        <w:t>Revista Direito Franca.</w:t>
      </w:r>
      <w:r>
        <w:rPr>
          <w:rFonts w:ascii="Arial" w:hAnsi="Arial"/>
          <w:sz w:val="24"/>
          <w:szCs w:val="24"/>
        </w:rPr>
        <w:t xml:space="preserve"> Disponível em: </w:t>
      </w:r>
      <w:hyperlink r:id="rId52">
        <w:r>
          <w:rPr>
            <w:rStyle w:val="Hyperlink1"/>
            <w:rFonts w:ascii="Arial" w:hAnsi="Arial"/>
            <w:sz w:val="24"/>
            <w:szCs w:val="24"/>
          </w:rPr>
          <w:t>https://revista.direitofranca.br/index.php/icfdf/article/view/1374</w:t>
        </w:r>
      </w:hyperlink>
      <w:r>
        <w:rPr>
          <w:rFonts w:ascii="Arial" w:hAnsi="Arial"/>
          <w:sz w:val="24"/>
          <w:szCs w:val="24"/>
        </w:rPr>
        <w:t xml:space="preserve">. Acesso em: 27 nov. 2025. </w:t>
      </w:r>
    </w:p>
    <w:p w:rsidR="009D60B7" w:rsidRDefault="00425C09">
      <w:pPr>
        <w:spacing w:before="240" w:after="240"/>
        <w:ind w:left="142"/>
        <w:rPr>
          <w:rFonts w:ascii="Arial" w:hAnsi="Arial"/>
          <w:sz w:val="24"/>
          <w:szCs w:val="24"/>
        </w:rPr>
      </w:pPr>
      <w:r>
        <w:rPr>
          <w:rFonts w:ascii="Arial" w:hAnsi="Arial"/>
          <w:sz w:val="24"/>
          <w:szCs w:val="24"/>
        </w:rPr>
        <w:t>RIBEIRO, Alyssa de Sousa et al.</w:t>
      </w:r>
      <w:r>
        <w:rPr>
          <w:rFonts w:ascii="Arial" w:hAnsi="Arial"/>
          <w:b/>
          <w:bCs/>
          <w:sz w:val="24"/>
          <w:szCs w:val="24"/>
        </w:rPr>
        <w:t xml:space="preserve"> A legislação brasileira na eficácia da salvaguarda das pessoas com transtorno do espectro autista: a garantia do direito fundamental à saúde. </w:t>
      </w:r>
      <w:r>
        <w:rPr>
          <w:rFonts w:ascii="Arial" w:hAnsi="Arial"/>
          <w:sz w:val="24"/>
          <w:szCs w:val="24"/>
        </w:rPr>
        <w:t>2023. Acesso em: 11 jan. 2026.</w:t>
      </w:r>
    </w:p>
    <w:p w:rsidR="009D60B7" w:rsidRDefault="00425C09">
      <w:pPr>
        <w:spacing w:before="240" w:after="240"/>
        <w:ind w:left="142"/>
        <w:rPr>
          <w:rFonts w:ascii="Arial" w:hAnsi="Arial"/>
          <w:sz w:val="24"/>
          <w:szCs w:val="24"/>
        </w:rPr>
      </w:pPr>
      <w:r>
        <w:rPr>
          <w:rFonts w:ascii="Arial" w:hAnsi="Arial"/>
          <w:sz w:val="24"/>
          <w:szCs w:val="24"/>
        </w:rPr>
        <w:t xml:space="preserve">RIBEIRO, Alyssa de Sousa et al. </w:t>
      </w:r>
      <w:r>
        <w:rPr>
          <w:rFonts w:ascii="Arial" w:hAnsi="Arial"/>
          <w:b/>
          <w:bCs/>
          <w:sz w:val="24"/>
          <w:szCs w:val="24"/>
        </w:rPr>
        <w:t xml:space="preserve">A legislação brasileira na eficácia da salvaguarda das pessoas com transtorno do espectro autista: a garantia do direito fundamental à saúde. </w:t>
      </w:r>
      <w:r>
        <w:rPr>
          <w:rFonts w:ascii="Arial" w:hAnsi="Arial"/>
          <w:sz w:val="24"/>
          <w:szCs w:val="24"/>
        </w:rPr>
        <w:t>2023. Acesso em 18 jan. 2026.</w:t>
      </w:r>
    </w:p>
    <w:p w:rsidR="009D60B7" w:rsidRDefault="00425C09">
      <w:pPr>
        <w:spacing w:before="240" w:after="240"/>
        <w:ind w:left="142"/>
        <w:rPr>
          <w:sz w:val="24"/>
          <w:szCs w:val="24"/>
        </w:rPr>
      </w:pPr>
      <w:r>
        <w:rPr>
          <w:rFonts w:ascii="Arial" w:hAnsi="Arial"/>
          <w:sz w:val="24"/>
          <w:szCs w:val="24"/>
        </w:rPr>
        <w:t>RIBEIRO, G. F.; PANZENHAGEN, T.; LUZ, G. D. O. da; HENKES, L. E.</w:t>
      </w:r>
      <w:r>
        <w:rPr>
          <w:rFonts w:ascii="Arial" w:hAnsi="Arial"/>
          <w:b/>
          <w:bCs/>
          <w:sz w:val="24"/>
          <w:szCs w:val="24"/>
        </w:rPr>
        <w:t xml:space="preserve"> Os benefícios das terapias assistidas por animais no transtorno do espectro autista</w:t>
      </w:r>
      <w:r>
        <w:rPr>
          <w:rFonts w:ascii="Arial" w:hAnsi="Arial"/>
          <w:sz w:val="24"/>
          <w:szCs w:val="24"/>
        </w:rPr>
        <w:t xml:space="preserve">. </w:t>
      </w:r>
      <w:r>
        <w:rPr>
          <w:rFonts w:ascii="Arial" w:hAnsi="Arial"/>
          <w:i/>
          <w:iCs/>
          <w:sz w:val="24"/>
          <w:szCs w:val="24"/>
        </w:rPr>
        <w:t>Revista Eletrônica Acervo Saúde</w:t>
      </w:r>
      <w:r>
        <w:rPr>
          <w:rFonts w:ascii="Arial" w:hAnsi="Arial"/>
          <w:sz w:val="24"/>
          <w:szCs w:val="24"/>
        </w:rPr>
        <w:t xml:space="preserve">, v. 23, n. 11, e14397, 2023. Disponível em: </w:t>
      </w:r>
      <w:hyperlink r:id="rId53">
        <w:r>
          <w:rPr>
            <w:rStyle w:val="Hyperlink1"/>
            <w:rFonts w:ascii="Arial" w:hAnsi="Arial"/>
            <w:sz w:val="24"/>
            <w:szCs w:val="24"/>
          </w:rPr>
          <w:t>https://doi.org/10.25248/reas.e14397.2023</w:t>
        </w:r>
      </w:hyperlink>
      <w:r>
        <w:rPr>
          <w:rFonts w:ascii="Arial" w:hAnsi="Arial"/>
          <w:sz w:val="24"/>
          <w:szCs w:val="24"/>
        </w:rPr>
        <w:t>. Acesso em: 29 dez. 2025.</w:t>
      </w:r>
    </w:p>
    <w:p w:rsidR="009D60B7" w:rsidRDefault="00425C09">
      <w:pPr>
        <w:spacing w:before="240" w:after="240"/>
        <w:ind w:left="142"/>
        <w:rPr>
          <w:rFonts w:ascii="Arial" w:hAnsi="Arial"/>
          <w:sz w:val="24"/>
          <w:szCs w:val="24"/>
        </w:rPr>
      </w:pPr>
      <w:r>
        <w:rPr>
          <w:rFonts w:ascii="Arial" w:hAnsi="Arial"/>
          <w:color w:val="222222"/>
          <w:sz w:val="24"/>
          <w:szCs w:val="24"/>
        </w:rPr>
        <w:t xml:space="preserve">ROMA, Renata Paula da Silva. </w:t>
      </w:r>
      <w:r>
        <w:rPr>
          <w:rFonts w:ascii="Arial" w:hAnsi="Arial"/>
          <w:b/>
          <w:bCs/>
          <w:color w:val="222222"/>
          <w:sz w:val="24"/>
          <w:szCs w:val="24"/>
        </w:rPr>
        <w:t>A influência do cão na expressividade emocional de crianças com transtorno do espectro do autismo</w:t>
      </w:r>
      <w:r>
        <w:rPr>
          <w:rFonts w:ascii="Arial" w:hAnsi="Arial"/>
          <w:color w:val="222222"/>
          <w:sz w:val="24"/>
          <w:szCs w:val="24"/>
        </w:rPr>
        <w:t xml:space="preserve">. 2016. https://pesquisa.bvsalud.org/portal/resource/pt/pte-68917. Acesso em 21 de abr. </w:t>
      </w:r>
      <w:r>
        <w:rPr>
          <w:rFonts w:ascii="Arial" w:hAnsi="Arial"/>
          <w:color w:val="222222"/>
          <w:sz w:val="24"/>
          <w:szCs w:val="24"/>
        </w:rPr>
        <w:lastRenderedPageBreak/>
        <w:t xml:space="preserve">2026. </w:t>
      </w:r>
    </w:p>
    <w:p w:rsidR="009D60B7" w:rsidRDefault="00425C09">
      <w:pPr>
        <w:spacing w:before="240" w:after="240"/>
        <w:ind w:left="142"/>
        <w:rPr>
          <w:sz w:val="24"/>
          <w:szCs w:val="24"/>
        </w:rPr>
      </w:pPr>
      <w:r>
        <w:rPr>
          <w:rFonts w:ascii="Arial" w:hAnsi="Arial"/>
          <w:sz w:val="24"/>
          <w:szCs w:val="24"/>
        </w:rPr>
        <w:t xml:space="preserve">SAUÁIA FILHO, Abrahão Lincoln. </w:t>
      </w:r>
      <w:r>
        <w:rPr>
          <w:rFonts w:ascii="Arial" w:hAnsi="Arial"/>
          <w:b/>
          <w:bCs/>
          <w:sz w:val="24"/>
          <w:szCs w:val="24"/>
        </w:rPr>
        <w:t>A proteção jurídica das pessoas com TEA: uma análise do Tema 1082 do STJ e o ordenamento jurídico brasileiro</w:t>
      </w:r>
      <w:r>
        <w:rPr>
          <w:rFonts w:ascii="Arial" w:hAnsi="Arial"/>
          <w:sz w:val="24"/>
          <w:szCs w:val="24"/>
        </w:rPr>
        <w:t xml:space="preserve">. </w:t>
      </w:r>
      <w:r>
        <w:rPr>
          <w:rFonts w:ascii="Arial" w:hAnsi="Arial"/>
          <w:i/>
          <w:iCs/>
          <w:sz w:val="24"/>
          <w:szCs w:val="24"/>
        </w:rPr>
        <w:t>ARACÊ</w:t>
      </w:r>
      <w:r>
        <w:rPr>
          <w:rFonts w:ascii="Arial" w:hAnsi="Arial"/>
          <w:sz w:val="24"/>
          <w:szCs w:val="24"/>
        </w:rPr>
        <w:t xml:space="preserve">, v. 6, n. 4, p. 11141–11158, 2024. Disponível em: </w:t>
      </w:r>
      <w:hyperlink r:id="rId54">
        <w:r>
          <w:rPr>
            <w:rStyle w:val="Hyperlink1"/>
            <w:rFonts w:ascii="Arial" w:hAnsi="Arial"/>
            <w:sz w:val="24"/>
            <w:szCs w:val="24"/>
          </w:rPr>
          <w:t>https://periodicos.newsciencepubl.com/arace/article/view/1875</w:t>
        </w:r>
      </w:hyperlink>
      <w:r>
        <w:rPr>
          <w:rFonts w:ascii="Arial" w:hAnsi="Arial"/>
          <w:sz w:val="24"/>
          <w:szCs w:val="24"/>
        </w:rPr>
        <w:t>. Acesso em: 24 nov. 2025.</w:t>
      </w:r>
    </w:p>
    <w:p w:rsidR="009D60B7" w:rsidRDefault="00425C09">
      <w:pPr>
        <w:spacing w:before="240" w:after="240"/>
        <w:ind w:left="142"/>
        <w:rPr>
          <w:sz w:val="24"/>
          <w:szCs w:val="24"/>
        </w:rPr>
      </w:pPr>
      <w:r>
        <w:rPr>
          <w:rFonts w:ascii="Arial" w:hAnsi="Arial"/>
          <w:sz w:val="24"/>
          <w:szCs w:val="24"/>
        </w:rPr>
        <w:t xml:space="preserve">SAUÁIA FILHO, Abrahão Lincoln. </w:t>
      </w:r>
      <w:r>
        <w:rPr>
          <w:rFonts w:ascii="Arial" w:hAnsi="Arial"/>
          <w:b/>
          <w:bCs/>
          <w:sz w:val="24"/>
          <w:szCs w:val="24"/>
        </w:rPr>
        <w:t>A proteção jurídica das pessoas com TEA: uma análise do Tema 1082 do STJ e o ordenamento jurídico brasileiro</w:t>
      </w:r>
      <w:r>
        <w:rPr>
          <w:rFonts w:ascii="Arial" w:hAnsi="Arial"/>
          <w:sz w:val="24"/>
          <w:szCs w:val="24"/>
        </w:rPr>
        <w:t xml:space="preserve">. </w:t>
      </w:r>
      <w:r>
        <w:rPr>
          <w:rFonts w:ascii="Arial" w:hAnsi="Arial"/>
          <w:i/>
          <w:iCs/>
          <w:sz w:val="24"/>
          <w:szCs w:val="24"/>
        </w:rPr>
        <w:t>ARACÊ</w:t>
      </w:r>
      <w:r>
        <w:rPr>
          <w:rFonts w:ascii="Arial" w:hAnsi="Arial"/>
          <w:sz w:val="24"/>
          <w:szCs w:val="24"/>
        </w:rPr>
        <w:t xml:space="preserve">, v. 6, n. 4, p. 11141–11158, 2024. Disponível em: </w:t>
      </w:r>
      <w:hyperlink r:id="rId55">
        <w:r>
          <w:rPr>
            <w:rStyle w:val="Hyperlink1"/>
            <w:rFonts w:ascii="Arial" w:hAnsi="Arial"/>
            <w:sz w:val="24"/>
            <w:szCs w:val="24"/>
          </w:rPr>
          <w:t>https://periodicos.newsciencepubl.com/arace/article/view/1875</w:t>
        </w:r>
      </w:hyperlink>
      <w:r>
        <w:rPr>
          <w:rFonts w:ascii="Arial" w:hAnsi="Arial"/>
          <w:sz w:val="24"/>
          <w:szCs w:val="24"/>
        </w:rPr>
        <w:t>. Acesso em: 24 nov. 2025.</w:t>
      </w: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pPr>
        <w:ind w:left="142" w:right="142" w:hanging="10"/>
        <w:rPr>
          <w:rFonts w:ascii="Arial" w:hAnsi="Arial" w:cs="Times New Roman"/>
          <w:sz w:val="20"/>
          <w:szCs w:val="20"/>
        </w:rPr>
      </w:pPr>
    </w:p>
    <w:p w:rsidR="00101406" w:rsidRDefault="00101406" w:rsidP="00355F7E">
      <w:pPr>
        <w:ind w:right="142"/>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Pr="00101406" w:rsidRDefault="00425C09" w:rsidP="00101406">
      <w:pPr>
        <w:jc w:val="center"/>
        <w:rPr>
          <w:rFonts w:ascii="Arial" w:eastAsia="Times New Roman" w:hAnsi="Arial" w:cs="Times New Roman"/>
          <w:b/>
          <w:sz w:val="28"/>
          <w:szCs w:val="28"/>
        </w:rPr>
      </w:pPr>
      <w:r w:rsidRPr="00101406">
        <w:rPr>
          <w:rFonts w:ascii="Arial" w:eastAsia="Times New Roman" w:hAnsi="Arial" w:cs="Times New Roman"/>
          <w:b/>
          <w:sz w:val="28"/>
          <w:szCs w:val="28"/>
        </w:rPr>
        <w:lastRenderedPageBreak/>
        <w:t>APOSENTADORIA ESPECIAL: A IMPOSSIBILIDADE DE CONVERSÃO DO TEMPO ESPECIAL EM COMUM APÓS A EMENDA CONSTITUCIONAL 103/2019</w:t>
      </w:r>
    </w:p>
    <w:p w:rsidR="009D60B7" w:rsidRDefault="009D60B7">
      <w:pPr>
        <w:spacing w:line="360" w:lineRule="auto"/>
        <w:jc w:val="center"/>
        <w:rPr>
          <w:rFonts w:ascii="Arial" w:eastAsia="Times New Roman" w:hAnsi="Arial" w:cs="Times New Roman"/>
          <w:b/>
          <w:sz w:val="24"/>
          <w:szCs w:val="24"/>
        </w:rPr>
      </w:pPr>
    </w:p>
    <w:p w:rsidR="009D60B7" w:rsidRDefault="00425C09" w:rsidP="00101406">
      <w:pPr>
        <w:jc w:val="center"/>
        <w:rPr>
          <w:rFonts w:ascii="Arial" w:hAnsi="Arial"/>
          <w:sz w:val="24"/>
          <w:szCs w:val="24"/>
        </w:rPr>
      </w:pPr>
      <w:r>
        <w:rPr>
          <w:rFonts w:ascii="Arial" w:hAnsi="Arial" w:cs="Times New Roman"/>
          <w:sz w:val="24"/>
          <w:szCs w:val="24"/>
        </w:rPr>
        <w:t>Ana Vitória Carvalho Moreira</w:t>
      </w:r>
      <w:r>
        <w:rPr>
          <w:rStyle w:val="Refdenotaderodap"/>
          <w:rFonts w:ascii="Arial" w:hAnsi="Arial" w:cs="Times New Roman"/>
          <w:sz w:val="24"/>
          <w:szCs w:val="24"/>
        </w:rPr>
        <w:footnoteReference w:id="10"/>
      </w:r>
      <w:r>
        <w:rPr>
          <w:rFonts w:ascii="Arial" w:hAnsi="Arial" w:cs="Times New Roman"/>
          <w:sz w:val="24"/>
          <w:szCs w:val="24"/>
        </w:rPr>
        <w:t xml:space="preserve"> </w:t>
      </w:r>
    </w:p>
    <w:p w:rsidR="009D60B7" w:rsidRDefault="00425C09" w:rsidP="00101406">
      <w:pPr>
        <w:jc w:val="center"/>
        <w:rPr>
          <w:rFonts w:ascii="Arial" w:hAnsi="Arial"/>
          <w:sz w:val="24"/>
          <w:szCs w:val="24"/>
        </w:rPr>
      </w:pPr>
      <w:r>
        <w:rPr>
          <w:rFonts w:ascii="Arial" w:hAnsi="Arial" w:cs="Times New Roman"/>
          <w:sz w:val="24"/>
          <w:szCs w:val="24"/>
        </w:rPr>
        <w:t>Carolina Pinheiro Andrade</w:t>
      </w:r>
      <w:r>
        <w:rPr>
          <w:rStyle w:val="Refdenotaderodap"/>
          <w:rFonts w:ascii="Arial" w:hAnsi="Arial" w:cs="Times New Roman"/>
          <w:sz w:val="24"/>
          <w:szCs w:val="24"/>
        </w:rPr>
        <w:footnoteReference w:id="11"/>
      </w:r>
      <w:r>
        <w:rPr>
          <w:rFonts w:ascii="Arial" w:hAnsi="Arial" w:cs="Times New Roman"/>
          <w:sz w:val="24"/>
          <w:szCs w:val="24"/>
        </w:rPr>
        <w:t xml:space="preserve"> </w:t>
      </w:r>
    </w:p>
    <w:p w:rsidR="009D60B7" w:rsidRDefault="00425C09" w:rsidP="00101406">
      <w:pPr>
        <w:jc w:val="center"/>
        <w:rPr>
          <w:rFonts w:ascii="Arial" w:hAnsi="Arial"/>
          <w:sz w:val="24"/>
          <w:szCs w:val="24"/>
        </w:rPr>
      </w:pPr>
      <w:r>
        <w:rPr>
          <w:rFonts w:ascii="Arial" w:hAnsi="Arial" w:cs="Times New Roman"/>
          <w:bCs/>
          <w:sz w:val="24"/>
          <w:szCs w:val="24"/>
        </w:rPr>
        <w:t>Priscilla Raisa Mota Cavalcanti</w:t>
      </w:r>
      <w:r>
        <w:rPr>
          <w:rStyle w:val="Refdenotaderodap"/>
          <w:rFonts w:ascii="Arial" w:hAnsi="Arial" w:cs="Times New Roman"/>
          <w:sz w:val="24"/>
          <w:szCs w:val="24"/>
        </w:rPr>
        <w:footnoteReference w:id="12"/>
      </w:r>
    </w:p>
    <w:p w:rsidR="009D60B7" w:rsidRDefault="009D60B7">
      <w:pPr>
        <w:spacing w:line="360" w:lineRule="auto"/>
        <w:jc w:val="both"/>
        <w:rPr>
          <w:rFonts w:ascii="Arial" w:hAnsi="Arial"/>
          <w:sz w:val="24"/>
          <w:szCs w:val="24"/>
        </w:rPr>
      </w:pPr>
    </w:p>
    <w:p w:rsidR="009D60B7" w:rsidRPr="00101406" w:rsidRDefault="00425C09">
      <w:pPr>
        <w:pStyle w:val="Ttulo1"/>
        <w:spacing w:line="360" w:lineRule="auto"/>
        <w:ind w:left="0" w:right="4"/>
        <w:rPr>
          <w:rFonts w:ascii="Arial" w:hAnsi="Arial"/>
          <w:sz w:val="20"/>
          <w:szCs w:val="20"/>
        </w:rPr>
      </w:pPr>
      <w:r w:rsidRPr="00101406">
        <w:rPr>
          <w:rFonts w:ascii="Arial" w:hAnsi="Arial" w:cs="Times New Roman"/>
          <w:bCs/>
          <w:sz w:val="24"/>
          <w:szCs w:val="24"/>
        </w:rPr>
        <w:t xml:space="preserve">RESUMO </w:t>
      </w:r>
    </w:p>
    <w:p w:rsidR="009D60B7" w:rsidRDefault="00425C09">
      <w:pPr>
        <w:spacing w:line="247" w:lineRule="auto"/>
        <w:jc w:val="both"/>
        <w:rPr>
          <w:rFonts w:ascii="Arial" w:hAnsi="Arial"/>
          <w:sz w:val="20"/>
          <w:szCs w:val="20"/>
        </w:rPr>
      </w:pPr>
      <w:r>
        <w:rPr>
          <w:rFonts w:ascii="Arial" w:hAnsi="Arial" w:cs="Times New Roman"/>
          <w:sz w:val="20"/>
          <w:szCs w:val="20"/>
        </w:rPr>
        <w:t>O trabalho analisa os impactos acerca da conversão do tempo especial em tempo comum após a Emenda Constitucional 103/2019, focando nas principais mudanças quanto à Aposentadoria Especial. O estudo demonstra o impacto causado na vida de segurados que poderiam se beneficiar com tal regra. O objetivo geral é analisar os impactos na contagem de tempo especial para fins de aposentadoria, especialmente na vedação da conversão de tempo especial em comum, e suas implicações para os segurados do Regime Geral de Previdência Social. Os objetivos específicos incluem a compreensão da importância e relevância da Aposentadoria Especial para aqueles que se enquadram nessa modalidade, bem como a análise dos segurados prejudicados pelas mudanças promovidas pela EC nº 103/2019. Além disso, busca-se compreender os impactos das novas regras sobre a contagem do tempo especial e a segurança jurídica dos segurados do Regime Geral de Previdência Social na modalidade de Aposentadoria Especial. Também se pretende expor os efeitos retroativos da reforma da previdência, analisando seus reflexos na expectativa de direito e na concessão de aposentadorias após a EC nº 103/2019. A pesquisa adota metodologia baseada em estudos doutrinários e legislativos. Os resultados indicam que, apesar da aparente intenção de melhora, a realidade prática da entrada da em vigor emenda trouxe mais prejuízos do que benefícios. Conclui-se que a EC nº 103/2019 trouxe mudanças relevantes que restringiram a conversão do tempo especial em comum, impactando negativamente os segurados expostos a agentes nocivos. Embora fundamentada na busca pelo equilíbrio do sistema previdenciário, a reforma reduziu a efetividade da proteção social e contribuiu para o aumento da insegurança jurídica no âmbito da aposentadoria especial.</w:t>
      </w:r>
    </w:p>
    <w:p w:rsidR="009D60B7" w:rsidRDefault="009D60B7">
      <w:pPr>
        <w:spacing w:line="247" w:lineRule="auto"/>
        <w:rPr>
          <w:rFonts w:ascii="Arial" w:hAnsi="Arial" w:cs="Times New Roman"/>
          <w:sz w:val="20"/>
          <w:szCs w:val="20"/>
        </w:rPr>
      </w:pPr>
    </w:p>
    <w:p w:rsidR="009D60B7" w:rsidRDefault="00425C09">
      <w:pPr>
        <w:jc w:val="both"/>
        <w:rPr>
          <w:rFonts w:ascii="Arial" w:hAnsi="Arial"/>
          <w:sz w:val="20"/>
          <w:szCs w:val="20"/>
        </w:rPr>
      </w:pPr>
      <w:r>
        <w:rPr>
          <w:rFonts w:ascii="Arial" w:hAnsi="Arial" w:cs="Times New Roman"/>
          <w:b/>
          <w:sz w:val="20"/>
          <w:szCs w:val="20"/>
        </w:rPr>
        <w:t>PALAVRAS-CHAVE:</w:t>
      </w:r>
      <w:r>
        <w:rPr>
          <w:rFonts w:ascii="Arial" w:hAnsi="Arial" w:cs="Times New Roman"/>
          <w:sz w:val="20"/>
          <w:szCs w:val="20"/>
        </w:rPr>
        <w:t xml:space="preserve"> Aposentadoria Especial. Emenda Constitucional. Impossibilidade de conversão de tempo especial em comum. Regra de transição. Tempo de contribuição. </w:t>
      </w:r>
    </w:p>
    <w:p w:rsidR="009D60B7" w:rsidRDefault="009D60B7">
      <w:pPr>
        <w:spacing w:after="18" w:line="259" w:lineRule="auto"/>
        <w:rPr>
          <w:rFonts w:ascii="Arial" w:hAnsi="Arial" w:cs="Times New Roman"/>
          <w:sz w:val="20"/>
          <w:szCs w:val="20"/>
        </w:rPr>
      </w:pPr>
    </w:p>
    <w:p w:rsidR="009D60B7" w:rsidRDefault="00425C09">
      <w:pPr>
        <w:pStyle w:val="Ttulo1"/>
        <w:spacing w:line="360" w:lineRule="auto"/>
        <w:ind w:left="-5" w:hanging="10"/>
        <w:jc w:val="both"/>
        <w:rPr>
          <w:rFonts w:ascii="Arial" w:hAnsi="Arial" w:cs="Times New Roman"/>
          <w:sz w:val="24"/>
          <w:szCs w:val="24"/>
        </w:rPr>
      </w:pPr>
      <w:r>
        <w:rPr>
          <w:rFonts w:ascii="Arial" w:hAnsi="Arial" w:cs="Times New Roman"/>
          <w:sz w:val="24"/>
          <w:szCs w:val="24"/>
        </w:rPr>
        <w:t xml:space="preserve">INTRODUÇÃO </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Este estudo explora a Aposentadoria Especial, com foco na impossibilidade de conversão do tempo especial em tempo comum após a Emenda Constitucional (EC) 103/2019, uma mudança relevante para os segurados que contavam com essa regra. A alteração do sistema que previu a redução nas contas da Previdência Social trouxe consigo critérios mais rígidos quanto ao acesso à Aposentadoria mencionada.</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 xml:space="preserve"> A relevância dessa temática é notável, pois impacta diretamente milhares de trabalhadores expostos a agentes nocivos que, mesmo não preenchendo os requisitos </w:t>
      </w:r>
      <w:r>
        <w:rPr>
          <w:rFonts w:ascii="Arial" w:hAnsi="Arial" w:cs="Times New Roman"/>
          <w:sz w:val="24"/>
          <w:szCs w:val="24"/>
        </w:rPr>
        <w:lastRenderedPageBreak/>
        <w:t>para a Aposentadoria Especial, contavam com a possibilidade de utilizar o tempo especial convertido para fins de aposentadoria comum.</w:t>
      </w:r>
      <w:r>
        <w:rPr>
          <w:rFonts w:ascii="Arial" w:hAnsi="Arial" w:cs="Times New Roman"/>
          <w:spacing w:val="-3"/>
          <w:sz w:val="24"/>
          <w:szCs w:val="24"/>
        </w:rPr>
        <w:t xml:space="preserve"> </w:t>
      </w:r>
      <w:r>
        <w:rPr>
          <w:rFonts w:ascii="Arial" w:hAnsi="Arial" w:cs="Times New Roman"/>
          <w:sz w:val="24"/>
          <w:szCs w:val="24"/>
        </w:rPr>
        <w:t>A</w:t>
      </w:r>
      <w:r>
        <w:rPr>
          <w:rFonts w:ascii="Arial" w:hAnsi="Arial" w:cs="Times New Roman"/>
          <w:spacing w:val="-3"/>
          <w:sz w:val="24"/>
          <w:szCs w:val="24"/>
        </w:rPr>
        <w:t xml:space="preserve"> </w:t>
      </w:r>
      <w:r>
        <w:rPr>
          <w:rFonts w:ascii="Arial" w:hAnsi="Arial" w:cs="Times New Roman"/>
          <w:sz w:val="24"/>
          <w:szCs w:val="24"/>
        </w:rPr>
        <w:t>pesquisa</w:t>
      </w:r>
      <w:r>
        <w:rPr>
          <w:rFonts w:ascii="Arial" w:hAnsi="Arial" w:cs="Times New Roman"/>
          <w:spacing w:val="-3"/>
          <w:sz w:val="24"/>
          <w:szCs w:val="24"/>
        </w:rPr>
        <w:t xml:space="preserve"> </w:t>
      </w:r>
      <w:r>
        <w:rPr>
          <w:rFonts w:ascii="Arial" w:hAnsi="Arial" w:cs="Times New Roman"/>
          <w:sz w:val="24"/>
          <w:szCs w:val="24"/>
        </w:rPr>
        <w:t>visa, assim, contribuir para o entendimento de aspectos acerca da reforma, principalmente no que se refere as regras de transição relacionadas a Aposentadoria Especial.</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O objetivo principal geral é compreender os impactos da Legislação na contagem de tempo especial para fins de Aposentadoria Especial, com foco na impossibilidade de conversão do tempo especial para tempo comum e como isso afetou diretamente os segurados que contavam com essa regra. Quanto aos objetivos específicos, busca-se, descrever quem deverá ser prejudicado com as mudanças da EC 103/2019, compreender quais serão os impactos na regra de transcrição, expor os efeitos retroativos da reforma previdenciária, além de analisar os impactos na expectativa do direito, e a descrição das implicações nas Aposentadorias Especiais, após a EC 103/2019 e</w:t>
      </w:r>
      <w:r>
        <w:rPr>
          <w:rFonts w:ascii="Arial" w:hAnsi="Arial" w:cs="Times New Roman"/>
          <w:spacing w:val="-3"/>
          <w:sz w:val="24"/>
          <w:szCs w:val="24"/>
        </w:rPr>
        <w:t xml:space="preserve"> </w:t>
      </w:r>
      <w:r>
        <w:rPr>
          <w:rFonts w:ascii="Arial" w:hAnsi="Arial" w:cs="Times New Roman"/>
          <w:sz w:val="24"/>
          <w:szCs w:val="24"/>
        </w:rPr>
        <w:t>discutir</w:t>
      </w:r>
      <w:r>
        <w:rPr>
          <w:rFonts w:ascii="Arial" w:hAnsi="Arial" w:cs="Times New Roman"/>
          <w:spacing w:val="-3"/>
          <w:sz w:val="24"/>
          <w:szCs w:val="24"/>
        </w:rPr>
        <w:t xml:space="preserve"> </w:t>
      </w:r>
      <w:r>
        <w:rPr>
          <w:rFonts w:ascii="Arial" w:hAnsi="Arial" w:cs="Times New Roman"/>
          <w:sz w:val="24"/>
          <w:szCs w:val="24"/>
        </w:rPr>
        <w:t>a</w:t>
      </w:r>
      <w:r>
        <w:rPr>
          <w:rFonts w:ascii="Arial" w:hAnsi="Arial" w:cs="Times New Roman"/>
          <w:spacing w:val="-3"/>
          <w:sz w:val="24"/>
          <w:szCs w:val="24"/>
        </w:rPr>
        <w:t xml:space="preserve"> </w:t>
      </w:r>
      <w:r>
        <w:rPr>
          <w:rFonts w:ascii="Arial" w:hAnsi="Arial" w:cs="Times New Roman"/>
          <w:sz w:val="24"/>
          <w:szCs w:val="24"/>
        </w:rPr>
        <w:t>efetividade</w:t>
      </w:r>
      <w:r>
        <w:rPr>
          <w:rFonts w:ascii="Arial" w:hAnsi="Arial" w:cs="Times New Roman"/>
          <w:spacing w:val="-3"/>
          <w:sz w:val="24"/>
          <w:szCs w:val="24"/>
        </w:rPr>
        <w:t xml:space="preserve"> </w:t>
      </w:r>
      <w:r>
        <w:rPr>
          <w:rFonts w:ascii="Arial" w:hAnsi="Arial" w:cs="Times New Roman"/>
          <w:sz w:val="24"/>
          <w:szCs w:val="24"/>
        </w:rPr>
        <w:t>da segurança dos direitos sociais, assegurados pela Constituição Federal de 1988.</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A abordagem metodológica adotada neste estudo foi baseada em pesquisa que envolveu a análise doutrinária, legislativa e jurisprudencial. A pesquisa procurou examinar a evolução das leis relacionadas a previdência social até alcançarmos a Aposentadoria Especial. Para embasar a análise, foram utilizadas diversas legislações, e autores sendo um</w:t>
      </w:r>
      <w:r>
        <w:rPr>
          <w:rFonts w:ascii="Arial" w:hAnsi="Arial" w:cs="Times New Roman"/>
          <w:spacing w:val="-3"/>
          <w:sz w:val="24"/>
          <w:szCs w:val="24"/>
        </w:rPr>
        <w:t xml:space="preserve"> </w:t>
      </w:r>
      <w:r>
        <w:rPr>
          <w:rFonts w:ascii="Arial" w:hAnsi="Arial" w:cs="Times New Roman"/>
          <w:sz w:val="24"/>
          <w:szCs w:val="24"/>
        </w:rPr>
        <w:t>dos principais João Batista Lazarri e Carlos Alberto Pereira de Castro, cujas ideias sobre os fundamentos da Previdência Social nos ajudam a compreender como essa mudança afeta diretamente a segurança social dos segurados. A revisão da literatura também inclui contribuições de estudiosos da área jurídica, que fornecem uma base sólida para a compreensão das implicações legais e sociais da EC 103/2019 nos direitos dos Segurados Especiais expostos a periculosidade e insalubridade.</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Com isso, o estudo está organizado em três seções principais.</w:t>
      </w:r>
      <w:r>
        <w:rPr>
          <w:rFonts w:ascii="Arial" w:hAnsi="Arial" w:cs="Times New Roman"/>
          <w:spacing w:val="-3"/>
          <w:sz w:val="24"/>
          <w:szCs w:val="24"/>
        </w:rPr>
        <w:t xml:space="preserve"> </w:t>
      </w:r>
      <w:r>
        <w:rPr>
          <w:rFonts w:ascii="Arial" w:hAnsi="Arial" w:cs="Times New Roman"/>
          <w:sz w:val="24"/>
          <w:szCs w:val="24"/>
        </w:rPr>
        <w:t>A primeira parte busca trazer uma evolução histórica, conceitos e fundamentos, bem como as principais legislações que regulamentam a aposentadoria especial no Brasil. A segunda seção busca expor as principais mudanças trazidas pela EC 103/2019, os impactos e principalmente impossibilidade da conversão do tempo especial em tempo comum após a reforma.</w:t>
      </w:r>
      <w:r>
        <w:rPr>
          <w:rFonts w:ascii="Arial" w:hAnsi="Arial" w:cs="Times New Roman"/>
          <w:spacing w:val="-3"/>
          <w:sz w:val="24"/>
          <w:szCs w:val="24"/>
        </w:rPr>
        <w:t xml:space="preserve"> </w:t>
      </w:r>
      <w:r>
        <w:rPr>
          <w:rFonts w:ascii="Arial" w:hAnsi="Arial" w:cs="Times New Roman"/>
          <w:sz w:val="24"/>
          <w:szCs w:val="24"/>
        </w:rPr>
        <w:t>Por</w:t>
      </w:r>
      <w:r>
        <w:rPr>
          <w:rFonts w:ascii="Arial" w:hAnsi="Arial" w:cs="Times New Roman"/>
          <w:spacing w:val="-3"/>
          <w:sz w:val="24"/>
          <w:szCs w:val="24"/>
        </w:rPr>
        <w:t xml:space="preserve"> </w:t>
      </w:r>
      <w:r>
        <w:rPr>
          <w:rFonts w:ascii="Arial" w:hAnsi="Arial" w:cs="Times New Roman"/>
          <w:color w:val="0D0D0D" w:themeColor="dark1" w:themeTint="F2"/>
          <w:sz w:val="24"/>
          <w:szCs w:val="24"/>
        </w:rPr>
        <w:t>fim,</w:t>
      </w:r>
      <w:r>
        <w:rPr>
          <w:rFonts w:ascii="Arial" w:hAnsi="Arial" w:cs="Times New Roman"/>
          <w:color w:val="0D0D0D" w:themeColor="dark1" w:themeTint="F2"/>
          <w:spacing w:val="-3"/>
          <w:sz w:val="24"/>
          <w:szCs w:val="24"/>
        </w:rPr>
        <w:t xml:space="preserve"> </w:t>
      </w:r>
      <w:r>
        <w:rPr>
          <w:rFonts w:ascii="Arial" w:hAnsi="Arial" w:cs="Times New Roman"/>
          <w:color w:val="0D0D0D" w:themeColor="dark1" w:themeTint="F2"/>
          <w:sz w:val="24"/>
          <w:szCs w:val="24"/>
        </w:rPr>
        <w:t>a</w:t>
      </w:r>
      <w:r>
        <w:rPr>
          <w:rFonts w:ascii="Arial" w:hAnsi="Arial" w:cs="Times New Roman"/>
          <w:color w:val="0D0D0D" w:themeColor="dark1" w:themeTint="F2"/>
          <w:spacing w:val="-3"/>
          <w:sz w:val="24"/>
          <w:szCs w:val="24"/>
        </w:rPr>
        <w:t xml:space="preserve"> </w:t>
      </w:r>
      <w:r>
        <w:rPr>
          <w:rFonts w:ascii="Arial" w:hAnsi="Arial" w:cs="Times New Roman"/>
          <w:color w:val="0D0D0D" w:themeColor="dark1" w:themeTint="F2"/>
          <w:sz w:val="24"/>
          <w:szCs w:val="24"/>
        </w:rPr>
        <w:t>terceira seção aborda as principais implicações referente aos direitos afetados e as limitações na aposentadoria especial.</w:t>
      </w:r>
    </w:p>
    <w:p w:rsidR="009D60B7" w:rsidRDefault="009D60B7">
      <w:pPr>
        <w:spacing w:line="259" w:lineRule="auto"/>
        <w:rPr>
          <w:rFonts w:ascii="Arial" w:hAnsi="Arial" w:cs="Times New Roman"/>
          <w:sz w:val="24"/>
          <w:szCs w:val="24"/>
        </w:rPr>
      </w:pPr>
    </w:p>
    <w:p w:rsidR="009D60B7" w:rsidRPr="00101406" w:rsidRDefault="00425C09">
      <w:pPr>
        <w:spacing w:line="360" w:lineRule="auto"/>
        <w:rPr>
          <w:rFonts w:ascii="Arial" w:hAnsi="Arial"/>
          <w:sz w:val="24"/>
          <w:szCs w:val="24"/>
        </w:rPr>
      </w:pPr>
      <w:r w:rsidRPr="00101406">
        <w:rPr>
          <w:rFonts w:ascii="Arial" w:hAnsi="Arial" w:cs="Times New Roman"/>
          <w:sz w:val="24"/>
          <w:szCs w:val="24"/>
        </w:rPr>
        <w:t>1. ASPECTOS HISTÓRICOS DA PREVIDÊNCIA NO MUNDO</w:t>
      </w:r>
    </w:p>
    <w:p w:rsidR="009D60B7" w:rsidRDefault="00425C09">
      <w:pPr>
        <w:spacing w:line="360" w:lineRule="auto"/>
        <w:ind w:firstLine="709"/>
        <w:jc w:val="both"/>
        <w:rPr>
          <w:rFonts w:ascii="Arial" w:hAnsi="Arial"/>
          <w:sz w:val="24"/>
          <w:szCs w:val="24"/>
        </w:rPr>
      </w:pPr>
      <w:r>
        <w:rPr>
          <w:rFonts w:ascii="Arial" w:hAnsi="Arial" w:cs="Times New Roman"/>
          <w:sz w:val="24"/>
          <w:szCs w:val="24"/>
        </w:rPr>
        <w:lastRenderedPageBreak/>
        <w:t xml:space="preserve">Desde o começo, a ajuda aos vulneráveis baseava-se na caridade, papel inicialmente assumido pela Igreja Católica, contudo, logo esse mostrou-se inepto para apoiar de forma digna e em grande dimensão situações como desemprego, doenças, orfandade e invalidez.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Como descreve Santos (2023), nesse período, o auxílio não constituía direito subjetivo, mas mera expectativa, pois baseava-se dos recursos à disposição para a caridade. A mudança ocorreu na Inglaterra, em 1601, com o </w:t>
      </w:r>
      <w:r>
        <w:rPr>
          <w:rFonts w:ascii="Arial" w:hAnsi="Arial" w:cs="Times New Roman"/>
          <w:i/>
          <w:iCs/>
          <w:sz w:val="24"/>
          <w:szCs w:val="24"/>
        </w:rPr>
        <w:t>Act of Relief of the Poor</w:t>
      </w:r>
      <w:r>
        <w:rPr>
          <w:rFonts w:ascii="Arial" w:hAnsi="Arial" w:cs="Times New Roman"/>
          <w:sz w:val="24"/>
          <w:szCs w:val="24"/>
        </w:rPr>
        <w:t>, de Isabel I, que contrapôs ao Estado a responsabilidade de amparar os comprovadamente necessitados, formando a assistência pública e restringindo a dependência exclusiva da caridade. Nesse mesmo aspecto</w:t>
      </w:r>
      <w:r>
        <w:rPr>
          <w:rFonts w:ascii="Arial" w:hAnsi="Arial" w:cs="Times New Roman"/>
          <w:sz w:val="24"/>
          <w:szCs w:val="24"/>
          <w:lang w:val="pt-BR"/>
        </w:rPr>
        <w:t>,</w:t>
      </w:r>
      <w:r>
        <w:rPr>
          <w:rFonts w:ascii="Arial" w:hAnsi="Arial" w:cs="Times New Roman"/>
          <w:sz w:val="24"/>
          <w:szCs w:val="24"/>
        </w:rPr>
        <w:t xml:space="preserve"> destaca </w:t>
      </w:r>
      <w:r>
        <w:rPr>
          <w:rFonts w:ascii="Arial" w:hAnsi="Arial" w:cs="Times New Roman"/>
          <w:sz w:val="24"/>
          <w:szCs w:val="24"/>
          <w:lang w:val="pt-BR"/>
        </w:rPr>
        <w:t>Santos que:</w:t>
      </w:r>
    </w:p>
    <w:p w:rsidR="009D60B7" w:rsidRDefault="00425C09">
      <w:pPr>
        <w:ind w:left="860" w:firstLine="851"/>
        <w:rPr>
          <w:rFonts w:ascii="Arial" w:hAnsi="Arial"/>
          <w:sz w:val="20"/>
          <w:szCs w:val="20"/>
        </w:rPr>
      </w:pPr>
      <w:r>
        <w:rPr>
          <w:rFonts w:ascii="Arial" w:hAnsi="Arial"/>
          <w:sz w:val="20"/>
          <w:szCs w:val="20"/>
        </w:rPr>
        <w:t xml:space="preserve"> </w:t>
      </w:r>
    </w:p>
    <w:p w:rsidR="009D60B7" w:rsidRDefault="00425C09">
      <w:pPr>
        <w:ind w:left="2268"/>
        <w:jc w:val="both"/>
        <w:rPr>
          <w:rFonts w:ascii="Arial" w:hAnsi="Arial"/>
          <w:sz w:val="20"/>
          <w:szCs w:val="20"/>
        </w:rPr>
      </w:pPr>
      <w:r>
        <w:rPr>
          <w:rFonts w:ascii="Arial" w:hAnsi="Arial" w:cs="Times New Roman"/>
          <w:sz w:val="20"/>
          <w:szCs w:val="20"/>
        </w:rPr>
        <w:t>A preocupação com o bem-estar de seus membros levou algumas categorias profissionais a constituírem caixas de auxílio, com caráter mutualista, que davam direito a prestações em caso de doença ou morte. Havia uma semelhança com os seguros de vida, feitos principalmente por armadores de navios (Santos, 2023, p.15).</w:t>
      </w:r>
    </w:p>
    <w:p w:rsidR="009D60B7" w:rsidRDefault="009D60B7">
      <w:pPr>
        <w:ind w:left="2268" w:hanging="10"/>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seria insustentável o cuidado de inúmeras pessoas meramente pela generosidade alheia nesse sentido tornou-se incontestável a necessidade de formar uma estrutura de proteção. Nessas condições, surgiram as empresas seguradoras, planejadas com fins lucrativos e administradas segundo critérios econômicos e de equilíbrio financeiro.</w:t>
      </w:r>
    </w:p>
    <w:p w:rsidR="009D60B7" w:rsidRDefault="009D60B7">
      <w:pPr>
        <w:ind w:left="860" w:firstLine="708"/>
        <w:rPr>
          <w:rFonts w:ascii="Arial" w:hAnsi="Arial"/>
          <w:sz w:val="20"/>
          <w:szCs w:val="20"/>
        </w:rPr>
      </w:pPr>
    </w:p>
    <w:p w:rsidR="009D60B7" w:rsidRDefault="00425C09">
      <w:pPr>
        <w:ind w:left="2268"/>
        <w:jc w:val="both"/>
        <w:rPr>
          <w:rFonts w:ascii="Arial" w:hAnsi="Arial"/>
          <w:sz w:val="20"/>
          <w:szCs w:val="20"/>
        </w:rPr>
      </w:pPr>
      <w:r>
        <w:rPr>
          <w:rFonts w:ascii="Arial" w:hAnsi="Arial" w:cs="Times New Roman"/>
          <w:sz w:val="20"/>
          <w:szCs w:val="20"/>
        </w:rPr>
        <w:t>Dito de outra forma: amadurece historicamente a ideia de que se deve ter um direito à proteção, que as prestações previstas são ‘juridicamente exigíveis’, direito que deriva da contraprestação prévia em forma de quotas pagas pelo beneficiário ou por um terceiro por conta daquele (Santos, 2023, p.15).</w:t>
      </w:r>
    </w:p>
    <w:p w:rsidR="009D60B7" w:rsidRDefault="009D60B7">
      <w:pPr>
        <w:ind w:left="2268" w:hanging="10"/>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Com isso, o Instituto da Previdência Social floresceu-se em um contexto de excessivas modificações mundiais, carregando profundas mudanças nas relações sociais e na organização do trabalho, com demanda de alguma forma asseverar condições dignas de sobrevivência como explicita </w:t>
      </w:r>
      <w:r>
        <w:rPr>
          <w:rFonts w:ascii="Arial" w:hAnsi="Arial" w:cs="Times New Roman"/>
          <w:sz w:val="24"/>
          <w:szCs w:val="24"/>
          <w:lang w:val="pt-BR"/>
        </w:rPr>
        <w:t xml:space="preserve">Horvath </w:t>
      </w:r>
      <w:r>
        <w:rPr>
          <w:rFonts w:ascii="Arial" w:hAnsi="Arial" w:cs="Times New Roman"/>
          <w:sz w:val="24"/>
          <w:szCs w:val="24"/>
        </w:rPr>
        <w:t>Júnior:</w:t>
      </w:r>
    </w:p>
    <w:p w:rsidR="009D60B7" w:rsidRDefault="009D60B7">
      <w:pPr>
        <w:ind w:left="860" w:firstLine="708"/>
        <w:rPr>
          <w:rFonts w:ascii="Arial" w:hAnsi="Arial"/>
          <w:sz w:val="20"/>
          <w:szCs w:val="20"/>
        </w:rPr>
      </w:pPr>
    </w:p>
    <w:p w:rsidR="009D60B7" w:rsidRDefault="00425C09">
      <w:pPr>
        <w:ind w:left="2268"/>
        <w:jc w:val="both"/>
        <w:rPr>
          <w:rFonts w:ascii="Arial" w:hAnsi="Arial"/>
          <w:sz w:val="20"/>
          <w:szCs w:val="20"/>
        </w:rPr>
      </w:pPr>
      <w:r>
        <w:rPr>
          <w:rFonts w:ascii="Arial" w:hAnsi="Arial" w:cs="Times New Roman"/>
          <w:sz w:val="20"/>
          <w:szCs w:val="20"/>
        </w:rPr>
        <w:t>A proteção social está relacionada com o período de grandes modificações das relações sociais (de trabalho, familiares, de formatação do Estado) ocorridas no mundo a partir da metade do século XIX – mais especificamente a partir de 1850, fenômeno que ficou conhecido como segunda fase da Revolução Industrial (</w:t>
      </w:r>
      <w:r>
        <w:rPr>
          <w:rFonts w:ascii="Arial" w:hAnsi="Arial" w:cs="Times New Roman"/>
          <w:sz w:val="20"/>
          <w:szCs w:val="20"/>
          <w:lang w:val="pt-BR"/>
        </w:rPr>
        <w:t xml:space="preserve">Horvatth </w:t>
      </w:r>
      <w:r>
        <w:rPr>
          <w:rFonts w:ascii="Arial" w:hAnsi="Arial" w:cs="Times New Roman"/>
          <w:sz w:val="20"/>
          <w:szCs w:val="20"/>
        </w:rPr>
        <w:t>Junior, 2011, p.1).</w:t>
      </w:r>
    </w:p>
    <w:p w:rsidR="009D60B7" w:rsidRDefault="009D60B7">
      <w:pPr>
        <w:ind w:left="2268" w:hanging="10"/>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Com a dominação total de alguns e a utilização da mão de obra de outros, iniciaram as relações de emprego, fundamentadas na prestação de trabalho em troca de remuneração. Contudo, ainda não havia qualquer salvaguarda ao trabalhador diante de </w:t>
      </w:r>
      <w:r>
        <w:rPr>
          <w:rFonts w:ascii="Arial" w:hAnsi="Arial" w:cs="Times New Roman"/>
          <w:sz w:val="24"/>
          <w:szCs w:val="24"/>
        </w:rPr>
        <w:lastRenderedPageBreak/>
        <w:t>uma redução de sua capacidade laboral ou de uma incapacidade total para o trabalho (Santos; Lenza, 2025).</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Diante desse cenário, os trabalhadores passaram a se mobilizar e a reivindicar melhores condições de trabalho e de vida. Segundo Santos e Lenza (2025), assim, surgiram as primeiras preocupações voltadas à proteção do empregado frente a uma eventual redução ou mesmo a perda total de sua capacidade para o trabalho.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a Previdência Social surge nesse contexto de busca por melhores condições de trabalho e de vida, especialmente a partir das iniciativas do alemão Otto von Bismarck, no decorrer dos anos de 1883 a 1889, diante da primordialidade de salvar o ser humano contra riscos sociais. (</w:t>
      </w:r>
      <w:r>
        <w:rPr>
          <w:rFonts w:ascii="Arial" w:hAnsi="Arial" w:cs="Times New Roman"/>
          <w:sz w:val="24"/>
          <w:szCs w:val="24"/>
          <w:lang w:val="pt-BR"/>
        </w:rPr>
        <w:t xml:space="preserve">Horvath </w:t>
      </w:r>
      <w:r>
        <w:rPr>
          <w:rFonts w:ascii="Arial" w:hAnsi="Arial" w:cs="Times New Roman"/>
          <w:sz w:val="24"/>
          <w:szCs w:val="24"/>
        </w:rPr>
        <w:t>Júnior, 2011).</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Com essa preocupação deu-se a criação ao seguro social que agiria como uma sistematização de proteção ampliada a todos não sendo cerceada aos trabalhadores. De acordo com Santos e Lenza (2025), deveria ser obrigatório e não mais restrito aos trabalhadores da indústria, ao mesmo tempo em que a cobertura foi estendida a riscos como doença, acidente, invalidez, velhice, desemprego, orfandade e viuvez.</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Contudo, o sistema mostrou-se indefensível até o final da Primeira Guerra Mundial, em causa de enorme número de órfãos, viúvas e feridos. Já no período da Segunda Guerra, surgiu, com Beveridge (1942), trazendo o entendimento de que a proteção social deveria alcançar todos os cidadãos, uma vez que o seguro social inteiramente desenvolvido teria a encargo de sustentar segurança de renda e combater a miséria que era somente um dos vários problemas sociais a serem encarados, como destaca o autor acima.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para Borges (2003), consolidou-se a concepção de que o conjunto de proteção social deveria atender de maneira extensa às necessidades sociais. Como resultado, formaram-se duas correntes distintas a respeito dos sistemas de proteção social.</w:t>
      </w:r>
    </w:p>
    <w:p w:rsidR="009D60B7" w:rsidRDefault="009D60B7">
      <w:pPr>
        <w:ind w:left="860" w:firstLine="1134"/>
        <w:rPr>
          <w:rFonts w:ascii="Arial" w:hAnsi="Arial"/>
          <w:sz w:val="20"/>
          <w:szCs w:val="20"/>
        </w:rPr>
      </w:pPr>
    </w:p>
    <w:p w:rsidR="009D60B7" w:rsidRDefault="00425C09">
      <w:pPr>
        <w:ind w:left="2268"/>
        <w:jc w:val="both"/>
        <w:rPr>
          <w:rFonts w:ascii="Arial" w:hAnsi="Arial"/>
          <w:sz w:val="20"/>
          <w:szCs w:val="20"/>
        </w:rPr>
      </w:pPr>
      <w:r>
        <w:rPr>
          <w:rFonts w:ascii="Arial" w:hAnsi="Arial" w:cs="Times New Roman"/>
          <w:sz w:val="20"/>
          <w:szCs w:val="20"/>
        </w:rPr>
        <w:t xml:space="preserve">A primeira corrente, que seguia as proposições de Bismarck, possuía uma conotação muito mais “securitária”. Propunha que a proteção social ou previdenciária fosse destinada apenas aos trabalhadores que, de forma compulsória, deveriam verter contribuições para o sistema. Para esta corrente a responsabilidade do Estado deveria ser limitada à normatização e fiscalização do sistema, com pequeno aporte de recursos. O financiamento do sistema se dava com a contribuição dos trabalhadores e empregadores. A corrente “bismarckiana” encontrou campo para desenvolvimento em vários países, destacando-se a Alemanha, a França, a Bélgica, a Holanda e a Itália. A segunda corrente se formou a partir do trabalho de Beveridge, e, para ela, a proteção social deve se dar não somente ao trabalhador, mas também de modo universal a todo cidadão, independentemente de qualquer contribuição para o sistema. </w:t>
      </w:r>
      <w:r>
        <w:rPr>
          <w:rFonts w:ascii="Arial" w:hAnsi="Arial" w:cs="Times New Roman"/>
          <w:sz w:val="20"/>
          <w:szCs w:val="20"/>
        </w:rPr>
        <w:lastRenderedPageBreak/>
        <w:t>Segundo esta corrente, a responsabilidade do Estado é maior, com o orçamento estatal financiando a proteção social dos cidadãos. As propostas de Beveridge se desenvolveram de forma mais acentuada nos países nórdicos, especialmente na Suécia, na Noruega, na Finlândia, na Dinamarca e no Reino Unido (Borges, 2003, p. 32-33).</w:t>
      </w:r>
    </w:p>
    <w:p w:rsidR="009D60B7" w:rsidRDefault="009D60B7">
      <w:pPr>
        <w:ind w:left="2268"/>
        <w:rPr>
          <w:rFonts w:ascii="Arial" w:hAnsi="Arial" w:cs="Times New Roman"/>
          <w:sz w:val="20"/>
          <w:szCs w:val="20"/>
        </w:rPr>
      </w:pPr>
    </w:p>
    <w:p w:rsidR="009D60B7" w:rsidRDefault="009D60B7">
      <w:pPr>
        <w:ind w:left="2268" w:hanging="10"/>
        <w:rPr>
          <w:rFonts w:ascii="Arial" w:hAnsi="Arial"/>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Assim, a previdência social evoluiu de práticas assistenciais limitadas para um direito fundamental, garantindo proteção diante de riscos sociais e contribuindo para a promoção da dignidade e do bem-estar da população. O que nos leva ao próximo tópico, onde ficará evidente que, no que se refere a Previdência Social no Brasil foi adotado uma variação das duas correntes apresentadas neste tópico, com certa predominância de Bismarckiano. (Castro e Lazzari, 2026)</w:t>
      </w:r>
    </w:p>
    <w:p w:rsidR="009D60B7" w:rsidRDefault="009D60B7">
      <w:pPr>
        <w:spacing w:line="360" w:lineRule="auto"/>
        <w:rPr>
          <w:rFonts w:ascii="Arial" w:hAnsi="Arial" w:cs="Times New Roman"/>
          <w:sz w:val="24"/>
          <w:szCs w:val="24"/>
        </w:rPr>
      </w:pPr>
    </w:p>
    <w:p w:rsidR="009D60B7" w:rsidRDefault="00425C09">
      <w:pPr>
        <w:spacing w:line="360" w:lineRule="auto"/>
        <w:rPr>
          <w:rFonts w:ascii="Arial" w:hAnsi="Arial" w:cs="Times New Roman"/>
          <w:sz w:val="24"/>
          <w:szCs w:val="24"/>
        </w:rPr>
      </w:pPr>
      <w:r>
        <w:rPr>
          <w:rFonts w:ascii="Arial" w:hAnsi="Arial" w:cs="Times New Roman"/>
          <w:bCs/>
          <w:sz w:val="24"/>
          <w:szCs w:val="24"/>
        </w:rPr>
        <w:t>1.1 Aspectos históricos da previdência do Brasil</w:t>
      </w:r>
    </w:p>
    <w:p w:rsidR="009D60B7" w:rsidRDefault="00425C09">
      <w:pPr>
        <w:spacing w:line="360" w:lineRule="auto"/>
        <w:ind w:firstLine="709"/>
        <w:jc w:val="both"/>
        <w:rPr>
          <w:rFonts w:ascii="Arial" w:hAnsi="Arial"/>
          <w:sz w:val="24"/>
          <w:szCs w:val="24"/>
        </w:rPr>
      </w:pPr>
      <w:r>
        <w:rPr>
          <w:rFonts w:ascii="Arial" w:hAnsi="Arial" w:cs="Times New Roman"/>
          <w:color w:val="000000" w:themeColor="dark1"/>
          <w:sz w:val="24"/>
          <w:szCs w:val="24"/>
        </w:rPr>
        <w:t>No Brasil, a preocupação em amparar os pobres em situações de doença, abandono e na morte nasce das Confederações das Santas Casas de Misericórdia. Essas iniciativas foram tão pertinentes que sobrepujaram a formação do próprio Estado Brasileiro, existindo antes mesmo da primeira Constituição do País, sendo voltada à solidariedade. (Junho, 1999).</w:t>
      </w:r>
    </w:p>
    <w:p w:rsidR="009D60B7" w:rsidRDefault="00425C09">
      <w:pPr>
        <w:spacing w:line="360" w:lineRule="auto"/>
        <w:ind w:firstLine="709"/>
        <w:jc w:val="both"/>
        <w:rPr>
          <w:rFonts w:ascii="Arial" w:hAnsi="Arial"/>
          <w:sz w:val="24"/>
          <w:szCs w:val="24"/>
        </w:rPr>
      </w:pPr>
      <w:r>
        <w:rPr>
          <w:rFonts w:ascii="Arial" w:hAnsi="Arial" w:cs="Times New Roman"/>
          <w:color w:val="000000" w:themeColor="dark1"/>
          <w:sz w:val="24"/>
          <w:szCs w:val="24"/>
        </w:rPr>
        <w:t>Conforme Junho (1999) explica, a Confederação das Santas Casas de Misericórdia e Hospitais Filantrópicos, essas instituições realizavam papel fundamental ao oferecer assistência aos enfermos e aos abandonados, idosos, crianças marginalizadas, além de amparar pessoas excluídas do convívio social, como criminosos doentes e indivíduos com transtornos mentais.</w:t>
      </w:r>
    </w:p>
    <w:p w:rsidR="009D60B7" w:rsidRDefault="00425C09">
      <w:pPr>
        <w:spacing w:line="360" w:lineRule="auto"/>
        <w:ind w:firstLine="709"/>
        <w:jc w:val="both"/>
        <w:rPr>
          <w:rFonts w:ascii="Arial" w:hAnsi="Arial"/>
          <w:sz w:val="24"/>
          <w:szCs w:val="24"/>
        </w:rPr>
      </w:pPr>
      <w:r>
        <w:rPr>
          <w:rFonts w:ascii="Arial" w:hAnsi="Arial" w:cs="Times New Roman"/>
          <w:color w:val="000000" w:themeColor="dark1"/>
          <w:sz w:val="24"/>
          <w:szCs w:val="24"/>
        </w:rPr>
        <w:t xml:space="preserve"> Com isso, as Santas Casas desenvolviam papel que hoje é conhecido como assistência social, sendo parte da previdência social, pois ao amparar por exemplo um empregado que perde sua capacidade de trabalho diante de um evento acidental estamos diante de uma proteção social (Junho, 1999).</w:t>
      </w:r>
    </w:p>
    <w:p w:rsidR="009D60B7" w:rsidRDefault="00425C09">
      <w:pPr>
        <w:spacing w:line="360" w:lineRule="auto"/>
        <w:ind w:firstLine="709"/>
        <w:jc w:val="both"/>
        <w:rPr>
          <w:rFonts w:ascii="Arial" w:hAnsi="Arial"/>
          <w:sz w:val="24"/>
          <w:szCs w:val="24"/>
        </w:rPr>
      </w:pPr>
      <w:r>
        <w:rPr>
          <w:rFonts w:ascii="Arial" w:hAnsi="Arial" w:cs="Times New Roman"/>
          <w:color w:val="000000" w:themeColor="dark1"/>
          <w:sz w:val="24"/>
          <w:szCs w:val="24"/>
        </w:rPr>
        <w:t xml:space="preserve">Sumariamente, é de relevância também evidenciarmos a previsão da previdência social no contexto das Constituições Federais Brasileiras já vigentes em nosso ordenamento jurídico brasileiro. Desde a Constituição Política do Império, disposta em 1824, até a Constituição conhecida como de Democracia e de Curta Duração de 1934 em que foi a primeira de forma pertinente a prever o amparo e a proteção social ao trabalhador, observa-se um intervalo de 110 anos marcado pela evolução dos direitos sociais no País (Brasil, 2018).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Nesse sentido, a Lei Eloy Chaves conforme o Decreto n.º 4.682/1923, explanou </w:t>
      </w:r>
      <w:r>
        <w:rPr>
          <w:rFonts w:ascii="Arial" w:hAnsi="Arial" w:cs="Times New Roman"/>
          <w:sz w:val="24"/>
          <w:szCs w:val="24"/>
        </w:rPr>
        <w:lastRenderedPageBreak/>
        <w:t xml:space="preserve">um movimento importante na formação do sistema previdenciário brasileiro ao criar as Caixas de Aposentadorias e Pensões (CAPs) para os empregados ferroviários. Suas regras anteviam aposentadoria aos 50 anos, desde que o trabalhador tivesse completado 30 anos de serviço, concedendo ainda a possibilidade de aposentadoria antes dessa idade, com redução proporcional de 25% no valor do benefício (Brasil, 1923).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Assim, um ferroviário que adentrasse na atividade muito jovem poderia se aposentar antes dos 50 anos. Essa norma é considerada o marco inicial e a base estrutural da Previdência Social no Brasil, na apresentação da Lei, Eloy traz em sua fala de um interesse em conseguir uma preservação aos trabalhadores ferroviários.</w:t>
      </w:r>
    </w:p>
    <w:p w:rsidR="009D60B7" w:rsidRDefault="009D60B7">
      <w:pPr>
        <w:ind w:left="60" w:firstLine="660"/>
        <w:jc w:val="both"/>
        <w:rPr>
          <w:rFonts w:ascii="Arial" w:hAnsi="Arial"/>
          <w:sz w:val="20"/>
          <w:szCs w:val="20"/>
        </w:rPr>
      </w:pPr>
    </w:p>
    <w:p w:rsidR="009D60B7" w:rsidRDefault="00425C09">
      <w:pPr>
        <w:ind w:left="2268"/>
        <w:jc w:val="both"/>
        <w:rPr>
          <w:rFonts w:ascii="Arial" w:hAnsi="Arial"/>
          <w:sz w:val="20"/>
          <w:szCs w:val="20"/>
        </w:rPr>
      </w:pPr>
      <w:r>
        <w:rPr>
          <w:rFonts w:ascii="Arial" w:hAnsi="Arial" w:cs="Times New Roman"/>
          <w:sz w:val="20"/>
          <w:szCs w:val="20"/>
        </w:rPr>
        <w:t>Até agora, os funcionários das ferrovias do país não têm nenhuma garantia para seus dias de velhice e para arrimo de sua família em caso de morte. É verdade que em algumas companhias existem sociedades beneficentes com ação limitada a socorros médicos e medicamentos, mas isso não basta. Estamos em novos tempos. As classes menos favorecidas aspiram mui justamente a um maior quinhão de vida e de conforto. Cumpre atendê-las com espírito liberal e amigo (Agência Senado, 2019, p.25).</w:t>
      </w:r>
    </w:p>
    <w:p w:rsidR="009D60B7" w:rsidRDefault="009D60B7">
      <w:pPr>
        <w:ind w:left="2268"/>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Entende-se, por fim, que a evolução da previdência social no Brasil nasce da proteção social ao indivíduo e ao longo inseriu características de diferentes modelos teóricos, combinando elementos do sistema Bismarckiano, de natureza contributiva e voltado aos trabalhadores, com aspectos do modelo Beveridgiano, de caráter universal e assistencial. (Castro e Lazzari, 2026)</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Podemos concluir que tal estrutura foi construída ao longo de toda história do sistema de organização da República Federativa Brasileira, sendo consolidada pela Constituição Federal de 1988, que instituiu a seguridade social abrangendo previdência, saúde e assistência social, demonstrando a adoção de um sistema misto de proteção social. </w:t>
      </w:r>
    </w:p>
    <w:p w:rsidR="009D60B7" w:rsidRDefault="009D60B7">
      <w:pPr>
        <w:pStyle w:val="Corpodetexto"/>
        <w:spacing w:line="360" w:lineRule="auto"/>
        <w:rPr>
          <w:rFonts w:ascii="Arial" w:hAnsi="Arial" w:cs="Times New Roman"/>
          <w:b/>
          <w:bCs/>
          <w:sz w:val="24"/>
          <w:szCs w:val="24"/>
        </w:rPr>
      </w:pPr>
    </w:p>
    <w:p w:rsidR="009D60B7" w:rsidRPr="00101406" w:rsidRDefault="00425C09">
      <w:pPr>
        <w:numPr>
          <w:ilvl w:val="0"/>
          <w:numId w:val="1"/>
        </w:numPr>
        <w:ind w:left="284" w:hanging="284"/>
        <w:rPr>
          <w:rFonts w:ascii="Arial" w:hAnsi="Arial" w:cs="Times New Roman"/>
          <w:sz w:val="24"/>
          <w:szCs w:val="24"/>
        </w:rPr>
      </w:pPr>
      <w:r w:rsidRPr="00101406">
        <w:rPr>
          <w:rFonts w:ascii="Arial" w:hAnsi="Arial" w:cs="Times New Roman"/>
          <w:sz w:val="24"/>
          <w:szCs w:val="24"/>
        </w:rPr>
        <w:t>BREVE RELATO HITÓRICO DA APOSENTADORIA ESPECIAL NO BRASIL</w:t>
      </w:r>
    </w:p>
    <w:p w:rsidR="009D60B7" w:rsidRDefault="009D60B7">
      <w:pPr>
        <w:rPr>
          <w:rFonts w:ascii="Arial" w:hAnsi="Arial" w:cs="Times New Roman"/>
          <w:b/>
          <w:sz w:val="24"/>
          <w:szCs w:val="24"/>
        </w:rPr>
      </w:pPr>
    </w:p>
    <w:p w:rsidR="009D60B7" w:rsidRDefault="00425C09">
      <w:pPr>
        <w:spacing w:line="360" w:lineRule="auto"/>
        <w:ind w:firstLine="709"/>
        <w:jc w:val="both"/>
        <w:rPr>
          <w:rFonts w:ascii="Arial" w:hAnsi="Arial"/>
          <w:sz w:val="24"/>
          <w:szCs w:val="24"/>
        </w:rPr>
      </w:pPr>
      <w:r>
        <w:rPr>
          <w:rFonts w:ascii="Arial" w:hAnsi="Arial" w:cs="Times New Roman"/>
          <w:color w:val="0D0D0D" w:themeColor="dark1" w:themeTint="F2"/>
          <w:sz w:val="24"/>
          <w:szCs w:val="24"/>
        </w:rPr>
        <w:t xml:space="preserve">No Brasil, antes de 1960 não existia um benefício categoricamente constituído que atentasse em especial os trabalhadores aparentes as atividades insalubres ou perigosas. </w:t>
      </w:r>
      <w:r>
        <w:rPr>
          <w:rFonts w:ascii="Arial" w:hAnsi="Arial" w:cs="Times New Roman"/>
          <w:sz w:val="24"/>
          <w:szCs w:val="24"/>
        </w:rPr>
        <w:t xml:space="preserve">Foi sancionada no Brasil a Lei nº 3.807/60, conhecida Lei Orgânica da Previdência Social (LOPS), que originou o primeiro sistema nacional constituído de previdência social.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Com isso, em seu artigo 31, a LOPS determinou categoricamente a viabilidade de </w:t>
      </w:r>
      <w:r>
        <w:rPr>
          <w:rFonts w:ascii="Arial" w:hAnsi="Arial" w:cs="Times New Roman"/>
          <w:sz w:val="24"/>
          <w:szCs w:val="24"/>
        </w:rPr>
        <w:lastRenderedPageBreak/>
        <w:t xml:space="preserve">Aposentadoria Especial para trabalhadores subordinados a atividades penosas, insalubres ou perigosas. Para a concessão desse benefício, a lei requeria idade mínima de 50 anos, carência de 15 anos de contribuições e comprovação do exercício de atividade profissional enquadrada como especial por 15, 20 ou 25 anos, conforme o grau de nocividade (Brasil,1960).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Essa estima representou um relevante símbolo, pois desencadeou formalmente a Aposentadoria Especial no ordenamento previdenciário brasileiro, que inicialmente era maneada pela legislação especial de aposentadoria dos aeronautas e a dos jornalistas profissionais, conforme previsto no capítulo IV da Lei n° 3.807/60.  </w:t>
      </w:r>
    </w:p>
    <w:p w:rsidR="009D60B7" w:rsidRDefault="00425C09">
      <w:pPr>
        <w:tabs>
          <w:tab w:val="left" w:pos="851"/>
        </w:tabs>
        <w:spacing w:line="360" w:lineRule="auto"/>
        <w:ind w:firstLine="709"/>
        <w:jc w:val="both"/>
        <w:rPr>
          <w:rFonts w:ascii="Arial" w:hAnsi="Arial"/>
          <w:sz w:val="24"/>
          <w:szCs w:val="24"/>
        </w:rPr>
      </w:pPr>
      <w:r>
        <w:rPr>
          <w:rFonts w:ascii="Arial" w:hAnsi="Arial" w:cs="Times New Roman"/>
          <w:sz w:val="24"/>
          <w:szCs w:val="24"/>
        </w:rPr>
        <w:tab/>
        <w:t xml:space="preserve">Após essa Lei, temos o Decreto n° 53.831, de 25 de março de 1964 que dispôs sobre a Aposentadoria Especial e trouxe um quadro acessório de todos os trabalhos insalubres, perigosos ou danosos, nesse quadro tínhamos indicado o código, o campo de execução, os serviços e atividades profissionais, classificação, o tempo de trabalho e observações, o qual permitia o enquadramento de profissões consideras insalubres, perigosas ou penosas e serve como base legal para averiguação de tempo especial no </w:t>
      </w:r>
      <w:r>
        <w:rPr>
          <w:rFonts w:ascii="Arial" w:hAnsi="Arial" w:cs="Times New Roman"/>
          <w:color w:val="0D0D0D" w:themeColor="dark1" w:themeTint="F2"/>
          <w:sz w:val="24"/>
          <w:szCs w:val="24"/>
        </w:rPr>
        <w:t xml:space="preserve">INSS (Brasil,1964).  </w:t>
      </w:r>
    </w:p>
    <w:p w:rsidR="009D60B7" w:rsidRDefault="00425C09">
      <w:pPr>
        <w:tabs>
          <w:tab w:val="left" w:pos="851"/>
        </w:tabs>
        <w:spacing w:line="360" w:lineRule="auto"/>
        <w:ind w:firstLine="709"/>
        <w:jc w:val="both"/>
        <w:rPr>
          <w:rFonts w:ascii="Arial" w:hAnsi="Arial"/>
          <w:sz w:val="24"/>
          <w:szCs w:val="24"/>
        </w:rPr>
      </w:pPr>
      <w:r>
        <w:rPr>
          <w:rFonts w:ascii="Arial" w:hAnsi="Arial" w:cs="Times New Roman"/>
          <w:sz w:val="24"/>
          <w:szCs w:val="24"/>
        </w:rPr>
        <w:t>Além disso, o Decreto n° 83.080, de 24 de janeiro de 1979, veio para acrescentar e organizar em categorias o decreto n° 53.831/64. O que facilitou, pois, o enquadramento era feito de forma automática sem a necessidade de prova técnica da exposição além de trazer mais estrutura e abrangência ao quadro acessório anteriormente citado (Brasil, 1979).</w:t>
      </w:r>
    </w:p>
    <w:p w:rsidR="009D60B7" w:rsidRDefault="00425C09">
      <w:pPr>
        <w:tabs>
          <w:tab w:val="left" w:pos="851"/>
        </w:tabs>
        <w:spacing w:line="360" w:lineRule="auto"/>
        <w:ind w:firstLine="709"/>
        <w:jc w:val="both"/>
        <w:rPr>
          <w:rFonts w:ascii="Arial" w:hAnsi="Arial"/>
          <w:sz w:val="24"/>
          <w:szCs w:val="24"/>
        </w:rPr>
      </w:pPr>
      <w:r>
        <w:rPr>
          <w:rFonts w:ascii="Arial" w:hAnsi="Arial" w:cs="Times New Roman"/>
          <w:sz w:val="24"/>
          <w:szCs w:val="24"/>
        </w:rPr>
        <w:tab/>
        <w:t xml:space="preserve">Após os Decretos de 64 e 79, o enquadramento das atividades especiais passou a considerar a relação entre profissões e agentes nocivos identificados por códigos. Embora ainda fosse possível a agnição pela categoria profissional, houve maior padronização e segurança jurídica, propiciando a análise e a concessão dos benefícios previdenciários (Brasil, 1964; Brasil, 1979).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Dessa forma, a Constituição Federal de 1988, conhecida como Constituição Cidadã, trouxe importantes modificações na legislação acerca da seguridade e assistência social. Em seu art. 201, § 1º, I e II, motivou profundo progresso ao assegurar proteção ao trabalhador exposto a condições prejudiciais à saúde ou à integridade física, trazendo robustez ao direito à aposentadoria especial com base em parâmetros mais pertinentes e alinhados à dignidade da pessoa humana (Brasil, 1988). O dispositivo estabelece que: </w:t>
      </w:r>
    </w:p>
    <w:p w:rsidR="009D60B7" w:rsidRDefault="00425C09">
      <w:pPr>
        <w:ind w:left="2268"/>
        <w:jc w:val="both"/>
        <w:rPr>
          <w:rFonts w:ascii="Arial" w:hAnsi="Arial"/>
          <w:sz w:val="20"/>
          <w:szCs w:val="20"/>
        </w:rPr>
      </w:pPr>
      <w:r>
        <w:rPr>
          <w:rFonts w:ascii="Arial" w:hAnsi="Arial" w:cs="Times New Roman"/>
          <w:sz w:val="20"/>
          <w:szCs w:val="20"/>
        </w:rPr>
        <w:t xml:space="preserve">§ 1º É vedada a adoção de requisitos ou critérios diferenciados para concessão </w:t>
      </w:r>
      <w:r>
        <w:rPr>
          <w:rFonts w:ascii="Arial" w:hAnsi="Arial" w:cs="Times New Roman"/>
          <w:sz w:val="20"/>
          <w:szCs w:val="20"/>
        </w:rPr>
        <w:lastRenderedPageBreak/>
        <w:t xml:space="preserve">de benefícios, ressalvada, nos termos de lei complementar, a possibilidade de previsão de idade e tempo de contribuição distintos da regra geral para concessão de aposentadoria exclusivamente em favor dos segurados: </w:t>
      </w:r>
    </w:p>
    <w:p w:rsidR="009D60B7" w:rsidRDefault="00425C09">
      <w:pPr>
        <w:ind w:left="2268"/>
        <w:jc w:val="both"/>
        <w:rPr>
          <w:rFonts w:ascii="Arial" w:hAnsi="Arial"/>
          <w:sz w:val="20"/>
          <w:szCs w:val="20"/>
        </w:rPr>
      </w:pPr>
      <w:r>
        <w:rPr>
          <w:rFonts w:ascii="Arial" w:hAnsi="Arial" w:cs="Times New Roman"/>
          <w:sz w:val="20"/>
          <w:szCs w:val="20"/>
        </w:rPr>
        <w:t xml:space="preserve">I - com deficiência, previamente submetidos a avaliação biopsicossocial realizada por equipe multiprofissional e interdisciplinar; </w:t>
      </w:r>
    </w:p>
    <w:p w:rsidR="009D60B7" w:rsidRDefault="00425C09">
      <w:pPr>
        <w:ind w:left="2268"/>
        <w:jc w:val="both"/>
        <w:rPr>
          <w:rFonts w:ascii="Arial" w:hAnsi="Arial"/>
          <w:sz w:val="20"/>
          <w:szCs w:val="20"/>
        </w:rPr>
      </w:pPr>
      <w:r>
        <w:rPr>
          <w:rFonts w:ascii="Arial" w:hAnsi="Arial" w:cs="Times New Roman"/>
          <w:sz w:val="20"/>
          <w:szCs w:val="20"/>
        </w:rPr>
        <w:t>II - cujas atividades sejam exercidas com efetiva exposição a agentes químicos, físicos e biológicos prejudiciais à saúde, ou associação desses agentes, vedada a caracterização por categoria profissional ou ocupação (Brasil, 1988, p. 2).</w:t>
      </w:r>
    </w:p>
    <w:p w:rsidR="009D60B7" w:rsidRDefault="009D60B7">
      <w:pPr>
        <w:ind w:left="2268"/>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A partir dessa base constitucional, o raciocínio sobre a proteção social tornou-se mais forte, reforçando um dos princípios estruturantes do nosso sistema jurídico brasileiro: a dignidade da pessoa humana.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 acordo com a Lei nº 9.032, de 28 de abril de 1995, houve uma modificação significativa no artigo 57 da Lei nº 8.213/1991, eliminando o enquadramento automático por categoria profissional. A partir dessa mudança, tornou-se imprescindível a comprovação da concreta exposição do trabalhador a agentes nocivos à saúde, deixando de predominar apenas a profissão exercida e passando a ser decisório o risco real da atividade executada (Brasil, 1995).</w:t>
      </w:r>
    </w:p>
    <w:p w:rsidR="009D60B7" w:rsidRDefault="00425C09">
      <w:pPr>
        <w:spacing w:line="360" w:lineRule="auto"/>
        <w:ind w:firstLine="709"/>
        <w:jc w:val="both"/>
        <w:rPr>
          <w:rFonts w:ascii="Arial" w:hAnsi="Arial"/>
          <w:sz w:val="24"/>
          <w:szCs w:val="24"/>
        </w:rPr>
      </w:pPr>
      <w:r>
        <w:rPr>
          <w:rFonts w:ascii="Arial" w:hAnsi="Arial" w:cs="Times New Roman"/>
          <w:sz w:val="24"/>
          <w:szCs w:val="24"/>
        </w:rPr>
        <w:t>Logo, o Decreto 3.048 de 6 de maio de 1999, aprovou o Regulamento da Previdência Social, em que a aposentadoria especial passou por uma padronização, deixando de ser examinada com sustentação em profissões ou declarações pelo empregador e passando a legitimar um formato mais técnico (Brasil, 1999).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Partindo dessa conceituação o sistema se tornou mais exigente, pois deixou de reputar apenas a profissão e passou a investigar as condições factuais de trabalho, gerando um modelo fundamentado na comprovação verdadeira da insalubridade, impactando rigorosamente a forma de reconhecimento.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Em 06 de maio de 1999, é aprovado o regulamento da Previdência Social que passa a solidar esse caráter formal e normatizado com a criação da (PPP) Perfil Profissiográfico Previdenciário e o Laudo Técnico de Condições Ambientais do Trabalho (LTCAT), trazendo de forma mais uniforme os agentes químicos, físicos e biológicos, definindo inclusive limites de tolerância, o que antes era feito de forma subjetiva, agora passa a ser de forma cientifica, sendo o ponto central a preservação da saúde do trabalhador. </w:t>
      </w:r>
      <w:r>
        <w:rPr>
          <w:rFonts w:ascii="Arial" w:hAnsi="Arial" w:cs="Times New Roman"/>
          <w:sz w:val="24"/>
          <w:szCs w:val="24"/>
          <w:lang w:val="pt-BR"/>
        </w:rPr>
        <w:t xml:space="preserve"> </w:t>
      </w:r>
      <w:r>
        <w:rPr>
          <w:rFonts w:ascii="Arial" w:hAnsi="Arial" w:cs="Times New Roman"/>
          <w:sz w:val="24"/>
          <w:szCs w:val="24"/>
        </w:rPr>
        <w:t>Como prevê em seu artigo 5°, I:</w:t>
      </w:r>
    </w:p>
    <w:p w:rsidR="009D60B7" w:rsidRDefault="00425C09">
      <w:pPr>
        <w:ind w:left="2268"/>
        <w:jc w:val="both"/>
        <w:rPr>
          <w:rFonts w:ascii="Arial" w:hAnsi="Arial"/>
          <w:sz w:val="20"/>
          <w:szCs w:val="20"/>
        </w:rPr>
      </w:pPr>
      <w:r>
        <w:rPr>
          <w:rFonts w:ascii="Arial" w:hAnsi="Arial" w:cs="Times New Roman"/>
          <w:sz w:val="20"/>
          <w:szCs w:val="20"/>
        </w:rPr>
        <w:t xml:space="preserve">Art. 5º A previdência social será organizada sob a forma de regime geral, de caráter contributivo e de filiação obrigatória, observados critérios que preservem o equilíbrio financeiro e atuarial, e atenderá a: </w:t>
      </w:r>
    </w:p>
    <w:p w:rsidR="009D60B7" w:rsidRDefault="00425C09">
      <w:pPr>
        <w:ind w:left="2268"/>
        <w:rPr>
          <w:rFonts w:ascii="Arial" w:hAnsi="Arial"/>
          <w:sz w:val="20"/>
          <w:szCs w:val="20"/>
        </w:rPr>
      </w:pPr>
      <w:r>
        <w:rPr>
          <w:rFonts w:ascii="Arial" w:hAnsi="Arial" w:cs="Times New Roman"/>
          <w:sz w:val="20"/>
          <w:szCs w:val="20"/>
        </w:rPr>
        <w:t>I -cobertura de eventos de incapacidade temporária ou permanente para trabalho e idade avançada (Brasil, 1999, p. 12).</w:t>
      </w:r>
    </w:p>
    <w:p w:rsidR="009D60B7" w:rsidRDefault="009D60B7">
      <w:pPr>
        <w:ind w:left="2268"/>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Partindo desta ideia o sistema que previamente havia se tornado rigoroso se torna </w:t>
      </w:r>
      <w:r>
        <w:rPr>
          <w:rFonts w:ascii="Arial" w:hAnsi="Arial" w:cs="Times New Roman"/>
          <w:sz w:val="24"/>
          <w:szCs w:val="24"/>
        </w:rPr>
        <w:lastRenderedPageBreak/>
        <w:t xml:space="preserve">mais técnico, o que prejudica o trabalhador, pois seguindo essa ideia não era mais suficiente a profissão de risco a saúde, era preciso a comprovação real do risco.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chegamos Emenda Constitucional nº 103, de 12 de novembro de 2019, tal emenda produziu reforma no sistema da previdência social e instituiu regras de transição, trouxe como requisito a idade mínima de 55 anos, 58 ou 60 anos, que será abordada em próximo tópico, também alterou o cálculo do benefício e vedou a conversão do tempo especial após 2019 (Brasil, 2019).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Conforme destacou o portal Agência Senado, o objetivo, segundo o Executivo foi de reduzir o déficit nas contas da Previdência Social. A estimativa de economia é de cerca de R$ 800 bilhões em 10 anos (Agência Senado, 2019).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Portanto, tal entendimento se faz válido para compreendermos o segundo tópico, foi demonstrado que a Aposentadoria Especial se origina da necessidade de proteção e amparo ao trabalhador que dedica significativa parte de sua vida a atividades de risco no exercício de sua profissão, sua capacidade laborativa é consideravelmente reduzida por sua atividade</w:t>
      </w:r>
      <w:r>
        <w:rPr>
          <w:rFonts w:ascii="Arial" w:hAnsi="Arial" w:cs="Times New Roman"/>
          <w:color w:val="000000" w:themeColor="dark1"/>
          <w:sz w:val="24"/>
          <w:szCs w:val="24"/>
        </w:rPr>
        <w:t xml:space="preserve">. </w:t>
      </w:r>
      <w:r>
        <w:rPr>
          <w:rFonts w:ascii="Arial" w:hAnsi="Arial" w:cs="Times New Roman"/>
          <w:sz w:val="24"/>
          <w:szCs w:val="24"/>
        </w:rPr>
        <w:t>(Júnior, 2011)</w:t>
      </w:r>
      <w:r>
        <w:rPr>
          <w:rFonts w:ascii="Arial" w:hAnsi="Arial" w:cs="Times New Roman"/>
          <w:color w:val="000000" w:themeColor="dark1"/>
          <w:sz w:val="24"/>
          <w:szCs w:val="24"/>
        </w:rPr>
        <w:t>.</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Em resumo, o entendimento que precisamos partir é de que se tal Emenda Constitucional reconheceu a devida proteção ao trabalhador e a redução de sua capacidade laborativa, ou tão somente a preocupação foi exclusivamente com déficit na economia. </w:t>
      </w:r>
      <w:r>
        <w:rPr>
          <w:rFonts w:ascii="Arial" w:hAnsi="Arial" w:cs="Times New Roman"/>
          <w:color w:val="000000" w:themeColor="dark1"/>
          <w:sz w:val="24"/>
          <w:szCs w:val="24"/>
        </w:rPr>
        <w:t>Nesse contexto, faz-se importante analisar a Aposentadoria Especial sob a perspectiva de seus conceitos e requisitos legais, a fim de compreender sua finalidade protetiva no âmbito previdenciário.</w:t>
      </w:r>
    </w:p>
    <w:p w:rsidR="009D60B7" w:rsidRDefault="009D60B7">
      <w:pPr>
        <w:spacing w:line="360" w:lineRule="auto"/>
        <w:ind w:firstLine="709"/>
        <w:rPr>
          <w:rFonts w:ascii="Arial" w:hAnsi="Arial" w:cs="Times New Roman"/>
          <w:b/>
          <w:sz w:val="24"/>
          <w:szCs w:val="24"/>
        </w:rPr>
      </w:pPr>
    </w:p>
    <w:p w:rsidR="009D60B7" w:rsidRDefault="00425C09">
      <w:pPr>
        <w:rPr>
          <w:rFonts w:ascii="Arial" w:hAnsi="Arial"/>
          <w:sz w:val="24"/>
          <w:szCs w:val="24"/>
        </w:rPr>
      </w:pPr>
      <w:r>
        <w:rPr>
          <w:rFonts w:ascii="Arial" w:hAnsi="Arial" w:cs="Times New Roman"/>
          <w:bCs/>
          <w:sz w:val="24"/>
          <w:szCs w:val="24"/>
        </w:rPr>
        <w:t>2.1 Aposentadoria especial conceitos e requisitos</w:t>
      </w:r>
    </w:p>
    <w:p w:rsidR="009D60B7" w:rsidRDefault="009D60B7">
      <w:pPr>
        <w:rPr>
          <w:rFonts w:ascii="Arial" w:hAnsi="Arial" w:cs="Times New Roman"/>
          <w:b/>
          <w:sz w:val="24"/>
          <w:szCs w:val="24"/>
        </w:rPr>
      </w:pPr>
    </w:p>
    <w:p w:rsidR="009D60B7" w:rsidRDefault="00425C09">
      <w:pPr>
        <w:spacing w:line="360" w:lineRule="auto"/>
        <w:ind w:firstLine="709"/>
        <w:jc w:val="both"/>
        <w:rPr>
          <w:rFonts w:ascii="Arial" w:hAnsi="Arial"/>
          <w:sz w:val="20"/>
          <w:szCs w:val="20"/>
          <w:lang w:val="pt-BR"/>
        </w:rPr>
      </w:pPr>
      <w:r>
        <w:rPr>
          <w:rFonts w:ascii="Arial" w:hAnsi="Arial" w:cs="Times New Roman"/>
          <w:sz w:val="24"/>
          <w:szCs w:val="24"/>
        </w:rPr>
        <w:t xml:space="preserve">A própria terminologia já diferencia a Aposentadoria Especial das demais modalidades de aposentadorias ofertadas pelo Regime Geral da Previdência Social, já que ela é direcionada a proteção e compensação ao trabalhador da atividade especial, bem como exige requisitos dissemelhantes das outras, nas palavras de Domingos, </w:t>
      </w:r>
      <w:r>
        <w:rPr>
          <w:rFonts w:ascii="Arial" w:hAnsi="Arial" w:cs="Times New Roman"/>
          <w:sz w:val="24"/>
          <w:szCs w:val="24"/>
          <w:lang w:val="pt-BR"/>
        </w:rPr>
        <w:t xml:space="preserve">a </w:t>
      </w:r>
      <w:r>
        <w:rPr>
          <w:rFonts w:ascii="Arial" w:hAnsi="Arial" w:cs="Times New Roman"/>
          <w:sz w:val="24"/>
          <w:szCs w:val="24"/>
        </w:rPr>
        <w:t>Aposentadoria Especial é</w:t>
      </w:r>
      <w:r>
        <w:rPr>
          <w:rFonts w:ascii="Arial" w:hAnsi="Arial" w:cs="Times New Roman"/>
          <w:sz w:val="24"/>
          <w:szCs w:val="24"/>
          <w:lang w:val="pt-BR"/>
        </w:rPr>
        <w:t>:</w:t>
      </w:r>
    </w:p>
    <w:p w:rsidR="009D60B7" w:rsidRDefault="00425C09">
      <w:pPr>
        <w:ind w:left="2268"/>
        <w:jc w:val="both"/>
        <w:rPr>
          <w:rFonts w:ascii="Arial" w:hAnsi="Arial"/>
          <w:sz w:val="20"/>
          <w:szCs w:val="20"/>
        </w:rPr>
      </w:pPr>
      <w:r>
        <w:rPr>
          <w:rFonts w:ascii="Arial" w:hAnsi="Arial" w:cs="Times New Roman"/>
          <w:sz w:val="20"/>
          <w:szCs w:val="20"/>
        </w:rPr>
        <w:t>Uma espécie da aposentadoria por tempo de contribuição, tendo um dos seus requisitos (justamente o tempo) reduzido, em razão das condições insalubres (e, a depender de lei complementar, perigosas), às quais estiver sujeito o trabalhador, compensando-o pelos danos físicos (e às vezes psíquicos) decorrentes de tal exposição (Domingos, 2020, p. 24),</w:t>
      </w:r>
    </w:p>
    <w:p w:rsidR="009D60B7" w:rsidRDefault="009D60B7">
      <w:pPr>
        <w:ind w:left="2268"/>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Dessa forma para Domingos (2020), ofertada pelo Regime Geral da Previdência Social, como já falado anteriormente, ela é um benefício que se destina aos segurados </w:t>
      </w:r>
      <w:r>
        <w:rPr>
          <w:rFonts w:ascii="Arial" w:hAnsi="Arial" w:cs="Times New Roman"/>
          <w:sz w:val="24"/>
          <w:szCs w:val="24"/>
        </w:rPr>
        <w:lastRenderedPageBreak/>
        <w:t>que laboram em atividades prejudiciais à saúde e/ou a integridade física, logo, consiste na proteção dos trabalhadores, traz como requisitos a indispensabilidade da efetiva constatação de exposição a ambientes de trabalho insalubres e perigosos.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Nas palavras de Ribeiro (2010), a aposentadoria Especial é um instrumento de técnica protetiva do trabalhador, destinado a compensar o desgaste resultante da exposição aos agentes nocivos e prejudiciais à sua saúde ou integridade física.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isso, a insalubridade e a periculosidade consistem em institutos vitais de proteção ao trabalhador, estando diretamente associados à preservação da saúde e da integridade física no ambiente laboral. A insalubridade é caracterizada pela exposição do trabalhador a agentes nocivos, como químicos, físicos ou biológicos, acima dos limites de tolerância estabelecidos pelas normas regulamentadoras, podendo causar prejuízos graduais à saúde. Já a periculosidade está associada a atividades que estão sujeitas alto risco de acidentes graves ou fatais, como aquelas que envolvem inflamáveis, explosivos ou energia elétrica (Ribeiro, 2010).</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Ambos os institutos possuem natureza compensatória, caracterizada pelo pagamento de adicionais aos trabalhadores, nesse contexto, tais condições laborais estão diretamente relacionadas com a proteção previdenciária, especialmente no que se refere à Aposentadoria Especial, uma vez que expõe o trabalhador a maior desgaste durante o período laborado, trazendo-lhes, a curto, médio ou longo prazo, a depender do grau e quantidade de tempo de exposição, malefícios a saúde e bem estar físico, o que faz de ambos, requisitos para a concessão do mencionado benefício.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Portanto, precedentemente à obrigatoriedade da EC 103/2019, os requisitos para a concessão do benefício, bem como para a conversão de tempo eram mais brandos, sendo exigidos apenas 15 anos para atividades de alto risco, 20 anos para atividades de médio risco e 25 anos para atividades de baixo risco, como constava no artigo 57 da Lei 8.213/1991, e apresentação do Perfil Profissiográfico Previdenciário (PPP) e do Laudo Técnico de Condições Ambientais do Trabalho (LTCAT) para comprovar a exposição, não sendo exigida idade mínima. Sendo assim, nos próximos tópicos veremos um comparativo das exigências necessárias para a concessão da Aposentadoria Especial antes e após Emenda Constitucional 103/2019. </w:t>
      </w:r>
    </w:p>
    <w:p w:rsidR="009D60B7" w:rsidRDefault="009D60B7">
      <w:pPr>
        <w:rPr>
          <w:rFonts w:ascii="Arial" w:hAnsi="Arial" w:cs="Times New Roman"/>
          <w:b/>
          <w:sz w:val="24"/>
          <w:szCs w:val="24"/>
        </w:rPr>
      </w:pPr>
    </w:p>
    <w:p w:rsidR="009D60B7" w:rsidRPr="00101406" w:rsidRDefault="00425C09">
      <w:pPr>
        <w:jc w:val="both"/>
        <w:rPr>
          <w:rFonts w:ascii="Arial" w:hAnsi="Arial"/>
          <w:sz w:val="24"/>
          <w:szCs w:val="24"/>
        </w:rPr>
      </w:pPr>
      <w:r w:rsidRPr="00101406">
        <w:rPr>
          <w:rFonts w:ascii="Arial" w:hAnsi="Arial" w:cs="Times New Roman"/>
          <w:sz w:val="24"/>
          <w:szCs w:val="24"/>
        </w:rPr>
        <w:t>3. A EMENDA CONTITUCIONAL 103/2019 E SUAS PRINCIPAIS IMPLICAÇÕES NA</w:t>
      </w:r>
      <w:r w:rsidRPr="00101406">
        <w:rPr>
          <w:rFonts w:ascii="Arial" w:hAnsi="Arial" w:cs="Times New Roman"/>
          <w:sz w:val="24"/>
          <w:szCs w:val="24"/>
          <w:lang w:val="pt-BR"/>
        </w:rPr>
        <w:t xml:space="preserve"> </w:t>
      </w:r>
      <w:r w:rsidRPr="00101406">
        <w:rPr>
          <w:rFonts w:ascii="Arial" w:hAnsi="Arial" w:cs="Times New Roman"/>
          <w:sz w:val="24"/>
          <w:szCs w:val="24"/>
        </w:rPr>
        <w:t>APOSENTADORIA ESPECIAL</w:t>
      </w:r>
    </w:p>
    <w:p w:rsidR="009D60B7" w:rsidRDefault="009D60B7">
      <w:pPr>
        <w:rPr>
          <w:rFonts w:ascii="Arial" w:hAnsi="Arial" w:cs="Times New Roman"/>
          <w:b/>
          <w:bCs/>
          <w:sz w:val="24"/>
          <w:szCs w:val="24"/>
        </w:rPr>
      </w:pPr>
    </w:p>
    <w:p w:rsidR="009D60B7" w:rsidRDefault="00425C09">
      <w:pPr>
        <w:tabs>
          <w:tab w:val="left" w:pos="2268"/>
        </w:tabs>
        <w:spacing w:line="360" w:lineRule="auto"/>
        <w:ind w:firstLine="709"/>
        <w:jc w:val="both"/>
        <w:rPr>
          <w:rFonts w:ascii="Arial" w:hAnsi="Arial"/>
          <w:sz w:val="24"/>
          <w:szCs w:val="24"/>
        </w:rPr>
      </w:pPr>
      <w:r>
        <w:rPr>
          <w:rFonts w:ascii="Arial" w:hAnsi="Arial" w:cs="Times New Roman"/>
          <w:sz w:val="24"/>
          <w:szCs w:val="24"/>
        </w:rPr>
        <w:t xml:space="preserve">A Emenda Constitucional 103/2019 trouxe inúmeras implicações na concessão da </w:t>
      </w:r>
      <w:r>
        <w:rPr>
          <w:rFonts w:ascii="Arial" w:hAnsi="Arial" w:cs="Times New Roman"/>
          <w:sz w:val="24"/>
          <w:szCs w:val="24"/>
        </w:rPr>
        <w:lastRenderedPageBreak/>
        <w:t>aposentadoria especial, trabalhadores expostos a agentes físicos, químicos e biológicos, tais como substâncias químicas, ruído excessivo, calor intenso, eletricidade, radiação, entre outros, que antes da EC 103/2019 tinham assegurado o direito de sair mais cedo do mercado de trabalho por meio da chamada Aposentadoria Especial, que vigorava a título de prevenção, proteção e compensação desses trabalhadores, em razão das condições prejudiciais do trabalho, após a reforma, passaram a enfrentar dificuldades na concessão desse benefício.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a aprovação da EC 103/2019, novos requisitos passaram a ser impostos para a concessão do benefício, onde antes não era exigida idade mínima, após a introdução da emenda constitucional, passaram a ser critérios, respectivamente e cumulativamente 55 anos de idade e 15 anos de atividade comprovada em tempo de serviço exercido em condições especiais, 58 anos de idade e 20 anos de atividade especial e 60 anos de idade e 25 anos de atividade especial, conforme disposto no artigo 19°, §1º, inciso I da EC 103/2019 (Brasil, 2019).</w:t>
      </w:r>
      <w:r>
        <w:rPr>
          <w:rFonts w:ascii="Arial" w:hAnsi="Arial" w:cs="Times New Roman"/>
          <w:color w:val="C00000"/>
          <w:sz w:val="24"/>
          <w:szCs w:val="24"/>
        </w:rPr>
        <w:t xml:space="preserve">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Uma outra implicação relevante acerca das mudanças trazidas pelo artigo 26, caput e §1º, §2º, e  §5º da EC 103/2019 foi a mudança quanto a forma de cálculo do benefício, que antes da reforma correspondia a 100% da média de 80% dos maiores salários de contribuição, e que após a reforma passou a ser 60% da média de todos os salários de contribuição, com acréscimo de 2% por ano que exceder 20 anos de contribuição para homens e 15 anos para mulheres, o que passou a restringir o cálculo resultando na diminuição do valor da aposentadoria.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Segundo Borges (2023), a chamada reforma da previdência apresentou alterações com relação à concessão do benefício de Aposentadoria Especial, previamente a sua aprovação o benefício era concedido com base na comprovação de tempo de contribuição nas atividades consideradas especiais sendo exigidos, respectivamente 15, 20 e 25 anos, considerando o grau de risco e exposição, ou seja, a concessão dependia do nível de risco da atividade exercida e do tempo de exposição aos agentes nocivos.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Parafraseando Miguel Horvalth (2011), o que determina o direito à prestação é a exposição do trabalhador a agente nocivo presente nomeio ambiente laboral e no processo produtivo em nível de concentração superior aos limites de tolerância estabelecidos.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Dentre outras mudanças trazidas pela EC 103/2019 está a vedação da possibilidade da conversão do tempo especial em tempo comum, como consta no artigo </w:t>
      </w:r>
      <w:r>
        <w:rPr>
          <w:rFonts w:ascii="Arial" w:hAnsi="Arial" w:cs="Times New Roman"/>
          <w:sz w:val="24"/>
          <w:szCs w:val="24"/>
        </w:rPr>
        <w:lastRenderedPageBreak/>
        <w:t>25, §2º, disposição que afeta diretamente os trabalhadores da atividade especial, pois anteriormente a entrada em vigor da EC, a possibilidade de converter o tempo especial em tempo comum era aproveitada por aqueles trabalhadores que não tinham alcançado as contribuições necessárias para se aposentar na modalidade de Aposentadoria Especial (Brasil, 2019).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Para isso, multiplicava-se o tempo laborado na atividade especial, utilizando fatores correspondentes ao tempo concreto exercido na atividade, sendo 2,33 para 15 anos, 1,75 para 20 anos e 1,40 para 25 anos, para os homens e 2,00 para 15 anos, 1,50 para 20 anos e 1,20 para 25 anos, para as mulheres o que possibilitava que o segurado adquirisse mais rapidamente o tempo contribuição necessário para que pudesse se aposentar por tempo de contribuição, como evidenciaram Castro e Lazzari  (2014), quando disseram, à conversão de tempo de serviço trabalhado em condições especiais para tempo de atividade comum consiste na transformação daquele período com determinado acréscimo compensatório em favor do segurado.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Nesse sentido, a Emenda Constitucional também trouxe a previsão da chamada regra de transição, que são um conjunto de normas que visão amenizar o peso das mudanças implantadas, pois tende facilitar o processo para quem já contribuía antes de reforma, essa regra funciona na modalidade de pontos que resulta da soma da idade com o tempo de contribuição, contudo, também trouxe exigências e critérios que podem dificultar seu cumprimento, o que significa que mesmo trabalhadores com longo tempo de exposição precisam cumprir pontuação mínima para alcançar (Castro; Lazzari, 2014).</w:t>
      </w:r>
    </w:p>
    <w:p w:rsidR="009D60B7" w:rsidRDefault="00425C09">
      <w:pPr>
        <w:spacing w:line="360" w:lineRule="auto"/>
        <w:ind w:firstLine="709"/>
        <w:jc w:val="both"/>
        <w:rPr>
          <w:rFonts w:ascii="Arial" w:hAnsi="Arial"/>
          <w:sz w:val="24"/>
          <w:szCs w:val="24"/>
        </w:rPr>
      </w:pPr>
      <w:r>
        <w:rPr>
          <w:rFonts w:ascii="Arial" w:hAnsi="Arial" w:cs="Times New Roman"/>
          <w:sz w:val="24"/>
          <w:szCs w:val="24"/>
        </w:rPr>
        <w:t>Isso não significa dizer que não há mais possibilidade alguma de converter o tempo especial em tempo comum, essa impossibilidade ocorre apenas para segurados atuantes na atividade especial após a reforma, trabalhadores que laboraram no referido regime até 13/11/2019 ainda podem optar pela conversão.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a vedação dessa conversão para períodos posteriores à implementação da reforma, esses trabalhadores, tanto os que já tinham tempo especial quanto os que ainda virão a ter enfrentarão dificuldades como, por exemplo, maior rigor na comprovação da exposição a agentes nocivos, o que atrapalha o alcance para os requisitos necessários à aposentadoria, deixando evidenciado afastamento do direito desses segurados.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Pois, nas palavras de Ladenthin e Schuster (2020), suprimir do trabalhador o direito à conversão do tempo laborado em atividade especial é o mesmo que retirar seu direito, pois o trabalho que lhe causou malefícios passa a não valer de nada.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Além disso, muitos segurados da atividade especial, tais como mineiros, </w:t>
      </w:r>
      <w:r>
        <w:rPr>
          <w:rFonts w:ascii="Arial" w:hAnsi="Arial" w:cs="Times New Roman"/>
          <w:sz w:val="24"/>
          <w:szCs w:val="24"/>
        </w:rPr>
        <w:lastRenderedPageBreak/>
        <w:t xml:space="preserve">enfermeiros, médicos, soldadores e vigilantes armados, pautavam suas vidas laborativas visando a possibilidade de, se necessário, fazer a conversão do tempo especial para tempo comum, o que nitidamente causou a esses trabalhadores muitos questionamentos acerca da expectativa do direito que antes lhes era assegurado, bem como frustações no processo de requerer esse direito.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Nesse contexto, torna-se necessário analisar as consequências dessa alteração normativa para os segurados, especialmente no que se refere aos direitos preservados e às limitações impostas pela nova sistemática previdenciária (Brasil, 1979).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 fim, restou evidenciado que para os segurados com tempo especial, dentre todas as mudanças que os afetam, o maior impacto foi causado pela proibição da conversão de tempo especial em tempo comum, que antes da reforma, haja vista que para quem já atuava e pretendia continuar atuando na atividade especial não haverá mais possibilidade de converter o tempo de contribuição em atividade especial em tempo comum para que conseguisse acrescer o tempo e poder se aposentar em outras modalidades.</w:t>
      </w:r>
    </w:p>
    <w:p w:rsidR="009D60B7" w:rsidRDefault="009D60B7">
      <w:pPr>
        <w:pStyle w:val="Corpodetexto"/>
        <w:spacing w:line="360" w:lineRule="auto"/>
        <w:rPr>
          <w:rFonts w:ascii="Arial" w:hAnsi="Arial" w:cs="Times New Roman"/>
          <w:sz w:val="24"/>
          <w:szCs w:val="24"/>
        </w:rPr>
      </w:pPr>
    </w:p>
    <w:p w:rsidR="009D60B7" w:rsidRDefault="00425C09">
      <w:pPr>
        <w:pStyle w:val="Corpodetexto"/>
        <w:spacing w:line="360" w:lineRule="auto"/>
        <w:jc w:val="both"/>
        <w:rPr>
          <w:rFonts w:ascii="Arial" w:hAnsi="Arial"/>
          <w:sz w:val="24"/>
          <w:szCs w:val="24"/>
        </w:rPr>
      </w:pPr>
      <w:r>
        <w:rPr>
          <w:rFonts w:ascii="Arial" w:hAnsi="Arial" w:cs="Times New Roman"/>
          <w:bCs/>
          <w:sz w:val="24"/>
          <w:szCs w:val="24"/>
        </w:rPr>
        <w:t>3.1 Consequências para os segurados: direitos e limitações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Entre as principais implicações a mudança temos os direitos preservados, como o Direito Adquirido que garante que o trabalhador não seja prejudicado por mudanças posteriores na legislação, como tratado em tópico anterior, aqueles que haviam cumprido os requisitos até 13/11/2019 tiveram seus direitos resguardados, desde que devidamente comprovado todos os requisitos.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Já aqueles que não haviam completado adotou-se a, também trazida pela EC 103/2019, regra de transição baseada no sistema de pontos, que na teoria deveria buscar a preservação do trabalhador e evitar que ele fosse prejudicado, o que, na prática, não se mostrou eficaz, como já exposto anteriormente.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referida regra está prevista no art. 15 da Emenda Constitucional 103/2019, e corresponde ao somatório de idade e tempo de contribuição, em pontos, vejamos:</w:t>
      </w:r>
    </w:p>
    <w:p w:rsidR="009D60B7" w:rsidRDefault="00425C09">
      <w:pPr>
        <w:ind w:left="2268"/>
        <w:jc w:val="both"/>
        <w:rPr>
          <w:rFonts w:ascii="Arial" w:hAnsi="Arial"/>
          <w:sz w:val="20"/>
          <w:szCs w:val="20"/>
        </w:rPr>
      </w:pPr>
      <w:r>
        <w:rPr>
          <w:rFonts w:ascii="Arial" w:hAnsi="Arial" w:cs="Times New Roman"/>
          <w:sz w:val="20"/>
          <w:szCs w:val="20"/>
        </w:rPr>
        <w:t>Art. 15. Ao segurado filiado ao Regime Geral de Previdência Social até a data de entrada em vigor desta Emenda Constitucional, fica assegurado o direito à aposentadoria quando forem preenchidos, cumulativamente, os seguintes requisitos:</w:t>
      </w:r>
    </w:p>
    <w:p w:rsidR="009D60B7" w:rsidRDefault="00425C09">
      <w:pPr>
        <w:ind w:left="2268"/>
        <w:jc w:val="both"/>
        <w:rPr>
          <w:rFonts w:ascii="Arial" w:hAnsi="Arial"/>
          <w:sz w:val="20"/>
          <w:szCs w:val="20"/>
        </w:rPr>
      </w:pPr>
      <w:r>
        <w:rPr>
          <w:rFonts w:ascii="Arial" w:hAnsi="Arial" w:cs="Times New Roman"/>
          <w:sz w:val="20"/>
          <w:szCs w:val="20"/>
        </w:rPr>
        <w:t xml:space="preserve">I – 30 (trinta) anos de contribuição, se mulher, e 35 (trinta e cinco) anos de contribuição, se homem; e </w:t>
      </w:r>
    </w:p>
    <w:p w:rsidR="009D60B7" w:rsidRDefault="00425C09">
      <w:pPr>
        <w:ind w:left="2268"/>
        <w:jc w:val="both"/>
        <w:rPr>
          <w:rFonts w:ascii="Arial" w:hAnsi="Arial"/>
          <w:sz w:val="20"/>
          <w:szCs w:val="20"/>
        </w:rPr>
      </w:pPr>
      <w:r>
        <w:rPr>
          <w:rFonts w:ascii="Arial" w:hAnsi="Arial" w:cs="Times New Roman"/>
          <w:sz w:val="20"/>
          <w:szCs w:val="20"/>
        </w:rPr>
        <w:t xml:space="preserve">II – somatório da idade e do tempo de contribuição, incluídas as frações, equivalente a 86 (oitenta e seis) pontos, se mulher, e 96 (noventa e seis) pontos, se homem, observado o disposto nos §§ 1º e 2º. (…) </w:t>
      </w:r>
    </w:p>
    <w:p w:rsidR="009D60B7" w:rsidRDefault="00425C09">
      <w:pPr>
        <w:ind w:left="2268"/>
        <w:jc w:val="both"/>
        <w:rPr>
          <w:rFonts w:ascii="Arial" w:hAnsi="Arial"/>
          <w:sz w:val="20"/>
          <w:szCs w:val="20"/>
        </w:rPr>
      </w:pPr>
      <w:r>
        <w:rPr>
          <w:rFonts w:ascii="Arial" w:hAnsi="Arial" w:cs="Times New Roman"/>
          <w:sz w:val="20"/>
          <w:szCs w:val="20"/>
        </w:rPr>
        <w:t xml:space="preserve">§4º O valor da aposentadoria concedida nos termos do disposto neste artigo </w:t>
      </w:r>
      <w:r>
        <w:rPr>
          <w:rFonts w:ascii="Arial" w:hAnsi="Arial" w:cs="Times New Roman"/>
          <w:sz w:val="20"/>
          <w:szCs w:val="20"/>
        </w:rPr>
        <w:lastRenderedPageBreak/>
        <w:t>será apurado na forma da lei (Brasil, 2019).</w:t>
      </w:r>
    </w:p>
    <w:p w:rsidR="009D60B7" w:rsidRDefault="009D60B7">
      <w:pPr>
        <w:ind w:left="2268"/>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No entanto, há de se pensar que apesar da criação dessa regra, exige-se do trabalhador uma permanência prologada no mercado de trabalho, ou seja, ele passará mais tempo exposto a agentes nocivos nesse ambiente prejudicial para cumprir a regra e seus requisitos, a pergunta que fica é, se tal mudança atende de forma eficaz ao princípio da dignidade da pessoa humana, considerada como um dos princípios fundamentais do nosso Estado Democrático de Direito.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Nesse sentido Castro e Lazzari (2026), expõem que o princípio da proteção da confiança do indivíduo na ordem jurídica está intimamente ligado à segurança jurídica e à dignidade da pessoa humana, sendo elemento essencial do Estado de Direito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Ressalta-se que está é, como o próprio nome já demonstra, uma regra transitória, ou seja, logo deixará de existir, salienta-se ainda que se enquadram nesta regra apenas os segurados filiados até a entrada em vigor da EC 103/2019, o que automaticamente exclui os segurados filiados a partir dela, o que os obriga a seguir as novas diretrizes para que sejam contemplados com o benefício (Castro; Lazzari, 2026).</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Ante este fato, restam dúvidas e incertezas quanto a como se dará o processo de concessão da Aposentadoria Especial a partir da inexistência da referida regra, ficando claro que tal regra não protege adequadamente o segurado, dentro desse cenário, torna-se necessário analisar se, perante as mudanças introduzidas pela EC nº 103/2019, permanece assegurada a devida proteção ao trabalhador enquadrado em condições especiais de trabalho (Brasil, 2019).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Outra consequência relevante afetada sobre os Direitos da Aposentadoria Especial trazida pela EC nº 103/2019 diz respeito à expectativa de direito dos segurados.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Como menciona Fernandes (2020), considera-se direito adquirido aquele que seu titular, ou alguém por ele, possa exercer, como aquele cujo começo do exercício tenha termo pré-fixo, ou condição preestabelecida inalterável, ao arbítrio de outrem.</w:t>
      </w:r>
    </w:p>
    <w:p w:rsidR="009D60B7" w:rsidRDefault="00425C09">
      <w:pPr>
        <w:spacing w:line="360" w:lineRule="auto"/>
        <w:ind w:firstLine="709"/>
        <w:jc w:val="both"/>
        <w:rPr>
          <w:rFonts w:ascii="Arial" w:hAnsi="Arial"/>
          <w:sz w:val="24"/>
          <w:szCs w:val="24"/>
        </w:rPr>
      </w:pPr>
      <w:r>
        <w:rPr>
          <w:rFonts w:ascii="Arial" w:hAnsi="Arial" w:cs="Times New Roman"/>
          <w:sz w:val="24"/>
          <w:szCs w:val="24"/>
        </w:rPr>
        <w:t>Muitos trabalhadores que exerciam atividades em condições prejudiciais à saúde estruturavam sua vida laboral considerando o direito de converter o tempo de trabalho especial em tempo comum como forma de antecipar sua saída do mercado de trabalho. Entretanto, com as alterações articuladas pela reforma, essa expectativa foi significativamente afetada (Fernandes, 2020).</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Isso intercorreu porque a Emenda passou a exigir idade mínima para a concessão da Aposentadoria Especial, requisito que não era previamente exigido na mesma forma, </w:t>
      </w:r>
      <w:r>
        <w:rPr>
          <w:rFonts w:ascii="Arial" w:hAnsi="Arial" w:cs="Times New Roman"/>
          <w:sz w:val="24"/>
          <w:szCs w:val="24"/>
        </w:rPr>
        <w:lastRenderedPageBreak/>
        <w:t xml:space="preserve">o que, na prática, acrescenta o tempo de permanência desses trabalhadores em atividades eventualmente nocivas. Além disso, a reforma também trouxe mudanças na forma de reconhecimento da atividade especial, e na estrutura de cálculo do benefício, restringindo determinadas possibilidades anteriormente existentes, conforme já exposto no desenvolvimento do trabalho. conforme </w:t>
      </w:r>
      <w:r>
        <w:rPr>
          <w:rFonts w:ascii="Arial" w:hAnsi="Arial" w:cs="Times New Roman"/>
          <w:color w:val="000000" w:themeColor="dark1"/>
          <w:sz w:val="24"/>
          <w:szCs w:val="24"/>
        </w:rPr>
        <w:t>art. 201, §1º, da Constituição Federal, com redação dada pela EC nº 103/2019. (Brasil, 2019)</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 fim, como consequência, tais alterações podem resultar não apenas na necessidade de permanência por mais tempo no mercado de trabalho, mas também em impactos no valor final do benefício, em razão das novas regras de cálculo introduzidas pela reforma previdenciária. Dessa forma, observa-se que a EC nº 103/2019, ao mesmo tempo em que buscou reorganizar o sistema previdenciário, acabou por afetar expectativas legítimas de trabalhadores que, por longos períodos, exerceram atividades sob condições prejudiciais à saúde.</w:t>
      </w:r>
    </w:p>
    <w:p w:rsidR="009D60B7" w:rsidRDefault="009D60B7">
      <w:pPr>
        <w:spacing w:line="259" w:lineRule="auto"/>
        <w:rPr>
          <w:rFonts w:ascii="Arial" w:hAnsi="Arial" w:cs="Times New Roman"/>
          <w:sz w:val="24"/>
          <w:szCs w:val="24"/>
        </w:rPr>
      </w:pPr>
    </w:p>
    <w:p w:rsidR="009D60B7" w:rsidRDefault="00425C09">
      <w:pPr>
        <w:spacing w:line="259" w:lineRule="auto"/>
        <w:rPr>
          <w:rFonts w:ascii="Arial" w:hAnsi="Arial"/>
          <w:sz w:val="24"/>
          <w:szCs w:val="24"/>
        </w:rPr>
      </w:pPr>
      <w:r w:rsidRPr="00101406">
        <w:rPr>
          <w:rFonts w:ascii="Arial" w:hAnsi="Arial" w:cs="Times New Roman"/>
          <w:sz w:val="24"/>
          <w:szCs w:val="24"/>
        </w:rPr>
        <w:t>CONCLUSÃO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Conclui-se que, com a entrada em vigor da EC 103/2019, os segurados passaram a ter sua segurança jurídica significativamente prejudicada. Nesse sentido, sustenta que a segurança jurídica está diretamente ligada à dignidade da pessoa humana, de modo que a instabilidade normativa compromete a confiança dos indivíduos nas instituições e na estabilidade de suas posições jurídicas.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a análise desenvolvida ao longo deste estudo permite assimilar que a Emenda Constitucional nº 103/2019 promoveu mudanças profundas no regime da aposentadoria especial, alterando notadamente não apenas os requisitos para sua concessão, mas também a própria logicidade de proteção ao trabalhador exposto a agentes nocivos. Dentre essas alterações, acentua a vedação da conversão do tempo especial em tempo comum para períodos posteriores à reforma, medida que limitou um importante instrumento de planejamento previdenciário utilizado pelos segurados para oportunizar sua aposentadoria, agravando, assim, o cenário de insegurança jurídica.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Historicamente, a Aposentadoria Especial foi formada como uma ferramenta de proteção social, voltada a contrapesar os prejuízos à saúde subsequentes da exposição prolongada a condições insalubres ou perigosas. No entanto, com a reforma previdenciária, constata-se uma mudança de norma, em que critérios mais rígidos, como a exigência de idade mínima e a nova forma de cálculo do benefício, passaram a complexificar o acesso a esse direito, além de reduzir o valor das prestações.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lastRenderedPageBreak/>
        <w:t>A impossibilidade de conversão do tempo especial em comum representa, nesse cenário, uma restrição expressiva aos segurados, especialmente àqueles que não conseguiram atingir inteiramente os requisitos da Aposentadoria Especial até à data da reforma. Ainda que o direito adquirido tenha sido preservado e regras de transição tenham sido instituídas, verifica-se que tais mecanismos não foram eficazes para proteger plenamente a expectativa de direito de muitos trabalhadores, que organizaram suas trajetórias laborais com base em regras de antemão vigentes.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Além disso, as mudanças inseridas pela EC nº 103/2019 ocasionaram considerações quanto à efetividade dos princípios constitucionais, como a segurança jurídica, a proteção da confiança e a dignidade da pessoa humana. Isso porque a exigência de maior tempo de permanência em atividades nocivas pode, na prática, incompatibiliza do propósito da Aposentadoria Especial.</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conclui-se que, não obstante a reforma ter sido justificada pela precisão de equilíbrio financeiro e atuarial do sistema previdenciário, seus impactos sobre os trabalhadores expostos a condições especiais exibem uma fricção entre a sustentabilidade do sistema e a garantia de direitos sociais fundamentais. Nesse cenário, torna-se necessário o consecutivo debate jurídico e social acerca da harmonização dessas mudanças, bem como a busca por mecanismos que proporcionem, de forma efetiva, a proteção dos segurados mais vulneráveis dentro do sistema previdenciário brasileiro.</w:t>
      </w:r>
    </w:p>
    <w:p w:rsidR="009D60B7" w:rsidRDefault="009D60B7">
      <w:pPr>
        <w:spacing w:line="360" w:lineRule="auto"/>
        <w:rPr>
          <w:rFonts w:ascii="Arial" w:hAnsi="Arial" w:cs="Times New Roman"/>
          <w:sz w:val="24"/>
          <w:szCs w:val="24"/>
        </w:rPr>
      </w:pPr>
    </w:p>
    <w:p w:rsidR="009D60B7" w:rsidRPr="00101406" w:rsidRDefault="00425C09">
      <w:pPr>
        <w:spacing w:line="259" w:lineRule="auto"/>
        <w:rPr>
          <w:rFonts w:ascii="Arial" w:hAnsi="Arial"/>
          <w:sz w:val="24"/>
          <w:szCs w:val="24"/>
        </w:rPr>
      </w:pPr>
      <w:r w:rsidRPr="00101406">
        <w:rPr>
          <w:rFonts w:ascii="Arial" w:hAnsi="Arial" w:cs="Times New Roman"/>
          <w:sz w:val="24"/>
          <w:szCs w:val="24"/>
        </w:rPr>
        <w:t xml:space="preserve">REFERÊNCIAS </w:t>
      </w:r>
    </w:p>
    <w:p w:rsidR="009D60B7" w:rsidRDefault="009D60B7">
      <w:pPr>
        <w:rPr>
          <w:rFonts w:ascii="Arial" w:hAnsi="Arial" w:cs="Times New Roman"/>
          <w:b/>
          <w:sz w:val="24"/>
          <w:szCs w:val="24"/>
        </w:rPr>
      </w:pPr>
    </w:p>
    <w:p w:rsidR="009D60B7" w:rsidRDefault="00425C09">
      <w:pPr>
        <w:rPr>
          <w:sz w:val="24"/>
          <w:szCs w:val="24"/>
        </w:rPr>
      </w:pPr>
      <w:r>
        <w:rPr>
          <w:rFonts w:ascii="Arial" w:hAnsi="Arial" w:cs="Times New Roman"/>
          <w:sz w:val="24"/>
          <w:szCs w:val="24"/>
        </w:rPr>
        <w:t xml:space="preserve">AGÊNCIA SENADO. </w:t>
      </w:r>
      <w:r>
        <w:rPr>
          <w:rFonts w:ascii="Arial" w:hAnsi="Arial" w:cs="Times New Roman"/>
          <w:b/>
          <w:bCs/>
          <w:sz w:val="24"/>
          <w:szCs w:val="24"/>
        </w:rPr>
        <w:t>Promulgada emenda constitucional da reforma da Previdência.</w:t>
      </w:r>
      <w:r>
        <w:rPr>
          <w:rFonts w:ascii="Arial" w:hAnsi="Arial" w:cs="Times New Roman"/>
          <w:sz w:val="24"/>
          <w:szCs w:val="24"/>
        </w:rPr>
        <w:t xml:space="preserve"> Senado Notícias, 12 nov. 2019. Disponível em: </w:t>
      </w:r>
      <w:hyperlink r:id="rId56" w:tgtFrame="_new">
        <w:r>
          <w:rPr>
            <w:rStyle w:val="Hyperlink1"/>
            <w:rFonts w:ascii="Arial" w:hAnsi="Arial" w:cs="Times New Roman"/>
            <w:color w:val="auto"/>
            <w:sz w:val="24"/>
            <w:szCs w:val="24"/>
            <w:u w:val="none"/>
          </w:rPr>
          <w:t>https://www12.senado.leg.br/noticias/materias/2019/11/12/promulgada-emenda-constitucional-da-reforma-da-previdencia</w:t>
        </w:r>
      </w:hyperlink>
      <w:r>
        <w:rPr>
          <w:rFonts w:ascii="Arial" w:hAnsi="Arial" w:cs="Times New Roman"/>
          <w:sz w:val="24"/>
          <w:szCs w:val="24"/>
        </w:rPr>
        <w:t>. Acesso em: 18 abr. 2026.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BEVERIDGE, William. </w:t>
      </w:r>
      <w:r>
        <w:rPr>
          <w:rFonts w:ascii="Arial" w:hAnsi="Arial" w:cs="Times New Roman"/>
          <w:b/>
          <w:bCs/>
          <w:sz w:val="24"/>
          <w:szCs w:val="24"/>
        </w:rPr>
        <w:t>O Plano Beveridge: Relatório sobre o seguro social e serviços afins</w:t>
      </w:r>
      <w:r>
        <w:rPr>
          <w:rFonts w:ascii="Arial" w:hAnsi="Arial" w:cs="Times New Roman"/>
          <w:sz w:val="24"/>
          <w:szCs w:val="24"/>
        </w:rPr>
        <w:t xml:space="preserve">. Rio de Janeiro: Editora José Olympio, 1942.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BORGES, Mauro Ribeiro. </w:t>
      </w:r>
      <w:r>
        <w:rPr>
          <w:rFonts w:ascii="Arial" w:hAnsi="Arial" w:cs="Times New Roman"/>
          <w:b/>
          <w:bCs/>
          <w:sz w:val="24"/>
          <w:szCs w:val="24"/>
        </w:rPr>
        <w:t>Previdência funcional e regimes próprios de previdência</w:t>
      </w:r>
      <w:r>
        <w:rPr>
          <w:rFonts w:ascii="Arial" w:hAnsi="Arial" w:cs="Times New Roman"/>
          <w:sz w:val="24"/>
          <w:szCs w:val="24"/>
        </w:rPr>
        <w:t xml:space="preserve">. Curitiba: Editora Juruá, 2023. </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hyperlink r:id="rId57">
        <w:r>
          <w:rPr>
            <w:rStyle w:val="Hyperlink1"/>
            <w:rFonts w:ascii="Arial" w:hAnsi="Arial" w:cs="Times New Roman"/>
            <w:b/>
            <w:bCs/>
            <w:color w:val="auto"/>
            <w:sz w:val="24"/>
            <w:szCs w:val="24"/>
            <w:u w:val="none"/>
          </w:rPr>
          <w:t>Constituição da república federativa do brasil de 1988</w:t>
        </w:r>
      </w:hyperlink>
      <w:r>
        <w:rPr>
          <w:rFonts w:ascii="Arial" w:hAnsi="Arial" w:cs="Times New Roman"/>
          <w:sz w:val="24"/>
          <w:szCs w:val="24"/>
        </w:rPr>
        <w:t>.</w:t>
      </w:r>
      <w:r>
        <w:rPr>
          <w:rFonts w:ascii="Arial" w:hAnsi="Arial" w:cs="Times New Roman"/>
          <w:sz w:val="24"/>
          <w:szCs w:val="24"/>
          <w:shd w:val="clear" w:color="auto" w:fill="FFFFFF"/>
        </w:rPr>
        <w:t xml:space="preserve"> </w:t>
      </w:r>
      <w:hyperlink r:id="rId58">
        <w:r>
          <w:rPr>
            <w:rStyle w:val="Hyperlink1"/>
            <w:rFonts w:ascii="Arial" w:hAnsi="Arial" w:cs="Times New Roman"/>
            <w:color w:val="auto"/>
            <w:sz w:val="24"/>
            <w:szCs w:val="24"/>
            <w:u w:val="none"/>
          </w:rPr>
          <w:t>Emendas Constitucionais de Revisão</w:t>
        </w:r>
      </w:hyperlink>
      <w:r>
        <w:rPr>
          <w:rFonts w:ascii="Arial" w:hAnsi="Arial" w:cs="Times New Roman"/>
          <w:sz w:val="24"/>
          <w:szCs w:val="24"/>
        </w:rPr>
        <w:t>. Brasília: Planalto, 1988. Disponível em:   https://www.planalto.gov.br/ccivil_03/constituicao/constituicao.htm. Acesso em: 02 fev. 2026.</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Decreto n.º 3.048, de 6 de maio de 1999</w:t>
      </w:r>
      <w:r>
        <w:rPr>
          <w:rFonts w:ascii="Arial" w:hAnsi="Arial" w:cs="Times New Roman"/>
          <w:sz w:val="24"/>
          <w:szCs w:val="24"/>
        </w:rPr>
        <w:t xml:space="preserve">. Aprova o Regulamento da </w:t>
      </w:r>
      <w:r>
        <w:rPr>
          <w:rFonts w:ascii="Arial" w:hAnsi="Arial" w:cs="Times New Roman"/>
          <w:sz w:val="24"/>
          <w:szCs w:val="24"/>
        </w:rPr>
        <w:lastRenderedPageBreak/>
        <w:t xml:space="preserve">Previdência Social, e dá outras providências. Brasília: Planalto, 1999. Disponível em: </w:t>
      </w:r>
      <w:hyperlink r:id="rId59" w:tgtFrame="_new">
        <w:r>
          <w:rPr>
            <w:rStyle w:val="Hyperlink1"/>
            <w:rFonts w:ascii="Arial" w:hAnsi="Arial" w:cs="Times New Roman"/>
            <w:color w:val="auto"/>
            <w:sz w:val="24"/>
            <w:szCs w:val="24"/>
            <w:u w:val="none"/>
          </w:rPr>
          <w:t>https://www.planalto.gov.br/ccivil_03/decreto/d3048.htm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Decreto n.º 4.682, de 24 de janeiro de 1923</w:t>
      </w:r>
      <w:r>
        <w:rPr>
          <w:rFonts w:ascii="Arial" w:hAnsi="Arial" w:cs="Times New Roman"/>
          <w:sz w:val="24"/>
          <w:szCs w:val="24"/>
        </w:rPr>
        <w:t xml:space="preserve">. Cria, em cada uma das empresas de estradas de ferro existentes no país, uma caixa de aposentadoria e pensões para os respectivos empregados. Brasília: Planalto, 1923. Disponível em: </w:t>
      </w:r>
      <w:hyperlink r:id="rId60" w:tgtFrame="_new">
        <w:r>
          <w:rPr>
            <w:rStyle w:val="Hyperlink1"/>
            <w:rFonts w:ascii="Arial" w:hAnsi="Arial" w:cs="Times New Roman"/>
            <w:color w:val="auto"/>
            <w:sz w:val="24"/>
            <w:szCs w:val="24"/>
            <w:u w:val="none"/>
          </w:rPr>
          <w:t>https://www.planalto.gov.br/ccivil_03/decreto/historicos/dpl/dpl4682-1923.htm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Decreto n.º 53.831, de 25 de março de 1964</w:t>
      </w:r>
      <w:r>
        <w:rPr>
          <w:rFonts w:ascii="Arial" w:hAnsi="Arial" w:cs="Times New Roman"/>
          <w:sz w:val="24"/>
          <w:szCs w:val="24"/>
        </w:rPr>
        <w:t xml:space="preserve">. Dispõe sobre a aposentadoria especial instituída pela Lei n.º 3.807, de 26 de agosto de 1960. Brasília: Planalto, 1964. Disponível em: </w:t>
      </w:r>
      <w:hyperlink r:id="rId61" w:tgtFrame="_new">
        <w:r>
          <w:rPr>
            <w:rStyle w:val="Hyperlink1"/>
            <w:rFonts w:ascii="Arial" w:hAnsi="Arial" w:cs="Times New Roman"/>
            <w:color w:val="auto"/>
            <w:sz w:val="24"/>
            <w:szCs w:val="24"/>
            <w:u w:val="none"/>
          </w:rPr>
          <w:t>https://www.planalto.gov.br/ccivil_03/decreto/D53831.htm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Decreto n.º 83.080, de 24 de janeiro de 1979</w:t>
      </w:r>
      <w:r>
        <w:rPr>
          <w:rFonts w:ascii="Arial" w:hAnsi="Arial" w:cs="Times New Roman"/>
          <w:sz w:val="24"/>
          <w:szCs w:val="24"/>
        </w:rPr>
        <w:t xml:space="preserve">. Aprova o Regulamento dos Benefícios da Previdência Social. Brasília: Planalto, 1979. Disponível em: </w:t>
      </w:r>
      <w:hyperlink r:id="rId62" w:tgtFrame="_new">
        <w:r>
          <w:rPr>
            <w:rStyle w:val="Hyperlink1"/>
            <w:rFonts w:ascii="Arial" w:hAnsi="Arial" w:cs="Times New Roman"/>
            <w:color w:val="auto"/>
            <w:sz w:val="24"/>
            <w:szCs w:val="24"/>
            <w:u w:val="none"/>
          </w:rPr>
          <w:t>https://www.planalto.gov.br/ccivil_03/decreto/D83080.htm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Emenda Constitucional n.º 103, de 12 de novembro de 2019</w:t>
      </w:r>
      <w:r>
        <w:rPr>
          <w:rFonts w:ascii="Arial" w:hAnsi="Arial" w:cs="Times New Roman"/>
          <w:sz w:val="24"/>
          <w:szCs w:val="24"/>
        </w:rPr>
        <w:t xml:space="preserve">. Altera o sistema de previdência social e estabelece regras de transição e disposições transitórias. Brasília: Planalto, 2019. Disponível em: </w:t>
      </w:r>
      <w:hyperlink r:id="rId63" w:tgtFrame="_new">
        <w:r>
          <w:rPr>
            <w:rStyle w:val="Hyperlink1"/>
            <w:rFonts w:ascii="Arial" w:hAnsi="Arial" w:cs="Times New Roman"/>
            <w:color w:val="auto"/>
            <w:sz w:val="24"/>
            <w:szCs w:val="24"/>
            <w:u w:val="none"/>
          </w:rPr>
          <w:t>https://www.planalto.gov.br/ccivil_03/constituicao/emendas/emc/emc103.htm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Lei n.º 3.807, de 26 de agosto de 1960</w:t>
      </w:r>
      <w:r>
        <w:rPr>
          <w:rFonts w:ascii="Arial" w:hAnsi="Arial" w:cs="Times New Roman"/>
          <w:sz w:val="24"/>
          <w:szCs w:val="24"/>
        </w:rPr>
        <w:t xml:space="preserve">. Dispõe sobre a Lei Orgânica da Previdência Social. Brasília: Planalto, 1960. Disponível em: </w:t>
      </w:r>
      <w:hyperlink r:id="rId64" w:tgtFrame="_new">
        <w:r>
          <w:rPr>
            <w:rStyle w:val="Hyperlink1"/>
            <w:rFonts w:ascii="Arial" w:hAnsi="Arial" w:cs="Times New Roman"/>
            <w:color w:val="auto"/>
            <w:sz w:val="24"/>
            <w:szCs w:val="24"/>
            <w:u w:val="none"/>
          </w:rPr>
          <w:t>https://www.planalto.gov.br/ccivil_03/leis/1950-1969/L3807.htm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Lei nº 8.213, de 24 de julho de 1991</w:t>
      </w:r>
      <w:r>
        <w:rPr>
          <w:rFonts w:ascii="Arial" w:hAnsi="Arial" w:cs="Times New Roman"/>
          <w:sz w:val="24"/>
          <w:szCs w:val="24"/>
        </w:rPr>
        <w:t xml:space="preserve">. Dispõe sobre os Planos de Benefícios da Previdência Social e dá outras providências. Brasília, DF: Presidência da República, 1991. Disponível em: </w:t>
      </w:r>
      <w:hyperlink r:id="rId65" w:tgtFrame="_new">
        <w:r>
          <w:rPr>
            <w:rFonts w:ascii="Arial" w:hAnsi="Arial" w:cs="Times New Roman"/>
            <w:sz w:val="24"/>
            <w:szCs w:val="24"/>
          </w:rPr>
          <w:t>Planalto</w:t>
        </w:r>
      </w:hyperlink>
      <w:r>
        <w:rPr>
          <w:rFonts w:ascii="Arial" w:hAnsi="Arial" w:cs="Times New Roman"/>
          <w:sz w:val="24"/>
          <w:szCs w:val="24"/>
        </w:rPr>
        <w:t>. Acesso em: 7 maio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Lei n.º 9.032, de 28 de abril de 1995</w:t>
      </w:r>
      <w:r>
        <w:rPr>
          <w:rFonts w:ascii="Arial" w:hAnsi="Arial" w:cs="Times New Roman"/>
          <w:sz w:val="24"/>
          <w:szCs w:val="24"/>
        </w:rPr>
        <w:t xml:space="preserve">. Dispõe sobre o valor do salário-mínimo, altera dispositivos das Leis n.º 8.212 e n.º 8.213, ambas de 24 de julho de 1991, e dá outras providências. Brasília: Planalto, 1995. Disponível em: </w:t>
      </w:r>
      <w:hyperlink r:id="rId66" w:tgtFrame="_new">
        <w:r>
          <w:rPr>
            <w:rStyle w:val="Hyperlink1"/>
            <w:rFonts w:ascii="Arial" w:hAnsi="Arial" w:cs="Times New Roman"/>
            <w:color w:val="auto"/>
            <w:sz w:val="24"/>
            <w:szCs w:val="24"/>
            <w:u w:val="none"/>
          </w:rPr>
          <w:t>https://www.planalto.gov.br/ccivil_03/leis/l9032.htm</w:t>
        </w:r>
      </w:hyperlink>
      <w:r>
        <w:rPr>
          <w:rFonts w:ascii="Arial" w:hAnsi="Arial" w:cs="Times New Roman"/>
          <w:sz w:val="24"/>
          <w:szCs w:val="24"/>
        </w:rPr>
        <w:t>. Acesso em: 21 abr.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Supremo Tribunal Federal</w:t>
      </w:r>
      <w:r>
        <w:rPr>
          <w:rFonts w:ascii="Arial" w:hAnsi="Arial" w:cs="Times New Roman"/>
          <w:sz w:val="24"/>
          <w:szCs w:val="24"/>
        </w:rPr>
        <w:t>. Constituição 30 anos: As Constituições Brasileiras de 1824 a 19</w:t>
      </w:r>
      <w:r>
        <w:rPr>
          <w:rFonts w:ascii="Arial" w:hAnsi="Arial" w:cs="Times New Roman"/>
          <w:i/>
          <w:iCs/>
          <w:sz w:val="24"/>
          <w:szCs w:val="24"/>
        </w:rPr>
        <w:t>88</w:t>
      </w:r>
      <w:r>
        <w:rPr>
          <w:rFonts w:ascii="Arial" w:hAnsi="Arial" w:cs="Times New Roman"/>
          <w:sz w:val="24"/>
          <w:szCs w:val="24"/>
        </w:rPr>
        <w:t xml:space="preserve">. Brasília: Supremo Tribunal Federal, 2018. Disponível em: </w:t>
      </w:r>
      <w:hyperlink r:id="rId67" w:tgtFrame="_new">
        <w:r>
          <w:rPr>
            <w:rStyle w:val="Hyperlink1"/>
            <w:rFonts w:ascii="Arial" w:hAnsi="Arial" w:cs="Times New Roman"/>
            <w:color w:val="auto"/>
            <w:sz w:val="24"/>
            <w:szCs w:val="24"/>
            <w:u w:val="none"/>
          </w:rPr>
          <w:t>https://portal.stf.jus.br/noticias/verNoticiaDetalhe.asp?idConteudo=391696</w:t>
        </w:r>
      </w:hyperlink>
      <w:r>
        <w:rPr>
          <w:rFonts w:ascii="Arial" w:hAnsi="Arial" w:cs="Times New Roman"/>
          <w:sz w:val="24"/>
          <w:szCs w:val="24"/>
        </w:rPr>
        <w:t>. Acesso em: 29 mar. 2026.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CASTRO, Carlos Alberto Pereira de; LAZZARI, João B. </w:t>
      </w:r>
      <w:r>
        <w:rPr>
          <w:rFonts w:ascii="Arial" w:hAnsi="Arial" w:cs="Times New Roman"/>
          <w:b/>
          <w:bCs/>
          <w:sz w:val="24"/>
          <w:szCs w:val="24"/>
        </w:rPr>
        <w:t>Manual de Direito Previdenciário</w:t>
      </w:r>
      <w:r>
        <w:rPr>
          <w:rFonts w:ascii="Arial" w:hAnsi="Arial" w:cs="Times New Roman"/>
          <w:sz w:val="24"/>
          <w:szCs w:val="24"/>
        </w:rPr>
        <w:t xml:space="preserve">. Rio de Janeiro: Forense, 2026.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CASTRO,</w:t>
      </w:r>
      <w:r>
        <w:rPr>
          <w:rFonts w:ascii="Arial" w:hAnsi="Arial" w:cs="Times New Roman"/>
          <w:b/>
          <w:bCs/>
          <w:sz w:val="24"/>
          <w:szCs w:val="24"/>
        </w:rPr>
        <w:t xml:space="preserve"> </w:t>
      </w:r>
      <w:r>
        <w:rPr>
          <w:rFonts w:ascii="Arial" w:hAnsi="Arial" w:cs="Times New Roman"/>
          <w:sz w:val="24"/>
          <w:szCs w:val="24"/>
        </w:rPr>
        <w:t>Carlos Alberto; LAZZARI, João Batista</w:t>
      </w:r>
      <w:r>
        <w:rPr>
          <w:rFonts w:ascii="Arial" w:hAnsi="Arial" w:cs="Times New Roman"/>
          <w:b/>
          <w:bCs/>
          <w:sz w:val="24"/>
          <w:szCs w:val="24"/>
        </w:rPr>
        <w:t>.</w:t>
      </w:r>
      <w:r>
        <w:rPr>
          <w:rFonts w:ascii="Arial" w:hAnsi="Arial" w:cs="Times New Roman"/>
          <w:sz w:val="24"/>
          <w:szCs w:val="24"/>
        </w:rPr>
        <w:t xml:space="preserve"> </w:t>
      </w:r>
      <w:r>
        <w:rPr>
          <w:rFonts w:ascii="Arial" w:hAnsi="Arial" w:cs="Times New Roman"/>
          <w:b/>
          <w:bCs/>
          <w:sz w:val="24"/>
          <w:szCs w:val="24"/>
        </w:rPr>
        <w:t>Manual de Direito Previdenciário</w:t>
      </w:r>
      <w:r>
        <w:rPr>
          <w:rFonts w:ascii="Arial" w:hAnsi="Arial" w:cs="Times New Roman"/>
          <w:sz w:val="24"/>
          <w:szCs w:val="24"/>
        </w:rPr>
        <w:t xml:space="preserve">. Rio de Janeiro: Forense, 2014.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DOMINGOS, Carlos. </w:t>
      </w:r>
      <w:r>
        <w:rPr>
          <w:rFonts w:ascii="Arial" w:hAnsi="Arial" w:cs="Times New Roman"/>
          <w:b/>
          <w:bCs/>
          <w:sz w:val="24"/>
          <w:szCs w:val="24"/>
        </w:rPr>
        <w:t>Aposentadoria Especial no Regime de Previdência Social</w:t>
      </w:r>
      <w:r>
        <w:rPr>
          <w:rFonts w:ascii="Arial" w:hAnsi="Arial" w:cs="Times New Roman"/>
          <w:sz w:val="24"/>
          <w:szCs w:val="24"/>
        </w:rPr>
        <w:t xml:space="preserve">. </w:t>
      </w:r>
      <w:r>
        <w:rPr>
          <w:rFonts w:ascii="Arial" w:hAnsi="Arial" w:cs="Times New Roman"/>
          <w:sz w:val="24"/>
          <w:szCs w:val="24"/>
        </w:rPr>
        <w:lastRenderedPageBreak/>
        <w:t xml:space="preserve">São Paulo: Editora Lujur, 2020.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FERNANDES, Luciana Cordeiro.</w:t>
      </w:r>
      <w:r>
        <w:rPr>
          <w:rFonts w:ascii="Arial" w:hAnsi="Arial" w:cs="Times New Roman"/>
          <w:b/>
          <w:bCs/>
          <w:sz w:val="24"/>
          <w:szCs w:val="24"/>
        </w:rPr>
        <w:t xml:space="preserve"> Instituições de Direito</w:t>
      </w:r>
      <w:r>
        <w:rPr>
          <w:rFonts w:ascii="Arial" w:hAnsi="Arial" w:cs="Times New Roman"/>
          <w:sz w:val="24"/>
          <w:szCs w:val="24"/>
        </w:rPr>
        <w:t xml:space="preserve">. São Paulo: Saraiva, 2020.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lang w:val="pt-BR"/>
        </w:rPr>
        <w:t xml:space="preserve">HORVATH </w:t>
      </w:r>
      <w:r>
        <w:rPr>
          <w:rFonts w:ascii="Arial" w:hAnsi="Arial" w:cs="Times New Roman"/>
          <w:sz w:val="24"/>
          <w:szCs w:val="24"/>
        </w:rPr>
        <w:t>JÚNIOR, Miguel</w:t>
      </w:r>
      <w:r>
        <w:rPr>
          <w:rFonts w:ascii="Arial" w:hAnsi="Arial" w:cs="Times New Roman"/>
          <w:b/>
          <w:bCs/>
          <w:sz w:val="24"/>
          <w:szCs w:val="24"/>
        </w:rPr>
        <w:t>. Direito previdenciário</w:t>
      </w:r>
      <w:r>
        <w:rPr>
          <w:rFonts w:ascii="Arial" w:hAnsi="Arial" w:cs="Times New Roman"/>
          <w:sz w:val="24"/>
          <w:szCs w:val="24"/>
        </w:rPr>
        <w:t xml:space="preserve">. Barueri: Editora Manole, 2011. </w:t>
      </w:r>
      <w:r>
        <w:rPr>
          <w:rFonts w:ascii="Arial" w:hAnsi="Arial" w:cs="Times New Roman"/>
          <w:color w:val="EE0000"/>
          <w:sz w:val="24"/>
          <w:szCs w:val="24"/>
        </w:rPr>
        <w:t xml:space="preserve">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JUNHO, Carlos. </w:t>
      </w:r>
      <w:r>
        <w:rPr>
          <w:rFonts w:ascii="Arial" w:hAnsi="Arial" w:cs="Times New Roman"/>
          <w:b/>
          <w:bCs/>
          <w:sz w:val="24"/>
          <w:szCs w:val="24"/>
        </w:rPr>
        <w:t>Direitos sociais em tempos de crise econômica</w:t>
      </w:r>
      <w:r>
        <w:rPr>
          <w:rFonts w:ascii="Arial" w:hAnsi="Arial" w:cs="Times New Roman"/>
          <w:sz w:val="24"/>
          <w:szCs w:val="24"/>
        </w:rPr>
        <w:t xml:space="preserve">. São Paulo: Saraiva Educação, 1999. </w:t>
      </w:r>
    </w:p>
    <w:p w:rsidR="009D60B7" w:rsidRDefault="00425C09">
      <w:pPr>
        <w:rPr>
          <w:rFonts w:ascii="Arial" w:hAnsi="Arial"/>
          <w:sz w:val="24"/>
          <w:szCs w:val="24"/>
        </w:rPr>
      </w:pPr>
      <w:r>
        <w:rPr>
          <w:rFonts w:ascii="Arial" w:eastAsia="Times New Roman" w:hAnsi="Arial" w:cs="Times New Roman"/>
          <w:sz w:val="24"/>
          <w:szCs w:val="24"/>
        </w:rPr>
        <w:br/>
        <w:t xml:space="preserve">JUNIOR, Francisco Paulino da. </w:t>
      </w:r>
      <w:r>
        <w:rPr>
          <w:rFonts w:ascii="Arial" w:eastAsia="Times New Roman" w:hAnsi="Arial" w:cs="Times New Roman"/>
          <w:b/>
          <w:bCs/>
          <w:sz w:val="24"/>
          <w:szCs w:val="24"/>
        </w:rPr>
        <w:t>Políticas públicas e a construção do sistema de proteção social no Brasil: uma análise do benefício de prestação continuada</w:t>
      </w:r>
      <w:r>
        <w:rPr>
          <w:rFonts w:ascii="Arial" w:eastAsia="Times New Roman" w:hAnsi="Arial" w:cs="Times New Roman"/>
          <w:sz w:val="24"/>
          <w:szCs w:val="24"/>
        </w:rPr>
        <w:t>. 2011. 149 f. Dissertação (Mestrado em ciências Jurídicas) - Universidade Federal da Paraí</w:t>
      </w:r>
      <w:r>
        <w:rPr>
          <w:rFonts w:ascii="Arial" w:eastAsia="Times New Roman" w:hAnsi="Arial" w:cs="Times New Roman"/>
          <w:sz w:val="24"/>
          <w:szCs w:val="24"/>
        </w:rPr>
        <w:softHyphen/>
        <w:t xml:space="preserve">ba, João Pessoa, 2011. </w:t>
      </w:r>
    </w:p>
    <w:p w:rsidR="009D60B7" w:rsidRDefault="009D60B7">
      <w:pPr>
        <w:rPr>
          <w:rFonts w:ascii="Arial" w:eastAsia="Times New Roman" w:hAnsi="Arial" w:cs="Times New Roman"/>
          <w:sz w:val="24"/>
          <w:szCs w:val="24"/>
        </w:rPr>
      </w:pPr>
    </w:p>
    <w:p w:rsidR="009D60B7" w:rsidRDefault="00425C09">
      <w:pPr>
        <w:rPr>
          <w:sz w:val="24"/>
          <w:szCs w:val="24"/>
        </w:rPr>
      </w:pPr>
      <w:r>
        <w:rPr>
          <w:rFonts w:ascii="Arial" w:hAnsi="Arial" w:cs="Times New Roman"/>
          <w:sz w:val="24"/>
          <w:szCs w:val="24"/>
        </w:rPr>
        <w:t xml:space="preserve">LADENTHIN, Adriane Bramante de Castro; SCHUSTER, Diego Henrique. Reflexões sobre a aposentadoria especial na EC 103/2019. </w:t>
      </w:r>
      <w:r>
        <w:rPr>
          <w:rFonts w:ascii="Arial" w:hAnsi="Arial" w:cs="Times New Roman"/>
          <w:b/>
          <w:bCs/>
          <w:sz w:val="24"/>
          <w:szCs w:val="24"/>
        </w:rPr>
        <w:t>Revista de direito do trabalho e seguridade social,</w:t>
      </w:r>
      <w:r>
        <w:rPr>
          <w:rFonts w:ascii="Arial" w:hAnsi="Arial" w:cs="Times New Roman"/>
          <w:sz w:val="24"/>
          <w:szCs w:val="24"/>
        </w:rPr>
        <w:t xml:space="preserve"> São Paulo, v. 46, n. 210, p. 19-36, mar./abr. 2020. Disponível em: </w:t>
      </w:r>
      <w:hyperlink r:id="rId68" w:tgtFrame="_new">
        <w:r>
          <w:rPr>
            <w:rStyle w:val="Hyperlink1"/>
            <w:rFonts w:ascii="Arial" w:hAnsi="Arial" w:cs="Times New Roman"/>
            <w:color w:val="auto"/>
            <w:sz w:val="24"/>
            <w:szCs w:val="24"/>
            <w:u w:val="none"/>
          </w:rPr>
          <w:t>https://juslaboris.tst.jus.br/handle/20.500.12178/172911</w:t>
        </w:r>
      </w:hyperlink>
      <w:r>
        <w:rPr>
          <w:rFonts w:ascii="Arial" w:hAnsi="Arial" w:cs="Times New Roman"/>
          <w:sz w:val="24"/>
          <w:szCs w:val="24"/>
        </w:rPr>
        <w:t xml:space="preserve">. Acesso em: 21 abr. 2026.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RIBEIRO, Maria Helena Carreira Alvim. </w:t>
      </w:r>
      <w:r>
        <w:rPr>
          <w:rFonts w:ascii="Arial" w:hAnsi="Arial" w:cs="Times New Roman"/>
          <w:b/>
          <w:bCs/>
          <w:sz w:val="24"/>
          <w:szCs w:val="24"/>
        </w:rPr>
        <w:t>Aposentadoria Especial Regime Geral da Previdência Social. </w:t>
      </w:r>
      <w:r>
        <w:rPr>
          <w:rFonts w:ascii="Arial" w:hAnsi="Arial" w:cs="Times New Roman"/>
          <w:sz w:val="24"/>
          <w:szCs w:val="24"/>
        </w:rPr>
        <w:t xml:space="preserve">Curitiba: Editora Juruá, 2010.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SANTOS, Marisa Ferreira dos. </w:t>
      </w:r>
      <w:r>
        <w:rPr>
          <w:rFonts w:ascii="Arial" w:hAnsi="Arial" w:cs="Times New Roman"/>
          <w:b/>
          <w:bCs/>
          <w:sz w:val="24"/>
          <w:szCs w:val="24"/>
        </w:rPr>
        <w:t>Direito Previdenciário Esquematizado</w:t>
      </w:r>
      <w:r>
        <w:rPr>
          <w:rFonts w:ascii="Arial" w:hAnsi="Arial" w:cs="Times New Roman"/>
          <w:sz w:val="24"/>
          <w:szCs w:val="24"/>
        </w:rPr>
        <w:t xml:space="preserve">. São Paulo: Saraiva Educação, 2023. </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SANTOS, Marisa Ferreira; LENZA, Pedro. </w:t>
      </w:r>
      <w:r>
        <w:rPr>
          <w:rFonts w:ascii="Arial" w:hAnsi="Arial" w:cs="Times New Roman"/>
          <w:b/>
          <w:bCs/>
          <w:sz w:val="24"/>
          <w:szCs w:val="24"/>
        </w:rPr>
        <w:t>Direito Previdenciário Coleção Esquematizado</w:t>
      </w:r>
      <w:r>
        <w:rPr>
          <w:rFonts w:ascii="Arial" w:hAnsi="Arial" w:cs="Times New Roman"/>
          <w:sz w:val="24"/>
          <w:szCs w:val="24"/>
        </w:rPr>
        <w:t>. Rio de Janeiro: Editora SRV, 2025.</w:t>
      </w:r>
    </w:p>
    <w:p w:rsidR="009D60B7" w:rsidRDefault="009D60B7">
      <w:pPr>
        <w:rPr>
          <w:rFonts w:ascii="Arial" w:hAnsi="Arial" w:cs="Times New Roman"/>
          <w:sz w:val="20"/>
          <w:szCs w:val="20"/>
        </w:rPr>
      </w:pPr>
    </w:p>
    <w:p w:rsidR="009D60B7" w:rsidRDefault="009D60B7">
      <w:pPr>
        <w:ind w:left="142" w:right="142" w:hanging="10"/>
        <w:rPr>
          <w:rFonts w:ascii="Arial" w:hAnsi="Arial" w:cs="Times New Roman"/>
          <w:sz w:val="20"/>
          <w:szCs w:val="20"/>
          <w:lang w:val="pt-BR"/>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rsidP="002F3F3E">
      <w:pPr>
        <w:ind w:right="142"/>
        <w:rPr>
          <w:rFonts w:ascii="Arial" w:hAnsi="Arial" w:cs="Times New Roman"/>
          <w:sz w:val="20"/>
          <w:szCs w:val="20"/>
        </w:rPr>
      </w:pPr>
    </w:p>
    <w:p w:rsidR="009D60B7" w:rsidRDefault="00425C09" w:rsidP="002F3F3E">
      <w:pPr>
        <w:pStyle w:val="Ttulo"/>
        <w:ind w:left="0" w:right="-28"/>
        <w:rPr>
          <w:sz w:val="24"/>
          <w:szCs w:val="24"/>
        </w:rPr>
      </w:pPr>
      <w:sdt>
        <w:sdtPr>
          <w:rPr>
            <w:sz w:val="28"/>
            <w:szCs w:val="28"/>
          </w:rPr>
          <w:tag w:val="goog_rdk_0"/>
          <w:id w:val="147483263"/>
          <w:text/>
        </w:sdtPr>
        <w:sdtContent>
          <w:bookmarkStart w:id="7" w:name="_GoBack_Copia_18"/>
          <w:r w:rsidRPr="00101406">
            <w:rPr>
              <w:rFonts w:ascii="Arial" w:hAnsi="Arial" w:cs="Arial"/>
              <w:smallCaps/>
              <w:sz w:val="28"/>
              <w:szCs w:val="28"/>
            </w:rPr>
            <w:t>A EFETIVIDADE DOS DIREITOS DAS PESSOAS</w:t>
          </w:r>
          <w:bookmarkEnd w:id="7"/>
          <w:r w:rsidRPr="00101406">
            <w:rPr>
              <w:rFonts w:ascii="Arial" w:hAnsi="Arial" w:cs="Arial"/>
              <w:smallCaps/>
              <w:sz w:val="28"/>
              <w:szCs w:val="28"/>
            </w:rPr>
            <w:t xml:space="preserve"> COM DEFICIÊNCIA NO SISTEMA EDUCACIONAL BRASILEIRO: AVANÇOS E DESAFIOS NA INCLUSÃO DOS ESTUDANTES COM DEFICIÊNCIA</w:t>
          </w:r>
        </w:sdtContent>
      </w:sdt>
    </w:p>
    <w:p w:rsidR="009D60B7" w:rsidRDefault="009D60B7">
      <w:pPr>
        <w:pStyle w:val="Corpodetexto"/>
        <w:spacing w:line="360" w:lineRule="auto"/>
        <w:rPr>
          <w:sz w:val="24"/>
          <w:szCs w:val="24"/>
        </w:rPr>
      </w:pPr>
    </w:p>
    <w:p w:rsidR="009D60B7" w:rsidRDefault="00425C09">
      <w:pPr>
        <w:ind w:right="130"/>
        <w:jc w:val="center"/>
        <w:rPr>
          <w:rFonts w:ascii="Arial" w:hAnsi="Arial"/>
          <w:sz w:val="24"/>
          <w:szCs w:val="24"/>
        </w:rPr>
      </w:pPr>
      <w:r>
        <w:rPr>
          <w:rFonts w:ascii="Arial" w:hAnsi="Arial" w:cs="Arial"/>
          <w:bCs/>
          <w:spacing w:val="-2"/>
          <w:sz w:val="24"/>
          <w:szCs w:val="24"/>
        </w:rPr>
        <w:t>Helienay Fernandes Oliveira</w:t>
      </w:r>
      <w:r>
        <w:rPr>
          <w:rStyle w:val="Refdenotaderodap"/>
          <w:rFonts w:ascii="Arial" w:hAnsi="Arial" w:cs="Arial"/>
          <w:bCs/>
          <w:spacing w:val="-2"/>
          <w:sz w:val="24"/>
          <w:szCs w:val="24"/>
        </w:rPr>
        <w:footnoteReference w:id="13"/>
      </w:r>
    </w:p>
    <w:p w:rsidR="009D60B7" w:rsidRDefault="00425C09">
      <w:pPr>
        <w:ind w:right="130"/>
        <w:jc w:val="center"/>
        <w:rPr>
          <w:rFonts w:ascii="Arial" w:hAnsi="Arial"/>
          <w:sz w:val="24"/>
          <w:szCs w:val="24"/>
        </w:rPr>
      </w:pPr>
      <w:r>
        <w:rPr>
          <w:rFonts w:ascii="Arial" w:hAnsi="Arial" w:cs="Arial"/>
          <w:sz w:val="24"/>
          <w:szCs w:val="24"/>
        </w:rPr>
        <w:t xml:space="preserve">Victor Hugo Martins Silva </w:t>
      </w:r>
      <w:r>
        <w:rPr>
          <w:rStyle w:val="Refdenotaderodap"/>
          <w:rFonts w:ascii="Arial" w:hAnsi="Arial" w:cs="Arial"/>
          <w:color w:val="000000"/>
          <w:sz w:val="24"/>
          <w:szCs w:val="24"/>
        </w:rPr>
        <w:footnoteReference w:id="14"/>
      </w:r>
    </w:p>
    <w:p w:rsidR="009D60B7" w:rsidRDefault="00425C09">
      <w:pPr>
        <w:ind w:right="130"/>
        <w:jc w:val="center"/>
        <w:rPr>
          <w:rFonts w:ascii="Arial" w:hAnsi="Arial"/>
          <w:sz w:val="24"/>
          <w:szCs w:val="24"/>
        </w:rPr>
      </w:pPr>
      <w:r>
        <w:rPr>
          <w:rFonts w:ascii="Arial" w:hAnsi="Arial" w:cs="Arial"/>
          <w:color w:val="000000"/>
          <w:sz w:val="24"/>
          <w:szCs w:val="24"/>
        </w:rPr>
        <w:t>Bruna Felipe de Araújo Oliveira</w:t>
      </w:r>
      <w:r>
        <w:rPr>
          <w:rStyle w:val="Refdenotaderodap"/>
          <w:rFonts w:ascii="Arial" w:hAnsi="Arial" w:cs="Arial"/>
          <w:color w:val="000000"/>
          <w:sz w:val="24"/>
          <w:szCs w:val="24"/>
        </w:rPr>
        <w:footnoteReference w:id="15"/>
      </w:r>
    </w:p>
    <w:p w:rsidR="009D60B7" w:rsidRDefault="009D60B7">
      <w:pPr>
        <w:ind w:right="136"/>
        <w:jc w:val="center"/>
        <w:rPr>
          <w:rFonts w:ascii="Arial" w:hAnsi="Arial" w:cs="Arial"/>
          <w:bCs/>
          <w:smallCaps/>
          <w:spacing w:val="-2"/>
          <w:sz w:val="20"/>
          <w:szCs w:val="20"/>
        </w:rPr>
      </w:pPr>
    </w:p>
    <w:p w:rsidR="009D60B7" w:rsidRPr="00101406" w:rsidRDefault="009D60B7">
      <w:pPr>
        <w:pStyle w:val="Corpodetexto"/>
        <w:spacing w:before="1"/>
        <w:rPr>
          <w:rFonts w:ascii="Arial" w:hAnsi="Arial" w:cs="Arial"/>
        </w:rPr>
      </w:pPr>
    </w:p>
    <w:p w:rsidR="009D60B7" w:rsidRDefault="00425C09">
      <w:pPr>
        <w:ind w:left="142" w:right="155"/>
        <w:jc w:val="center"/>
        <w:rPr>
          <w:rFonts w:ascii="Arial" w:eastAsia="Arial" w:hAnsi="Arial" w:cs="Times New Roman"/>
          <w:b/>
          <w:sz w:val="20"/>
          <w:szCs w:val="20"/>
        </w:rPr>
      </w:pPr>
      <w:r w:rsidRPr="00101406">
        <w:rPr>
          <w:rFonts w:ascii="Arial" w:hAnsi="Arial" w:cs="Arial"/>
          <w:sz w:val="24"/>
          <w:szCs w:val="24"/>
        </w:rPr>
        <w:t>RESUMO</w:t>
      </w:r>
    </w:p>
    <w:p w:rsidR="009D60B7" w:rsidRDefault="009D60B7">
      <w:pPr>
        <w:jc w:val="both"/>
        <w:rPr>
          <w:rFonts w:ascii="Arial" w:eastAsia="Arial" w:hAnsi="Arial" w:cs="Times New Roman"/>
          <w:b/>
          <w:bCs/>
          <w:sz w:val="20"/>
          <w:szCs w:val="20"/>
        </w:rPr>
      </w:pPr>
    </w:p>
    <w:p w:rsidR="009D60B7" w:rsidRDefault="00425C09">
      <w:pPr>
        <w:pStyle w:val="Corpodetexto"/>
        <w:tabs>
          <w:tab w:val="left" w:pos="8789"/>
        </w:tabs>
        <w:ind w:right="3"/>
        <w:jc w:val="both"/>
        <w:rPr>
          <w:rFonts w:ascii="Arial" w:hAnsi="Arial"/>
        </w:rPr>
      </w:pPr>
      <w:r>
        <w:rPr>
          <w:rFonts w:ascii="Arial" w:hAnsi="Arial" w:cs="Arial"/>
        </w:rPr>
        <w:t>A efetivação do</w:t>
      </w:r>
      <w:r>
        <w:rPr>
          <w:rFonts w:ascii="Arial" w:hAnsi="Arial" w:cs="Arial"/>
          <w:spacing w:val="-2"/>
        </w:rPr>
        <w:t xml:space="preserve"> </w:t>
      </w:r>
      <w:r>
        <w:rPr>
          <w:rFonts w:ascii="Arial" w:hAnsi="Arial" w:cs="Arial"/>
        </w:rPr>
        <w:t>direito</w:t>
      </w:r>
      <w:r>
        <w:rPr>
          <w:rFonts w:ascii="Arial" w:hAnsi="Arial" w:cs="Arial"/>
          <w:spacing w:val="-2"/>
        </w:rPr>
        <w:t xml:space="preserve"> </w:t>
      </w:r>
      <w:r>
        <w:rPr>
          <w:rFonts w:ascii="Arial" w:hAnsi="Arial" w:cs="Arial"/>
        </w:rPr>
        <w:t>à</w:t>
      </w:r>
      <w:r>
        <w:rPr>
          <w:rFonts w:ascii="Arial" w:hAnsi="Arial" w:cs="Arial"/>
          <w:spacing w:val="-2"/>
        </w:rPr>
        <w:t xml:space="preserve"> </w:t>
      </w:r>
      <w:r>
        <w:rPr>
          <w:rFonts w:ascii="Arial" w:hAnsi="Arial" w:cs="Arial"/>
        </w:rPr>
        <w:t>educação</w:t>
      </w:r>
      <w:r>
        <w:rPr>
          <w:rFonts w:ascii="Arial" w:hAnsi="Arial" w:cs="Arial"/>
          <w:spacing w:val="-2"/>
        </w:rPr>
        <w:t xml:space="preserve"> </w:t>
      </w:r>
      <w:r>
        <w:rPr>
          <w:rFonts w:ascii="Arial" w:hAnsi="Arial" w:cs="Arial"/>
        </w:rPr>
        <w:t>inclusiva</w:t>
      </w:r>
      <w:r>
        <w:rPr>
          <w:rFonts w:ascii="Arial" w:hAnsi="Arial" w:cs="Arial"/>
          <w:spacing w:val="-2"/>
        </w:rPr>
        <w:t xml:space="preserve"> </w:t>
      </w:r>
      <w:r>
        <w:rPr>
          <w:rFonts w:ascii="Arial" w:hAnsi="Arial" w:cs="Arial"/>
        </w:rPr>
        <w:t>no</w:t>
      </w:r>
      <w:r>
        <w:rPr>
          <w:rFonts w:ascii="Arial" w:hAnsi="Arial" w:cs="Arial"/>
          <w:spacing w:val="-2"/>
        </w:rPr>
        <w:t xml:space="preserve"> </w:t>
      </w:r>
      <w:r>
        <w:rPr>
          <w:rFonts w:ascii="Arial" w:hAnsi="Arial" w:cs="Arial"/>
        </w:rPr>
        <w:t>Brasil</w:t>
      </w:r>
      <w:r>
        <w:rPr>
          <w:rFonts w:ascii="Arial" w:hAnsi="Arial" w:cs="Arial"/>
          <w:spacing w:val="-2"/>
        </w:rPr>
        <w:t xml:space="preserve"> </w:t>
      </w:r>
      <w:r>
        <w:rPr>
          <w:rFonts w:ascii="Arial" w:hAnsi="Arial" w:cs="Arial"/>
        </w:rPr>
        <w:t>constitui</w:t>
      </w:r>
      <w:r>
        <w:rPr>
          <w:rFonts w:ascii="Arial" w:hAnsi="Arial" w:cs="Arial"/>
          <w:spacing w:val="-2"/>
        </w:rPr>
        <w:t xml:space="preserve"> </w:t>
      </w:r>
      <w:r>
        <w:rPr>
          <w:rFonts w:ascii="Arial" w:hAnsi="Arial" w:cs="Arial"/>
        </w:rPr>
        <w:t>um</w:t>
      </w:r>
      <w:r>
        <w:rPr>
          <w:rFonts w:ascii="Arial" w:hAnsi="Arial" w:cs="Arial"/>
          <w:spacing w:val="-2"/>
        </w:rPr>
        <w:t xml:space="preserve"> </w:t>
      </w:r>
      <w:r>
        <w:rPr>
          <w:rFonts w:ascii="Arial" w:hAnsi="Arial" w:cs="Arial"/>
        </w:rPr>
        <w:t>tema</w:t>
      </w:r>
      <w:r>
        <w:rPr>
          <w:rFonts w:ascii="Arial" w:hAnsi="Arial" w:cs="Arial"/>
          <w:spacing w:val="-2"/>
        </w:rPr>
        <w:t xml:space="preserve"> </w:t>
      </w:r>
      <w:r>
        <w:rPr>
          <w:rFonts w:ascii="Arial" w:hAnsi="Arial" w:cs="Arial"/>
        </w:rPr>
        <w:t>de</w:t>
      </w:r>
      <w:r>
        <w:rPr>
          <w:rFonts w:ascii="Arial" w:hAnsi="Arial" w:cs="Arial"/>
          <w:spacing w:val="-2"/>
        </w:rPr>
        <w:t xml:space="preserve"> </w:t>
      </w:r>
      <w:r>
        <w:rPr>
          <w:rFonts w:ascii="Arial" w:hAnsi="Arial" w:cs="Arial"/>
        </w:rPr>
        <w:t>grande</w:t>
      </w:r>
      <w:r>
        <w:rPr>
          <w:rFonts w:ascii="Arial" w:hAnsi="Arial" w:cs="Arial"/>
          <w:spacing w:val="-2"/>
        </w:rPr>
        <w:t xml:space="preserve"> </w:t>
      </w:r>
      <w:r>
        <w:rPr>
          <w:rFonts w:ascii="Arial" w:hAnsi="Arial" w:cs="Arial"/>
        </w:rPr>
        <w:t>relevância</w:t>
      </w:r>
      <w:r>
        <w:rPr>
          <w:rFonts w:ascii="Arial" w:hAnsi="Arial" w:cs="Arial"/>
          <w:spacing w:val="-2"/>
        </w:rPr>
        <w:t xml:space="preserve"> </w:t>
      </w:r>
      <w:r>
        <w:rPr>
          <w:rFonts w:ascii="Arial" w:hAnsi="Arial" w:cs="Arial"/>
        </w:rPr>
        <w:t>no âmbito jurídico e social, especialmente diante da necessidade de garantir igualdade material às pessoas com deficiência no sistema educacional. Nesse contexto, o presente trabalho investiga em que medida</w:t>
      </w:r>
      <w:r>
        <w:rPr>
          <w:rFonts w:ascii="Arial" w:hAnsi="Arial" w:cs="Arial"/>
          <w:spacing w:val="-2"/>
        </w:rPr>
        <w:t xml:space="preserve"> </w:t>
      </w:r>
      <w:r>
        <w:rPr>
          <w:rFonts w:ascii="Arial" w:hAnsi="Arial" w:cs="Arial"/>
        </w:rPr>
        <w:t>os</w:t>
      </w:r>
      <w:r>
        <w:rPr>
          <w:rFonts w:ascii="Arial" w:hAnsi="Arial" w:cs="Arial"/>
          <w:spacing w:val="-2"/>
        </w:rPr>
        <w:t xml:space="preserve"> </w:t>
      </w:r>
      <w:r>
        <w:rPr>
          <w:rFonts w:ascii="Arial" w:hAnsi="Arial" w:cs="Arial"/>
        </w:rPr>
        <w:t>direitos</w:t>
      </w:r>
      <w:r>
        <w:rPr>
          <w:rFonts w:ascii="Arial" w:hAnsi="Arial" w:cs="Arial"/>
          <w:spacing w:val="-2"/>
        </w:rPr>
        <w:t xml:space="preserve"> </w:t>
      </w:r>
      <w:r>
        <w:rPr>
          <w:rFonts w:ascii="Arial" w:hAnsi="Arial" w:cs="Arial"/>
        </w:rPr>
        <w:t>assegurados</w:t>
      </w:r>
      <w:r>
        <w:rPr>
          <w:rFonts w:ascii="Arial" w:hAnsi="Arial" w:cs="Arial"/>
          <w:spacing w:val="-2"/>
        </w:rPr>
        <w:t xml:space="preserve"> </w:t>
      </w:r>
      <w:r>
        <w:rPr>
          <w:rFonts w:ascii="Arial" w:hAnsi="Arial" w:cs="Arial"/>
        </w:rPr>
        <w:t>no</w:t>
      </w:r>
      <w:r>
        <w:rPr>
          <w:rFonts w:ascii="Arial" w:hAnsi="Arial" w:cs="Arial"/>
          <w:spacing w:val="-2"/>
        </w:rPr>
        <w:t xml:space="preserve"> </w:t>
      </w:r>
      <w:r>
        <w:rPr>
          <w:rFonts w:ascii="Arial" w:hAnsi="Arial" w:cs="Arial"/>
        </w:rPr>
        <w:t>plano</w:t>
      </w:r>
      <w:r>
        <w:rPr>
          <w:rFonts w:ascii="Arial" w:hAnsi="Arial" w:cs="Arial"/>
          <w:spacing w:val="-2"/>
        </w:rPr>
        <w:t xml:space="preserve"> </w:t>
      </w:r>
      <w:r>
        <w:rPr>
          <w:rFonts w:ascii="Arial" w:hAnsi="Arial" w:cs="Arial"/>
        </w:rPr>
        <w:t>normativo</w:t>
      </w:r>
      <w:r>
        <w:rPr>
          <w:rFonts w:ascii="Arial" w:hAnsi="Arial" w:cs="Arial"/>
          <w:spacing w:val="-2"/>
        </w:rPr>
        <w:t xml:space="preserve"> </w:t>
      </w:r>
      <w:r>
        <w:rPr>
          <w:rFonts w:ascii="Arial" w:hAnsi="Arial" w:cs="Arial"/>
        </w:rPr>
        <w:t>são</w:t>
      </w:r>
      <w:r>
        <w:rPr>
          <w:rFonts w:ascii="Arial" w:hAnsi="Arial" w:cs="Arial"/>
          <w:spacing w:val="-2"/>
        </w:rPr>
        <w:t xml:space="preserve"> </w:t>
      </w:r>
      <w:r>
        <w:rPr>
          <w:rFonts w:ascii="Arial" w:hAnsi="Arial" w:cs="Arial"/>
        </w:rPr>
        <w:t>efetivamente</w:t>
      </w:r>
      <w:r>
        <w:rPr>
          <w:rFonts w:ascii="Arial" w:hAnsi="Arial" w:cs="Arial"/>
          <w:spacing w:val="-2"/>
        </w:rPr>
        <w:t xml:space="preserve"> </w:t>
      </w:r>
      <w:r>
        <w:rPr>
          <w:rFonts w:ascii="Arial" w:hAnsi="Arial" w:cs="Arial"/>
        </w:rPr>
        <w:t>concretizados</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realidade educacional</w:t>
      </w:r>
      <w:r>
        <w:rPr>
          <w:rFonts w:ascii="Arial" w:hAnsi="Arial" w:cs="Arial"/>
          <w:spacing w:val="-3"/>
        </w:rPr>
        <w:t xml:space="preserve"> </w:t>
      </w:r>
      <w:r>
        <w:rPr>
          <w:rFonts w:ascii="Arial" w:hAnsi="Arial" w:cs="Arial"/>
        </w:rPr>
        <w:t>brasileira.</w:t>
      </w:r>
      <w:r>
        <w:rPr>
          <w:rFonts w:ascii="Arial" w:hAnsi="Arial" w:cs="Arial"/>
          <w:spacing w:val="-3"/>
        </w:rPr>
        <w:t xml:space="preserve"> </w:t>
      </w:r>
      <w:r>
        <w:rPr>
          <w:rFonts w:ascii="Arial" w:hAnsi="Arial" w:cs="Arial"/>
        </w:rPr>
        <w:t>O</w:t>
      </w:r>
      <w:r>
        <w:rPr>
          <w:rFonts w:ascii="Arial" w:hAnsi="Arial" w:cs="Arial"/>
          <w:spacing w:val="-3"/>
        </w:rPr>
        <w:t xml:space="preserve"> </w:t>
      </w:r>
      <w:r>
        <w:rPr>
          <w:rFonts w:ascii="Arial" w:hAnsi="Arial" w:cs="Arial"/>
        </w:rPr>
        <w:t>problema</w:t>
      </w:r>
      <w:r>
        <w:rPr>
          <w:rFonts w:ascii="Arial" w:hAnsi="Arial" w:cs="Arial"/>
          <w:spacing w:val="-3"/>
        </w:rPr>
        <w:t xml:space="preserve"> </w:t>
      </w:r>
      <w:r>
        <w:rPr>
          <w:rFonts w:ascii="Arial" w:hAnsi="Arial" w:cs="Arial"/>
        </w:rPr>
        <w:t>da</w:t>
      </w:r>
      <w:r>
        <w:rPr>
          <w:rFonts w:ascii="Arial" w:hAnsi="Arial" w:cs="Arial"/>
          <w:spacing w:val="-3"/>
        </w:rPr>
        <w:t xml:space="preserve"> </w:t>
      </w:r>
      <w:r>
        <w:rPr>
          <w:rFonts w:ascii="Arial" w:hAnsi="Arial" w:cs="Arial"/>
        </w:rPr>
        <w:t>pesquisa</w:t>
      </w:r>
      <w:r>
        <w:rPr>
          <w:rFonts w:ascii="Arial" w:hAnsi="Arial" w:cs="Arial"/>
          <w:spacing w:val="-3"/>
        </w:rPr>
        <w:t xml:space="preserve"> </w:t>
      </w:r>
      <w:r>
        <w:rPr>
          <w:rFonts w:ascii="Arial" w:hAnsi="Arial" w:cs="Arial"/>
        </w:rPr>
        <w:t>consiste</w:t>
      </w:r>
      <w:r>
        <w:rPr>
          <w:rFonts w:ascii="Arial" w:hAnsi="Arial" w:cs="Arial"/>
          <w:spacing w:val="-3"/>
        </w:rPr>
        <w:t xml:space="preserve"> </w:t>
      </w:r>
      <w:r>
        <w:rPr>
          <w:rFonts w:ascii="Arial" w:hAnsi="Arial" w:cs="Arial"/>
        </w:rPr>
        <w:t>em</w:t>
      </w:r>
      <w:r>
        <w:rPr>
          <w:rFonts w:ascii="Arial" w:hAnsi="Arial" w:cs="Arial"/>
          <w:spacing w:val="-3"/>
        </w:rPr>
        <w:t xml:space="preserve"> </w:t>
      </w:r>
      <w:r>
        <w:rPr>
          <w:rFonts w:ascii="Arial" w:hAnsi="Arial" w:cs="Arial"/>
        </w:rPr>
        <w:t>analisar</w:t>
      </w:r>
      <w:r>
        <w:rPr>
          <w:rFonts w:ascii="Arial" w:hAnsi="Arial" w:cs="Arial"/>
          <w:spacing w:val="-3"/>
        </w:rPr>
        <w:t xml:space="preserve"> </w:t>
      </w:r>
      <w:r>
        <w:rPr>
          <w:rFonts w:ascii="Arial" w:hAnsi="Arial" w:cs="Arial"/>
        </w:rPr>
        <w:t>por</w:t>
      </w:r>
      <w:r>
        <w:rPr>
          <w:rFonts w:ascii="Arial" w:hAnsi="Arial" w:cs="Arial"/>
          <w:spacing w:val="-3"/>
        </w:rPr>
        <w:t xml:space="preserve"> </w:t>
      </w:r>
      <w:r>
        <w:rPr>
          <w:rFonts w:ascii="Arial" w:hAnsi="Arial" w:cs="Arial"/>
        </w:rPr>
        <w:t>que,</w:t>
      </w:r>
      <w:r>
        <w:rPr>
          <w:rFonts w:ascii="Arial" w:hAnsi="Arial" w:cs="Arial"/>
          <w:spacing w:val="-3"/>
        </w:rPr>
        <w:t xml:space="preserve"> </w:t>
      </w:r>
      <w:r>
        <w:rPr>
          <w:rFonts w:ascii="Arial" w:hAnsi="Arial" w:cs="Arial"/>
        </w:rPr>
        <w:t>apesar</w:t>
      </w:r>
      <w:r>
        <w:rPr>
          <w:rFonts w:ascii="Arial" w:hAnsi="Arial" w:cs="Arial"/>
          <w:spacing w:val="-3"/>
        </w:rPr>
        <w:t xml:space="preserve"> </w:t>
      </w:r>
      <w:r>
        <w:rPr>
          <w:rFonts w:ascii="Arial" w:hAnsi="Arial" w:cs="Arial"/>
        </w:rPr>
        <w:t>da</w:t>
      </w:r>
      <w:r>
        <w:rPr>
          <w:rFonts w:ascii="Arial" w:hAnsi="Arial" w:cs="Arial"/>
          <w:spacing w:val="-3"/>
        </w:rPr>
        <w:t xml:space="preserve"> </w:t>
      </w:r>
      <w:r>
        <w:rPr>
          <w:rFonts w:ascii="Arial" w:hAnsi="Arial" w:cs="Arial"/>
        </w:rPr>
        <w:t>existência</w:t>
      </w:r>
      <w:r>
        <w:rPr>
          <w:rFonts w:ascii="Arial" w:hAnsi="Arial" w:cs="Arial"/>
          <w:spacing w:val="-3"/>
        </w:rPr>
        <w:t xml:space="preserve"> </w:t>
      </w:r>
      <w:r>
        <w:rPr>
          <w:rFonts w:ascii="Arial" w:hAnsi="Arial" w:cs="Arial"/>
        </w:rPr>
        <w:t>de um amplo arcabouço jurídico, ainda persistem barreiras que dificultam a inclusão plena dos estudantes com deficiência. O objetivo geral da pesquisa é analisar a efetividade dos direitos das pessoas com deficiência no sistema educacional brasileiro, com enfoque nos avanços normativos</w:t>
      </w:r>
      <w:r>
        <w:rPr>
          <w:rFonts w:ascii="Arial" w:hAnsi="Arial" w:cs="Arial"/>
          <w:spacing w:val="-3"/>
        </w:rPr>
        <w:t xml:space="preserve"> </w:t>
      </w:r>
      <w:r>
        <w:rPr>
          <w:rFonts w:ascii="Arial" w:hAnsi="Arial" w:cs="Arial"/>
        </w:rPr>
        <w:t>e nos desafios práticos da inclusão. Como objetivos específicos, busca-se examinar as normas jurídicas e políticas públicas voltadas à educação inclusiva, identificar os principais entraves à sua implementação como a falta de capacitação docente, a insuficiência de recursos pedagógicos e as barreiras atitudinais, bem como avaliar o papel do Estado, das instituições escolares e das organizações sociais na promoção da inclusão educacional. A metodologia adotada consiste em pesquisa de natureza qualitativa,</w:t>
      </w:r>
      <w:r>
        <w:rPr>
          <w:rFonts w:ascii="Arial" w:hAnsi="Arial" w:cs="Arial"/>
          <w:spacing w:val="-3"/>
        </w:rPr>
        <w:t xml:space="preserve"> </w:t>
      </w:r>
      <w:r>
        <w:rPr>
          <w:rFonts w:ascii="Arial" w:hAnsi="Arial" w:cs="Arial"/>
        </w:rPr>
        <w:t>com</w:t>
      </w:r>
      <w:r>
        <w:rPr>
          <w:rFonts w:ascii="Arial" w:hAnsi="Arial" w:cs="Arial"/>
          <w:spacing w:val="-3"/>
        </w:rPr>
        <w:t xml:space="preserve"> </w:t>
      </w:r>
      <w:r>
        <w:rPr>
          <w:rFonts w:ascii="Arial" w:hAnsi="Arial" w:cs="Arial"/>
        </w:rPr>
        <w:t>abordagem</w:t>
      </w:r>
      <w:r>
        <w:rPr>
          <w:rFonts w:ascii="Arial" w:hAnsi="Arial" w:cs="Arial"/>
          <w:spacing w:val="-3"/>
        </w:rPr>
        <w:t xml:space="preserve"> </w:t>
      </w:r>
      <w:r>
        <w:rPr>
          <w:rFonts w:ascii="Arial" w:hAnsi="Arial" w:cs="Arial"/>
        </w:rPr>
        <w:t>descritiva</w:t>
      </w:r>
      <w:r>
        <w:rPr>
          <w:rFonts w:ascii="Arial" w:hAnsi="Arial" w:cs="Arial"/>
          <w:spacing w:val="-3"/>
        </w:rPr>
        <w:t xml:space="preserve"> </w:t>
      </w:r>
      <w:r>
        <w:rPr>
          <w:rFonts w:ascii="Arial" w:hAnsi="Arial" w:cs="Arial"/>
        </w:rPr>
        <w:t>e</w:t>
      </w:r>
      <w:r>
        <w:rPr>
          <w:rFonts w:ascii="Arial" w:hAnsi="Arial" w:cs="Arial"/>
          <w:spacing w:val="-3"/>
        </w:rPr>
        <w:t xml:space="preserve"> </w:t>
      </w:r>
      <w:r>
        <w:rPr>
          <w:rFonts w:ascii="Arial" w:hAnsi="Arial" w:cs="Arial"/>
        </w:rPr>
        <w:t>explicativa,</w:t>
      </w:r>
      <w:r>
        <w:rPr>
          <w:rFonts w:ascii="Arial" w:hAnsi="Arial" w:cs="Arial"/>
          <w:spacing w:val="-3"/>
        </w:rPr>
        <w:t xml:space="preserve"> </w:t>
      </w:r>
      <w:r>
        <w:rPr>
          <w:rFonts w:ascii="Arial" w:hAnsi="Arial" w:cs="Arial"/>
        </w:rPr>
        <w:t>desenvolvida</w:t>
      </w:r>
      <w:r>
        <w:rPr>
          <w:rFonts w:ascii="Arial" w:hAnsi="Arial" w:cs="Arial"/>
          <w:spacing w:val="-3"/>
        </w:rPr>
        <w:t xml:space="preserve"> </w:t>
      </w:r>
      <w:r>
        <w:rPr>
          <w:rFonts w:ascii="Arial" w:hAnsi="Arial" w:cs="Arial"/>
        </w:rPr>
        <w:t>por</w:t>
      </w:r>
      <w:r>
        <w:rPr>
          <w:rFonts w:ascii="Arial" w:hAnsi="Arial" w:cs="Arial"/>
          <w:spacing w:val="-3"/>
        </w:rPr>
        <w:t xml:space="preserve"> </w:t>
      </w:r>
      <w:r>
        <w:rPr>
          <w:rFonts w:ascii="Arial" w:hAnsi="Arial" w:cs="Arial"/>
        </w:rPr>
        <w:t>meio</w:t>
      </w:r>
      <w:r>
        <w:rPr>
          <w:rFonts w:ascii="Arial" w:hAnsi="Arial" w:cs="Arial"/>
          <w:spacing w:val="-3"/>
        </w:rPr>
        <w:t xml:space="preserve"> </w:t>
      </w:r>
      <w:r>
        <w:rPr>
          <w:rFonts w:ascii="Arial" w:hAnsi="Arial" w:cs="Arial"/>
        </w:rPr>
        <w:t>de revisão bibliográfica e análise documental, com base na legislação brasileira, tratados</w:t>
      </w:r>
      <w:r>
        <w:rPr>
          <w:rFonts w:ascii="Arial" w:hAnsi="Arial" w:cs="Arial"/>
          <w:spacing w:val="40"/>
        </w:rPr>
        <w:t xml:space="preserve"> </w:t>
      </w:r>
      <w:r>
        <w:rPr>
          <w:rFonts w:ascii="Arial" w:hAnsi="Arial" w:cs="Arial"/>
        </w:rPr>
        <w:t>internacionais, doutrina especializada e dados oficiais, como o Censo da Educação Básica. Os resultados</w:t>
      </w:r>
      <w:r>
        <w:rPr>
          <w:rFonts w:ascii="Arial" w:hAnsi="Arial" w:cs="Arial"/>
          <w:spacing w:val="-3"/>
        </w:rPr>
        <w:t xml:space="preserve"> </w:t>
      </w:r>
      <w:r>
        <w:rPr>
          <w:rFonts w:ascii="Arial" w:hAnsi="Arial" w:cs="Arial"/>
        </w:rPr>
        <w:t>evidenciam</w:t>
      </w:r>
      <w:r>
        <w:rPr>
          <w:rFonts w:ascii="Arial" w:hAnsi="Arial" w:cs="Arial"/>
          <w:spacing w:val="-3"/>
        </w:rPr>
        <w:t xml:space="preserve"> </w:t>
      </w:r>
      <w:r>
        <w:rPr>
          <w:rFonts w:ascii="Arial" w:hAnsi="Arial" w:cs="Arial"/>
        </w:rPr>
        <w:t>que</w:t>
      </w:r>
      <w:r>
        <w:rPr>
          <w:rFonts w:ascii="Arial" w:hAnsi="Arial" w:cs="Arial"/>
          <w:spacing w:val="-3"/>
        </w:rPr>
        <w:t xml:space="preserve"> </w:t>
      </w:r>
      <w:r>
        <w:rPr>
          <w:rFonts w:ascii="Arial" w:hAnsi="Arial" w:cs="Arial"/>
        </w:rPr>
        <w:t>o</w:t>
      </w:r>
      <w:r>
        <w:rPr>
          <w:rFonts w:ascii="Arial" w:hAnsi="Arial" w:cs="Arial"/>
          <w:spacing w:val="-3"/>
        </w:rPr>
        <w:t xml:space="preserve"> </w:t>
      </w:r>
      <w:r>
        <w:rPr>
          <w:rFonts w:ascii="Arial" w:hAnsi="Arial" w:cs="Arial"/>
        </w:rPr>
        <w:t>Brasil</w:t>
      </w:r>
      <w:r>
        <w:rPr>
          <w:rFonts w:ascii="Arial" w:hAnsi="Arial" w:cs="Arial"/>
          <w:spacing w:val="-3"/>
        </w:rPr>
        <w:t xml:space="preserve"> </w:t>
      </w:r>
      <w:r>
        <w:rPr>
          <w:rFonts w:ascii="Arial" w:hAnsi="Arial" w:cs="Arial"/>
        </w:rPr>
        <w:t>possui</w:t>
      </w:r>
      <w:r>
        <w:rPr>
          <w:rFonts w:ascii="Arial" w:hAnsi="Arial" w:cs="Arial"/>
          <w:spacing w:val="-3"/>
        </w:rPr>
        <w:t xml:space="preserve"> </w:t>
      </w:r>
      <w:r>
        <w:rPr>
          <w:rFonts w:ascii="Arial" w:hAnsi="Arial" w:cs="Arial"/>
        </w:rPr>
        <w:t>um</w:t>
      </w:r>
      <w:r>
        <w:rPr>
          <w:rFonts w:ascii="Arial" w:hAnsi="Arial" w:cs="Arial"/>
          <w:spacing w:val="-3"/>
        </w:rPr>
        <w:t xml:space="preserve"> </w:t>
      </w:r>
      <w:r>
        <w:rPr>
          <w:rFonts w:ascii="Arial" w:hAnsi="Arial" w:cs="Arial"/>
        </w:rPr>
        <w:t>dos</w:t>
      </w:r>
      <w:r>
        <w:rPr>
          <w:rFonts w:ascii="Arial" w:hAnsi="Arial" w:cs="Arial"/>
          <w:spacing w:val="-3"/>
        </w:rPr>
        <w:t xml:space="preserve"> </w:t>
      </w:r>
      <w:r>
        <w:rPr>
          <w:rFonts w:ascii="Arial" w:hAnsi="Arial" w:cs="Arial"/>
        </w:rPr>
        <w:t>mais</w:t>
      </w:r>
      <w:r>
        <w:rPr>
          <w:rFonts w:ascii="Arial" w:hAnsi="Arial" w:cs="Arial"/>
          <w:spacing w:val="-3"/>
        </w:rPr>
        <w:t xml:space="preserve"> </w:t>
      </w:r>
      <w:r>
        <w:rPr>
          <w:rFonts w:ascii="Arial" w:hAnsi="Arial" w:cs="Arial"/>
        </w:rPr>
        <w:t>avançados</w:t>
      </w:r>
      <w:r>
        <w:rPr>
          <w:rFonts w:ascii="Arial" w:hAnsi="Arial" w:cs="Arial"/>
          <w:spacing w:val="-3"/>
        </w:rPr>
        <w:t xml:space="preserve"> </w:t>
      </w:r>
      <w:r>
        <w:rPr>
          <w:rFonts w:ascii="Arial" w:hAnsi="Arial" w:cs="Arial"/>
        </w:rPr>
        <w:t>conjuntos</w:t>
      </w:r>
      <w:r>
        <w:rPr>
          <w:rFonts w:ascii="Arial" w:hAnsi="Arial" w:cs="Arial"/>
          <w:spacing w:val="-3"/>
        </w:rPr>
        <w:t xml:space="preserve"> </w:t>
      </w:r>
      <w:r>
        <w:rPr>
          <w:rFonts w:ascii="Arial" w:hAnsi="Arial" w:cs="Arial"/>
        </w:rPr>
        <w:t>normativos</w:t>
      </w:r>
      <w:r>
        <w:rPr>
          <w:rFonts w:ascii="Arial" w:hAnsi="Arial" w:cs="Arial"/>
          <w:spacing w:val="-3"/>
        </w:rPr>
        <w:t xml:space="preserve"> </w:t>
      </w:r>
      <w:r>
        <w:rPr>
          <w:rFonts w:ascii="Arial" w:hAnsi="Arial" w:cs="Arial"/>
        </w:rPr>
        <w:t>em</w:t>
      </w:r>
      <w:r>
        <w:rPr>
          <w:rFonts w:ascii="Arial" w:hAnsi="Arial" w:cs="Arial"/>
          <w:spacing w:val="-3"/>
        </w:rPr>
        <w:t xml:space="preserve"> </w:t>
      </w:r>
      <w:r>
        <w:rPr>
          <w:rFonts w:ascii="Arial" w:hAnsi="Arial" w:cs="Arial"/>
        </w:rPr>
        <w:t>matéria de educação inclusiva. Contudo, persistem desafios estruturais que comprometem a efetividade desses direitos.</w:t>
      </w:r>
      <w:r>
        <w:rPr>
          <w:rFonts w:ascii="Arial" w:hAnsi="Arial" w:cs="Arial"/>
          <w:spacing w:val="-3"/>
        </w:rPr>
        <w:t xml:space="preserve"> </w:t>
      </w:r>
    </w:p>
    <w:p w:rsidR="009D60B7" w:rsidRDefault="009D60B7">
      <w:pPr>
        <w:spacing w:line="360" w:lineRule="auto"/>
        <w:ind w:right="112"/>
        <w:jc w:val="both"/>
        <w:rPr>
          <w:rFonts w:ascii="Arial" w:hAnsi="Arial"/>
          <w:color w:val="000000"/>
          <w:sz w:val="20"/>
          <w:szCs w:val="20"/>
        </w:rPr>
      </w:pPr>
    </w:p>
    <w:p w:rsidR="009D60B7" w:rsidRDefault="00425C09">
      <w:pPr>
        <w:spacing w:line="360" w:lineRule="auto"/>
        <w:ind w:right="3"/>
        <w:jc w:val="both"/>
        <w:rPr>
          <w:rFonts w:ascii="Arial" w:hAnsi="Arial"/>
          <w:sz w:val="20"/>
          <w:szCs w:val="20"/>
        </w:rPr>
      </w:pPr>
      <w:r>
        <w:rPr>
          <w:rFonts w:ascii="Arial" w:hAnsi="Arial" w:cs="Arial"/>
          <w:b/>
          <w:color w:val="000000"/>
          <w:sz w:val="20"/>
          <w:szCs w:val="20"/>
        </w:rPr>
        <w:t xml:space="preserve">PALAVRAS-CHAVE: </w:t>
      </w:r>
      <w:r>
        <w:rPr>
          <w:rFonts w:ascii="Arial" w:hAnsi="Arial" w:cs="Arial"/>
          <w:sz w:val="20"/>
          <w:szCs w:val="20"/>
        </w:rPr>
        <w:t>Educação</w:t>
      </w:r>
      <w:r>
        <w:rPr>
          <w:rFonts w:ascii="Arial" w:hAnsi="Arial" w:cs="Arial"/>
          <w:spacing w:val="-15"/>
          <w:sz w:val="20"/>
          <w:szCs w:val="20"/>
        </w:rPr>
        <w:t xml:space="preserve"> </w:t>
      </w:r>
      <w:r>
        <w:rPr>
          <w:rFonts w:ascii="Arial" w:hAnsi="Arial" w:cs="Arial"/>
          <w:sz w:val="20"/>
          <w:szCs w:val="20"/>
        </w:rPr>
        <w:t>Inclusiva;</w:t>
      </w:r>
      <w:r>
        <w:rPr>
          <w:rFonts w:ascii="Arial" w:hAnsi="Arial" w:cs="Arial"/>
          <w:spacing w:val="-15"/>
          <w:sz w:val="20"/>
          <w:szCs w:val="20"/>
        </w:rPr>
        <w:t xml:space="preserve"> </w:t>
      </w:r>
      <w:r>
        <w:rPr>
          <w:rFonts w:ascii="Arial" w:hAnsi="Arial" w:cs="Arial"/>
          <w:sz w:val="20"/>
          <w:szCs w:val="20"/>
        </w:rPr>
        <w:t>Pessoas</w:t>
      </w:r>
      <w:r>
        <w:rPr>
          <w:rFonts w:ascii="Arial" w:hAnsi="Arial" w:cs="Arial"/>
          <w:spacing w:val="-15"/>
          <w:sz w:val="20"/>
          <w:szCs w:val="20"/>
        </w:rPr>
        <w:t xml:space="preserve"> </w:t>
      </w:r>
      <w:r>
        <w:rPr>
          <w:rFonts w:ascii="Arial" w:hAnsi="Arial" w:cs="Arial"/>
          <w:sz w:val="20"/>
          <w:szCs w:val="20"/>
        </w:rPr>
        <w:t>Com</w:t>
      </w:r>
      <w:r>
        <w:rPr>
          <w:rFonts w:ascii="Arial" w:hAnsi="Arial" w:cs="Arial"/>
          <w:spacing w:val="-15"/>
          <w:sz w:val="20"/>
          <w:szCs w:val="20"/>
        </w:rPr>
        <w:t xml:space="preserve"> </w:t>
      </w:r>
      <w:r>
        <w:rPr>
          <w:rFonts w:ascii="Arial" w:hAnsi="Arial" w:cs="Arial"/>
          <w:sz w:val="20"/>
          <w:szCs w:val="20"/>
        </w:rPr>
        <w:t>Deficiência;</w:t>
      </w:r>
      <w:r>
        <w:rPr>
          <w:rFonts w:ascii="Arial" w:hAnsi="Arial" w:cs="Arial"/>
          <w:spacing w:val="-15"/>
          <w:sz w:val="20"/>
          <w:szCs w:val="20"/>
        </w:rPr>
        <w:t xml:space="preserve"> </w:t>
      </w:r>
      <w:r>
        <w:rPr>
          <w:rFonts w:ascii="Arial" w:hAnsi="Arial" w:cs="Arial"/>
          <w:sz w:val="20"/>
          <w:szCs w:val="20"/>
        </w:rPr>
        <w:t>Direito</w:t>
      </w:r>
      <w:r>
        <w:rPr>
          <w:rFonts w:ascii="Arial" w:hAnsi="Arial" w:cs="Arial"/>
          <w:spacing w:val="-15"/>
          <w:sz w:val="20"/>
          <w:szCs w:val="20"/>
        </w:rPr>
        <w:t xml:space="preserve"> </w:t>
      </w:r>
      <w:r>
        <w:rPr>
          <w:rFonts w:ascii="Arial" w:hAnsi="Arial" w:cs="Arial"/>
          <w:sz w:val="20"/>
          <w:szCs w:val="20"/>
        </w:rPr>
        <w:t>À</w:t>
      </w:r>
      <w:r>
        <w:rPr>
          <w:rFonts w:ascii="Arial" w:hAnsi="Arial" w:cs="Arial"/>
          <w:spacing w:val="-15"/>
          <w:sz w:val="20"/>
          <w:szCs w:val="20"/>
        </w:rPr>
        <w:t xml:space="preserve"> </w:t>
      </w:r>
      <w:r>
        <w:rPr>
          <w:rFonts w:ascii="Arial" w:hAnsi="Arial" w:cs="Arial"/>
          <w:sz w:val="20"/>
          <w:szCs w:val="20"/>
        </w:rPr>
        <w:t>Educação; Políticas Públicas; Efetividade Dos Direitos Fundamentais.</w:t>
      </w:r>
    </w:p>
    <w:p w:rsidR="009D60B7" w:rsidRDefault="009D60B7">
      <w:pPr>
        <w:spacing w:line="360" w:lineRule="auto"/>
        <w:ind w:right="112"/>
        <w:jc w:val="both"/>
        <w:rPr>
          <w:rFonts w:ascii="Arial" w:hAnsi="Arial" w:cs="Arial"/>
          <w:b/>
          <w:color w:val="000000"/>
          <w:sz w:val="20"/>
          <w:szCs w:val="20"/>
        </w:rPr>
      </w:pPr>
    </w:p>
    <w:p w:rsidR="009D60B7" w:rsidRDefault="00425C09">
      <w:pPr>
        <w:spacing w:line="360" w:lineRule="auto"/>
        <w:ind w:right="112"/>
        <w:jc w:val="both"/>
        <w:rPr>
          <w:rFonts w:ascii="Arial" w:hAnsi="Arial"/>
          <w:bCs/>
          <w:sz w:val="24"/>
          <w:szCs w:val="24"/>
        </w:rPr>
      </w:pPr>
      <w:r>
        <w:rPr>
          <w:rFonts w:ascii="Arial" w:hAnsi="Arial" w:cs="Arial"/>
          <w:bCs/>
          <w:color w:val="000000"/>
          <w:sz w:val="24"/>
          <w:szCs w:val="24"/>
        </w:rPr>
        <w:t>INTRODUÇÃO</w:t>
      </w:r>
    </w:p>
    <w:p w:rsidR="009D60B7" w:rsidRDefault="00425C09">
      <w:pPr>
        <w:pStyle w:val="Corpodetexto"/>
        <w:spacing w:before="1" w:line="360" w:lineRule="auto"/>
        <w:ind w:right="3" w:firstLine="709"/>
        <w:jc w:val="both"/>
        <w:rPr>
          <w:rFonts w:ascii="Arial" w:hAnsi="Arial"/>
          <w:sz w:val="24"/>
          <w:szCs w:val="24"/>
        </w:rPr>
      </w:pPr>
      <w:r>
        <w:rPr>
          <w:rFonts w:ascii="Arial" w:hAnsi="Arial" w:cs="Arial"/>
          <w:sz w:val="24"/>
          <w:szCs w:val="24"/>
        </w:rPr>
        <w:t>A educação constitui um dos pilares fundamentais para a promoção da dignidade</w:t>
      </w:r>
      <w:r>
        <w:rPr>
          <w:rFonts w:ascii="Arial" w:hAnsi="Arial" w:cs="Arial"/>
          <w:spacing w:val="-3"/>
          <w:sz w:val="24"/>
          <w:szCs w:val="24"/>
        </w:rPr>
        <w:t xml:space="preserve"> </w:t>
      </w:r>
      <w:r>
        <w:rPr>
          <w:rFonts w:ascii="Arial" w:hAnsi="Arial" w:cs="Arial"/>
          <w:sz w:val="24"/>
          <w:szCs w:val="24"/>
        </w:rPr>
        <w:t>da</w:t>
      </w:r>
      <w:r>
        <w:rPr>
          <w:rFonts w:ascii="Arial" w:hAnsi="Arial" w:cs="Arial"/>
          <w:spacing w:val="-3"/>
          <w:sz w:val="24"/>
          <w:szCs w:val="24"/>
        </w:rPr>
        <w:t xml:space="preserve"> </w:t>
      </w:r>
      <w:r>
        <w:rPr>
          <w:rFonts w:ascii="Arial" w:hAnsi="Arial" w:cs="Arial"/>
          <w:sz w:val="24"/>
          <w:szCs w:val="24"/>
        </w:rPr>
        <w:t>pessoa humana e para o desenvolvimento de uma sociedade justa, igualitária e democrática. No ordenamento jurídico brasileiro, a educação é reconhecida como direito</w:t>
      </w:r>
      <w:r>
        <w:rPr>
          <w:rFonts w:ascii="Arial" w:hAnsi="Arial" w:cs="Arial"/>
          <w:spacing w:val="-2"/>
          <w:sz w:val="24"/>
          <w:szCs w:val="24"/>
        </w:rPr>
        <w:t xml:space="preserve"> </w:t>
      </w:r>
      <w:r>
        <w:rPr>
          <w:rFonts w:ascii="Arial" w:hAnsi="Arial" w:cs="Arial"/>
          <w:sz w:val="24"/>
          <w:szCs w:val="24"/>
        </w:rPr>
        <w:t>de</w:t>
      </w:r>
      <w:r>
        <w:rPr>
          <w:rFonts w:ascii="Arial" w:hAnsi="Arial" w:cs="Arial"/>
          <w:spacing w:val="-2"/>
          <w:sz w:val="24"/>
          <w:szCs w:val="24"/>
        </w:rPr>
        <w:t xml:space="preserve"> </w:t>
      </w:r>
      <w:r>
        <w:rPr>
          <w:rFonts w:ascii="Arial" w:hAnsi="Arial" w:cs="Arial"/>
          <w:sz w:val="24"/>
          <w:szCs w:val="24"/>
        </w:rPr>
        <w:t>todos</w:t>
      </w:r>
      <w:r>
        <w:rPr>
          <w:rFonts w:ascii="Arial" w:hAnsi="Arial" w:cs="Arial"/>
          <w:spacing w:val="-2"/>
          <w:sz w:val="24"/>
          <w:szCs w:val="24"/>
        </w:rPr>
        <w:t xml:space="preserve"> </w:t>
      </w:r>
      <w:r>
        <w:rPr>
          <w:rFonts w:ascii="Arial" w:hAnsi="Arial" w:cs="Arial"/>
          <w:sz w:val="24"/>
          <w:szCs w:val="24"/>
        </w:rPr>
        <w:t>e</w:t>
      </w:r>
      <w:r>
        <w:rPr>
          <w:rFonts w:ascii="Arial" w:hAnsi="Arial" w:cs="Arial"/>
          <w:spacing w:val="-2"/>
          <w:sz w:val="24"/>
          <w:szCs w:val="24"/>
        </w:rPr>
        <w:t xml:space="preserve"> </w:t>
      </w:r>
      <w:r>
        <w:rPr>
          <w:rFonts w:ascii="Arial" w:hAnsi="Arial" w:cs="Arial"/>
          <w:sz w:val="24"/>
          <w:szCs w:val="24"/>
        </w:rPr>
        <w:t>dever</w:t>
      </w:r>
      <w:r>
        <w:rPr>
          <w:rFonts w:ascii="Arial" w:hAnsi="Arial" w:cs="Arial"/>
          <w:spacing w:val="-2"/>
          <w:sz w:val="24"/>
          <w:szCs w:val="24"/>
        </w:rPr>
        <w:t xml:space="preserve"> </w:t>
      </w:r>
      <w:r>
        <w:rPr>
          <w:rFonts w:ascii="Arial" w:hAnsi="Arial" w:cs="Arial"/>
          <w:sz w:val="24"/>
          <w:szCs w:val="24"/>
        </w:rPr>
        <w:t>do</w:t>
      </w:r>
      <w:r>
        <w:rPr>
          <w:rFonts w:ascii="Arial" w:hAnsi="Arial" w:cs="Arial"/>
          <w:spacing w:val="-2"/>
          <w:sz w:val="24"/>
          <w:szCs w:val="24"/>
        </w:rPr>
        <w:t xml:space="preserve"> </w:t>
      </w:r>
      <w:r>
        <w:rPr>
          <w:rFonts w:ascii="Arial" w:hAnsi="Arial" w:cs="Arial"/>
          <w:sz w:val="24"/>
          <w:szCs w:val="24"/>
        </w:rPr>
        <w:t>Estado</w:t>
      </w:r>
      <w:r>
        <w:rPr>
          <w:rFonts w:ascii="Arial" w:hAnsi="Arial" w:cs="Arial"/>
          <w:spacing w:val="40"/>
          <w:sz w:val="24"/>
          <w:szCs w:val="24"/>
        </w:rPr>
        <w:t xml:space="preserve"> </w:t>
      </w:r>
      <w:r>
        <w:rPr>
          <w:rFonts w:ascii="Arial" w:hAnsi="Arial" w:cs="Arial"/>
          <w:sz w:val="24"/>
          <w:szCs w:val="24"/>
        </w:rPr>
        <w:t>e da</w:t>
      </w:r>
      <w:r>
        <w:rPr>
          <w:rFonts w:ascii="Arial" w:hAnsi="Arial" w:cs="Arial"/>
          <w:spacing w:val="-2"/>
          <w:sz w:val="24"/>
          <w:szCs w:val="24"/>
        </w:rPr>
        <w:t xml:space="preserve"> </w:t>
      </w:r>
      <w:r>
        <w:rPr>
          <w:rFonts w:ascii="Arial" w:hAnsi="Arial" w:cs="Arial"/>
          <w:sz w:val="24"/>
          <w:szCs w:val="24"/>
        </w:rPr>
        <w:t>família,</w:t>
      </w:r>
      <w:r>
        <w:rPr>
          <w:rFonts w:ascii="Arial" w:hAnsi="Arial" w:cs="Arial"/>
          <w:spacing w:val="-2"/>
          <w:sz w:val="24"/>
          <w:szCs w:val="24"/>
        </w:rPr>
        <w:t xml:space="preserve"> </w:t>
      </w:r>
      <w:r>
        <w:rPr>
          <w:rFonts w:ascii="Arial" w:hAnsi="Arial" w:cs="Arial"/>
          <w:sz w:val="24"/>
          <w:szCs w:val="24"/>
        </w:rPr>
        <w:t>conforme</w:t>
      </w:r>
      <w:r>
        <w:rPr>
          <w:rFonts w:ascii="Arial" w:hAnsi="Arial" w:cs="Arial"/>
          <w:spacing w:val="-2"/>
          <w:sz w:val="24"/>
          <w:szCs w:val="24"/>
        </w:rPr>
        <w:t xml:space="preserve"> </w:t>
      </w:r>
      <w:r>
        <w:rPr>
          <w:rFonts w:ascii="Arial" w:hAnsi="Arial" w:cs="Arial"/>
          <w:sz w:val="24"/>
          <w:szCs w:val="24"/>
        </w:rPr>
        <w:t>estabelecido</w:t>
      </w:r>
      <w:r>
        <w:rPr>
          <w:rFonts w:ascii="Arial" w:hAnsi="Arial" w:cs="Arial"/>
          <w:spacing w:val="-2"/>
          <w:sz w:val="24"/>
          <w:szCs w:val="24"/>
        </w:rPr>
        <w:t xml:space="preserve"> </w:t>
      </w:r>
      <w:r>
        <w:rPr>
          <w:rFonts w:ascii="Arial" w:hAnsi="Arial" w:cs="Arial"/>
          <w:sz w:val="24"/>
          <w:szCs w:val="24"/>
        </w:rPr>
        <w:t>pela</w:t>
      </w:r>
      <w:r>
        <w:rPr>
          <w:rFonts w:ascii="Arial" w:hAnsi="Arial" w:cs="Arial"/>
          <w:spacing w:val="-2"/>
          <w:sz w:val="24"/>
          <w:szCs w:val="24"/>
        </w:rPr>
        <w:t xml:space="preserve"> </w:t>
      </w:r>
      <w:r>
        <w:rPr>
          <w:rFonts w:ascii="Arial" w:hAnsi="Arial" w:cs="Arial"/>
          <w:sz w:val="24"/>
          <w:szCs w:val="24"/>
        </w:rPr>
        <w:t>Constituição</w:t>
      </w:r>
      <w:r>
        <w:rPr>
          <w:rFonts w:ascii="Arial" w:hAnsi="Arial" w:cs="Arial"/>
          <w:spacing w:val="-2"/>
          <w:sz w:val="24"/>
          <w:szCs w:val="24"/>
        </w:rPr>
        <w:t xml:space="preserve"> </w:t>
      </w:r>
      <w:r>
        <w:rPr>
          <w:rFonts w:ascii="Arial" w:hAnsi="Arial" w:cs="Arial"/>
          <w:sz w:val="24"/>
          <w:szCs w:val="24"/>
        </w:rPr>
        <w:t>Federal</w:t>
      </w:r>
      <w:r>
        <w:rPr>
          <w:rFonts w:ascii="Arial" w:hAnsi="Arial" w:cs="Arial"/>
          <w:spacing w:val="-2"/>
          <w:sz w:val="24"/>
          <w:szCs w:val="24"/>
        </w:rPr>
        <w:t xml:space="preserve"> </w:t>
      </w:r>
      <w:r>
        <w:rPr>
          <w:rFonts w:ascii="Arial" w:hAnsi="Arial" w:cs="Arial"/>
          <w:sz w:val="24"/>
          <w:szCs w:val="24"/>
        </w:rPr>
        <w:t>de</w:t>
      </w:r>
      <w:r>
        <w:rPr>
          <w:rFonts w:ascii="Arial" w:hAnsi="Arial" w:cs="Arial"/>
          <w:spacing w:val="-2"/>
          <w:sz w:val="24"/>
          <w:szCs w:val="24"/>
        </w:rPr>
        <w:t xml:space="preserve"> </w:t>
      </w:r>
      <w:r>
        <w:rPr>
          <w:rFonts w:ascii="Arial" w:hAnsi="Arial" w:cs="Arial"/>
          <w:sz w:val="24"/>
          <w:szCs w:val="24"/>
        </w:rPr>
        <w:t>1988,</w:t>
      </w:r>
      <w:r>
        <w:rPr>
          <w:rFonts w:ascii="Arial" w:hAnsi="Arial" w:cs="Arial"/>
          <w:spacing w:val="-2"/>
          <w:sz w:val="24"/>
          <w:szCs w:val="24"/>
        </w:rPr>
        <w:t xml:space="preserve"> </w:t>
      </w:r>
      <w:r>
        <w:rPr>
          <w:rFonts w:ascii="Arial" w:hAnsi="Arial" w:cs="Arial"/>
          <w:sz w:val="24"/>
          <w:szCs w:val="24"/>
        </w:rPr>
        <w:t>sendo</w:t>
      </w:r>
      <w:r>
        <w:rPr>
          <w:rFonts w:ascii="Arial" w:hAnsi="Arial" w:cs="Arial"/>
          <w:spacing w:val="-2"/>
          <w:sz w:val="24"/>
          <w:szCs w:val="24"/>
        </w:rPr>
        <w:t xml:space="preserve"> </w:t>
      </w:r>
      <w:r>
        <w:rPr>
          <w:rFonts w:ascii="Arial" w:hAnsi="Arial" w:cs="Arial"/>
          <w:sz w:val="24"/>
          <w:szCs w:val="24"/>
        </w:rPr>
        <w:t>essencial</w:t>
      </w:r>
      <w:r>
        <w:rPr>
          <w:rFonts w:ascii="Arial" w:hAnsi="Arial" w:cs="Arial"/>
          <w:spacing w:val="-2"/>
          <w:sz w:val="24"/>
          <w:szCs w:val="24"/>
        </w:rPr>
        <w:t xml:space="preserve"> </w:t>
      </w:r>
      <w:r>
        <w:rPr>
          <w:rFonts w:ascii="Arial" w:hAnsi="Arial" w:cs="Arial"/>
          <w:sz w:val="24"/>
          <w:szCs w:val="24"/>
        </w:rPr>
        <w:t>para</w:t>
      </w:r>
      <w:r>
        <w:rPr>
          <w:rFonts w:ascii="Arial" w:hAnsi="Arial" w:cs="Arial"/>
          <w:spacing w:val="-2"/>
          <w:sz w:val="24"/>
          <w:szCs w:val="24"/>
        </w:rPr>
        <w:t xml:space="preserve"> </w:t>
      </w:r>
      <w:r>
        <w:rPr>
          <w:rFonts w:ascii="Arial" w:hAnsi="Arial" w:cs="Arial"/>
          <w:sz w:val="24"/>
          <w:szCs w:val="24"/>
        </w:rPr>
        <w:t>o</w:t>
      </w:r>
      <w:r>
        <w:rPr>
          <w:rFonts w:ascii="Arial" w:hAnsi="Arial" w:cs="Arial"/>
          <w:spacing w:val="-2"/>
          <w:sz w:val="24"/>
          <w:szCs w:val="24"/>
        </w:rPr>
        <w:t xml:space="preserve"> </w:t>
      </w:r>
      <w:r>
        <w:rPr>
          <w:rFonts w:ascii="Arial" w:hAnsi="Arial" w:cs="Arial"/>
          <w:sz w:val="24"/>
          <w:szCs w:val="24"/>
        </w:rPr>
        <w:t>pleno desenvolvimento do indivíduo e para</w:t>
      </w:r>
      <w:r>
        <w:rPr>
          <w:rFonts w:ascii="Arial" w:hAnsi="Arial" w:cs="Arial"/>
          <w:spacing w:val="-2"/>
          <w:sz w:val="24"/>
          <w:szCs w:val="24"/>
        </w:rPr>
        <w:t xml:space="preserve"> </w:t>
      </w:r>
      <w:r>
        <w:rPr>
          <w:rFonts w:ascii="Arial" w:hAnsi="Arial" w:cs="Arial"/>
          <w:sz w:val="24"/>
          <w:szCs w:val="24"/>
        </w:rPr>
        <w:t>o</w:t>
      </w:r>
      <w:r>
        <w:rPr>
          <w:rFonts w:ascii="Arial" w:hAnsi="Arial" w:cs="Arial"/>
          <w:spacing w:val="-2"/>
          <w:sz w:val="24"/>
          <w:szCs w:val="24"/>
        </w:rPr>
        <w:t xml:space="preserve"> </w:t>
      </w:r>
      <w:r>
        <w:rPr>
          <w:rFonts w:ascii="Arial" w:hAnsi="Arial" w:cs="Arial"/>
          <w:sz w:val="24"/>
          <w:szCs w:val="24"/>
        </w:rPr>
        <w:t>exercício</w:t>
      </w:r>
      <w:r>
        <w:rPr>
          <w:rFonts w:ascii="Arial" w:hAnsi="Arial" w:cs="Arial"/>
          <w:spacing w:val="-2"/>
          <w:sz w:val="24"/>
          <w:szCs w:val="24"/>
        </w:rPr>
        <w:t xml:space="preserve"> </w:t>
      </w:r>
      <w:r>
        <w:rPr>
          <w:rFonts w:ascii="Arial" w:hAnsi="Arial" w:cs="Arial"/>
          <w:sz w:val="24"/>
          <w:szCs w:val="24"/>
        </w:rPr>
        <w:t>da</w:t>
      </w:r>
      <w:r>
        <w:rPr>
          <w:rFonts w:ascii="Arial" w:hAnsi="Arial" w:cs="Arial"/>
          <w:spacing w:val="-2"/>
          <w:sz w:val="24"/>
          <w:szCs w:val="24"/>
        </w:rPr>
        <w:t xml:space="preserve"> </w:t>
      </w:r>
      <w:r>
        <w:rPr>
          <w:rFonts w:ascii="Arial" w:hAnsi="Arial" w:cs="Arial"/>
          <w:sz w:val="24"/>
          <w:szCs w:val="24"/>
        </w:rPr>
        <w:t>cidadania.</w:t>
      </w:r>
      <w:r>
        <w:rPr>
          <w:rFonts w:ascii="Arial" w:hAnsi="Arial" w:cs="Arial"/>
          <w:spacing w:val="-2"/>
          <w:sz w:val="24"/>
          <w:szCs w:val="24"/>
        </w:rPr>
        <w:t xml:space="preserve"> </w:t>
      </w:r>
      <w:r>
        <w:rPr>
          <w:rFonts w:ascii="Arial" w:hAnsi="Arial" w:cs="Arial"/>
          <w:sz w:val="24"/>
          <w:szCs w:val="24"/>
        </w:rPr>
        <w:t>Nesse</w:t>
      </w:r>
      <w:r>
        <w:rPr>
          <w:rFonts w:ascii="Arial" w:hAnsi="Arial" w:cs="Arial"/>
          <w:spacing w:val="-2"/>
          <w:sz w:val="24"/>
          <w:szCs w:val="24"/>
        </w:rPr>
        <w:t xml:space="preserve"> </w:t>
      </w:r>
      <w:r>
        <w:rPr>
          <w:rFonts w:ascii="Arial" w:hAnsi="Arial" w:cs="Arial"/>
          <w:sz w:val="24"/>
          <w:szCs w:val="24"/>
        </w:rPr>
        <w:t>contexto,</w:t>
      </w:r>
      <w:r>
        <w:rPr>
          <w:rFonts w:ascii="Arial" w:hAnsi="Arial" w:cs="Arial"/>
          <w:spacing w:val="-2"/>
          <w:sz w:val="24"/>
          <w:szCs w:val="24"/>
        </w:rPr>
        <w:t xml:space="preserve"> </w:t>
      </w:r>
      <w:r>
        <w:rPr>
          <w:rFonts w:ascii="Arial" w:hAnsi="Arial" w:cs="Arial"/>
          <w:sz w:val="24"/>
          <w:szCs w:val="24"/>
        </w:rPr>
        <w:t>a</w:t>
      </w:r>
      <w:r>
        <w:rPr>
          <w:rFonts w:ascii="Arial" w:hAnsi="Arial" w:cs="Arial"/>
          <w:spacing w:val="-2"/>
          <w:sz w:val="24"/>
          <w:szCs w:val="24"/>
        </w:rPr>
        <w:t xml:space="preserve"> </w:t>
      </w:r>
      <w:r>
        <w:rPr>
          <w:rFonts w:ascii="Arial" w:hAnsi="Arial" w:cs="Arial"/>
          <w:sz w:val="24"/>
          <w:szCs w:val="24"/>
        </w:rPr>
        <w:t>garantia</w:t>
      </w:r>
      <w:r>
        <w:rPr>
          <w:rFonts w:ascii="Arial" w:hAnsi="Arial" w:cs="Arial"/>
          <w:spacing w:val="-2"/>
          <w:sz w:val="24"/>
          <w:szCs w:val="24"/>
        </w:rPr>
        <w:t xml:space="preserve"> </w:t>
      </w:r>
      <w:r>
        <w:rPr>
          <w:rFonts w:ascii="Arial" w:hAnsi="Arial" w:cs="Arial"/>
          <w:sz w:val="24"/>
          <w:szCs w:val="24"/>
        </w:rPr>
        <w:t>do</w:t>
      </w:r>
      <w:r>
        <w:rPr>
          <w:rFonts w:ascii="Arial" w:hAnsi="Arial" w:cs="Arial"/>
          <w:spacing w:val="-2"/>
          <w:sz w:val="24"/>
          <w:szCs w:val="24"/>
        </w:rPr>
        <w:t xml:space="preserve"> </w:t>
      </w:r>
      <w:r>
        <w:rPr>
          <w:rFonts w:ascii="Arial" w:hAnsi="Arial" w:cs="Arial"/>
          <w:sz w:val="24"/>
          <w:szCs w:val="24"/>
        </w:rPr>
        <w:t xml:space="preserve">acesso à educação deve ocorrer em condições de igualdade, o que exige a adoção de medidas que assegurem a inclusão de grupos historicamente marginalizados, especialmente das pessoas com </w:t>
      </w:r>
      <w:r>
        <w:rPr>
          <w:rFonts w:ascii="Arial" w:hAnsi="Arial" w:cs="Arial"/>
          <w:spacing w:val="-2"/>
          <w:sz w:val="24"/>
          <w:szCs w:val="24"/>
        </w:rPr>
        <w:t>deficiência.</w:t>
      </w:r>
    </w:p>
    <w:p w:rsidR="009D60B7" w:rsidRDefault="00425C09">
      <w:pPr>
        <w:pStyle w:val="Corpodetexto"/>
        <w:spacing w:line="360" w:lineRule="auto"/>
        <w:ind w:right="3" w:firstLine="709"/>
        <w:jc w:val="both"/>
        <w:rPr>
          <w:rFonts w:ascii="Arial" w:hAnsi="Arial"/>
          <w:sz w:val="24"/>
          <w:szCs w:val="24"/>
        </w:rPr>
      </w:pPr>
      <w:r>
        <w:rPr>
          <w:rFonts w:ascii="Arial" w:hAnsi="Arial" w:cs="Arial"/>
          <w:sz w:val="24"/>
          <w:szCs w:val="24"/>
        </w:rPr>
        <w:lastRenderedPageBreak/>
        <w:t>A educação inclusiva surge, portanto, como instrumento indispensável para a</w:t>
      </w:r>
      <w:r>
        <w:rPr>
          <w:rFonts w:ascii="Arial" w:hAnsi="Arial" w:cs="Arial"/>
          <w:spacing w:val="-3"/>
          <w:sz w:val="24"/>
          <w:szCs w:val="24"/>
        </w:rPr>
        <w:t xml:space="preserve"> </w:t>
      </w:r>
      <w:r>
        <w:rPr>
          <w:rFonts w:ascii="Arial" w:hAnsi="Arial" w:cs="Arial"/>
          <w:sz w:val="24"/>
          <w:szCs w:val="24"/>
        </w:rPr>
        <w:t>concretização da igualdade material, ao promover a inserção de estudantes com deficiência no ensino regular, garantindo-lhes não apenas o acesso à escola, mas também condições adequadas de</w:t>
      </w:r>
      <w:r>
        <w:rPr>
          <w:rFonts w:ascii="Arial" w:hAnsi="Arial" w:cs="Arial"/>
          <w:spacing w:val="-2"/>
          <w:sz w:val="24"/>
          <w:szCs w:val="24"/>
        </w:rPr>
        <w:t xml:space="preserve"> </w:t>
      </w:r>
      <w:r>
        <w:rPr>
          <w:rFonts w:ascii="Arial" w:hAnsi="Arial" w:cs="Arial"/>
          <w:sz w:val="24"/>
          <w:szCs w:val="24"/>
        </w:rPr>
        <w:t>permanência</w:t>
      </w:r>
      <w:r>
        <w:rPr>
          <w:rFonts w:ascii="Arial" w:hAnsi="Arial" w:cs="Arial"/>
          <w:spacing w:val="-2"/>
          <w:sz w:val="24"/>
          <w:szCs w:val="24"/>
        </w:rPr>
        <w:t xml:space="preserve"> </w:t>
      </w:r>
      <w:r>
        <w:rPr>
          <w:rFonts w:ascii="Arial" w:hAnsi="Arial" w:cs="Arial"/>
          <w:sz w:val="24"/>
          <w:szCs w:val="24"/>
        </w:rPr>
        <w:t>e aprendizagem. Esse modelo educacional representa uma ruptura com práticas segregacionistas historicamente adotadas, exigindo a adaptação das instituições de ensino às necessidades dos</w:t>
      </w:r>
      <w:r>
        <w:rPr>
          <w:rFonts w:ascii="Arial" w:hAnsi="Arial" w:cs="Arial"/>
          <w:spacing w:val="40"/>
          <w:sz w:val="24"/>
          <w:szCs w:val="24"/>
        </w:rPr>
        <w:t xml:space="preserve"> </w:t>
      </w:r>
      <w:r>
        <w:rPr>
          <w:rFonts w:ascii="Arial" w:hAnsi="Arial" w:cs="Arial"/>
          <w:sz w:val="24"/>
          <w:szCs w:val="24"/>
        </w:rPr>
        <w:t>alunos, e não o contrário.</w:t>
      </w:r>
    </w:p>
    <w:p w:rsidR="009D60B7" w:rsidRDefault="00425C09">
      <w:pPr>
        <w:pStyle w:val="Corpodetexto"/>
        <w:spacing w:line="360" w:lineRule="auto"/>
        <w:ind w:right="3" w:firstLine="709"/>
        <w:jc w:val="both"/>
        <w:rPr>
          <w:rFonts w:ascii="Arial" w:hAnsi="Arial"/>
          <w:sz w:val="24"/>
          <w:szCs w:val="24"/>
        </w:rPr>
      </w:pPr>
      <w:r>
        <w:rPr>
          <w:rFonts w:ascii="Arial" w:hAnsi="Arial" w:cs="Arial"/>
          <w:sz w:val="24"/>
          <w:szCs w:val="24"/>
        </w:rPr>
        <w:t>Apesar dos avanços normativos verificados nas últimas décadas, com destaque para a incorporação de tratados internacionais e a promulgação da Lei Brasileira de Inclusão da Pessoa com</w:t>
      </w:r>
      <w:r>
        <w:rPr>
          <w:rFonts w:ascii="Arial" w:hAnsi="Arial" w:cs="Arial"/>
          <w:spacing w:val="-3"/>
          <w:sz w:val="24"/>
          <w:szCs w:val="24"/>
        </w:rPr>
        <w:t xml:space="preserve"> </w:t>
      </w:r>
      <w:r>
        <w:rPr>
          <w:rFonts w:ascii="Arial" w:hAnsi="Arial" w:cs="Arial"/>
          <w:sz w:val="24"/>
          <w:szCs w:val="24"/>
        </w:rPr>
        <w:t>Deficiência,</w:t>
      </w:r>
      <w:r>
        <w:rPr>
          <w:rFonts w:ascii="Arial" w:hAnsi="Arial" w:cs="Arial"/>
          <w:spacing w:val="-3"/>
          <w:sz w:val="24"/>
          <w:szCs w:val="24"/>
        </w:rPr>
        <w:t xml:space="preserve"> </w:t>
      </w:r>
      <w:r>
        <w:rPr>
          <w:rFonts w:ascii="Arial" w:hAnsi="Arial" w:cs="Arial"/>
          <w:sz w:val="24"/>
          <w:szCs w:val="24"/>
        </w:rPr>
        <w:t>ainda</w:t>
      </w:r>
      <w:r>
        <w:rPr>
          <w:rFonts w:ascii="Arial" w:hAnsi="Arial" w:cs="Arial"/>
          <w:spacing w:val="-3"/>
          <w:sz w:val="24"/>
          <w:szCs w:val="24"/>
        </w:rPr>
        <w:t xml:space="preserve"> </w:t>
      </w:r>
      <w:r>
        <w:rPr>
          <w:rFonts w:ascii="Arial" w:hAnsi="Arial" w:cs="Arial"/>
          <w:sz w:val="24"/>
          <w:szCs w:val="24"/>
        </w:rPr>
        <w:t>se</w:t>
      </w:r>
      <w:r>
        <w:rPr>
          <w:rFonts w:ascii="Arial" w:hAnsi="Arial" w:cs="Arial"/>
          <w:spacing w:val="-3"/>
          <w:sz w:val="24"/>
          <w:szCs w:val="24"/>
        </w:rPr>
        <w:t xml:space="preserve"> </w:t>
      </w:r>
      <w:r>
        <w:rPr>
          <w:rFonts w:ascii="Arial" w:hAnsi="Arial" w:cs="Arial"/>
          <w:sz w:val="24"/>
          <w:szCs w:val="24"/>
        </w:rPr>
        <w:t>observa</w:t>
      </w:r>
      <w:r>
        <w:rPr>
          <w:rFonts w:ascii="Arial" w:hAnsi="Arial" w:cs="Arial"/>
          <w:spacing w:val="-3"/>
          <w:sz w:val="24"/>
          <w:szCs w:val="24"/>
        </w:rPr>
        <w:t xml:space="preserve"> </w:t>
      </w:r>
      <w:r>
        <w:rPr>
          <w:rFonts w:ascii="Arial" w:hAnsi="Arial" w:cs="Arial"/>
          <w:sz w:val="24"/>
          <w:szCs w:val="24"/>
        </w:rPr>
        <w:t>um</w:t>
      </w:r>
      <w:r>
        <w:rPr>
          <w:rFonts w:ascii="Arial" w:hAnsi="Arial" w:cs="Arial"/>
          <w:spacing w:val="-3"/>
          <w:sz w:val="24"/>
          <w:szCs w:val="24"/>
        </w:rPr>
        <w:t xml:space="preserve"> </w:t>
      </w:r>
      <w:r>
        <w:rPr>
          <w:rFonts w:ascii="Arial" w:hAnsi="Arial" w:cs="Arial"/>
          <w:sz w:val="24"/>
          <w:szCs w:val="24"/>
        </w:rPr>
        <w:t>significativo</w:t>
      </w:r>
      <w:r>
        <w:rPr>
          <w:rFonts w:ascii="Arial" w:hAnsi="Arial" w:cs="Arial"/>
          <w:spacing w:val="-3"/>
          <w:sz w:val="24"/>
          <w:szCs w:val="24"/>
        </w:rPr>
        <w:t xml:space="preserve"> </w:t>
      </w:r>
      <w:r>
        <w:rPr>
          <w:rFonts w:ascii="Arial" w:hAnsi="Arial" w:cs="Arial"/>
          <w:sz w:val="24"/>
          <w:szCs w:val="24"/>
        </w:rPr>
        <w:t>descompasso</w:t>
      </w:r>
      <w:r>
        <w:rPr>
          <w:rFonts w:ascii="Arial" w:hAnsi="Arial" w:cs="Arial"/>
          <w:spacing w:val="-3"/>
          <w:sz w:val="24"/>
          <w:szCs w:val="24"/>
        </w:rPr>
        <w:t xml:space="preserve"> </w:t>
      </w:r>
      <w:r>
        <w:rPr>
          <w:rFonts w:ascii="Arial" w:hAnsi="Arial" w:cs="Arial"/>
          <w:sz w:val="24"/>
          <w:szCs w:val="24"/>
        </w:rPr>
        <w:t>entre</w:t>
      </w:r>
      <w:r>
        <w:rPr>
          <w:rFonts w:ascii="Arial" w:hAnsi="Arial" w:cs="Arial"/>
          <w:spacing w:val="-3"/>
          <w:sz w:val="24"/>
          <w:szCs w:val="24"/>
        </w:rPr>
        <w:t xml:space="preserve"> </w:t>
      </w:r>
      <w:r>
        <w:rPr>
          <w:rFonts w:ascii="Arial" w:hAnsi="Arial" w:cs="Arial"/>
          <w:sz w:val="24"/>
          <w:szCs w:val="24"/>
        </w:rPr>
        <w:t>o</w:t>
      </w:r>
      <w:r>
        <w:rPr>
          <w:rFonts w:ascii="Arial" w:hAnsi="Arial" w:cs="Arial"/>
          <w:spacing w:val="-3"/>
          <w:sz w:val="24"/>
          <w:szCs w:val="24"/>
        </w:rPr>
        <w:t xml:space="preserve"> </w:t>
      </w:r>
      <w:r>
        <w:rPr>
          <w:rFonts w:ascii="Arial" w:hAnsi="Arial" w:cs="Arial"/>
          <w:sz w:val="24"/>
          <w:szCs w:val="24"/>
        </w:rPr>
        <w:t>plano</w:t>
      </w:r>
      <w:r>
        <w:rPr>
          <w:rFonts w:ascii="Arial" w:hAnsi="Arial" w:cs="Arial"/>
          <w:spacing w:val="-3"/>
          <w:sz w:val="24"/>
          <w:szCs w:val="24"/>
        </w:rPr>
        <w:t xml:space="preserve"> </w:t>
      </w:r>
      <w:r>
        <w:rPr>
          <w:rFonts w:ascii="Arial" w:hAnsi="Arial" w:cs="Arial"/>
          <w:sz w:val="24"/>
          <w:szCs w:val="24"/>
        </w:rPr>
        <w:t>jurídico</w:t>
      </w:r>
      <w:r>
        <w:rPr>
          <w:rFonts w:ascii="Arial" w:hAnsi="Arial" w:cs="Arial"/>
          <w:spacing w:val="-3"/>
          <w:sz w:val="24"/>
          <w:szCs w:val="24"/>
        </w:rPr>
        <w:t xml:space="preserve"> </w:t>
      </w:r>
      <w:r>
        <w:rPr>
          <w:rFonts w:ascii="Arial" w:hAnsi="Arial" w:cs="Arial"/>
          <w:sz w:val="24"/>
          <w:szCs w:val="24"/>
        </w:rPr>
        <w:t>e</w:t>
      </w:r>
      <w:r>
        <w:rPr>
          <w:rFonts w:ascii="Arial" w:hAnsi="Arial" w:cs="Arial"/>
          <w:spacing w:val="-3"/>
          <w:sz w:val="24"/>
          <w:szCs w:val="24"/>
        </w:rPr>
        <w:t xml:space="preserve"> </w:t>
      </w:r>
      <w:r>
        <w:rPr>
          <w:rFonts w:ascii="Arial" w:hAnsi="Arial" w:cs="Arial"/>
          <w:sz w:val="24"/>
          <w:szCs w:val="24"/>
        </w:rPr>
        <w:t>a</w:t>
      </w:r>
      <w:r>
        <w:rPr>
          <w:rFonts w:ascii="Arial" w:hAnsi="Arial" w:cs="Arial"/>
          <w:spacing w:val="-3"/>
          <w:sz w:val="24"/>
          <w:szCs w:val="24"/>
        </w:rPr>
        <w:t xml:space="preserve"> </w:t>
      </w:r>
      <w:r>
        <w:rPr>
          <w:rFonts w:ascii="Arial" w:hAnsi="Arial" w:cs="Arial"/>
          <w:sz w:val="24"/>
          <w:szCs w:val="24"/>
        </w:rPr>
        <w:t>realidade educacional brasileira. A persistência de barreiras estruturais, pedagógicas e atitudinais evidencia que a efetivação do direito à educação inclusiva ainda enfrenta desafios relevantes.</w:t>
      </w:r>
    </w:p>
    <w:p w:rsidR="009D60B7" w:rsidRDefault="00425C09">
      <w:pPr>
        <w:pStyle w:val="Corpodetexto"/>
        <w:spacing w:line="360" w:lineRule="auto"/>
        <w:ind w:right="3" w:firstLine="709"/>
        <w:jc w:val="both"/>
        <w:rPr>
          <w:rFonts w:ascii="Arial" w:hAnsi="Arial"/>
          <w:sz w:val="24"/>
          <w:szCs w:val="24"/>
        </w:rPr>
      </w:pPr>
      <w:r>
        <w:rPr>
          <w:rFonts w:ascii="Arial" w:hAnsi="Arial" w:cs="Arial"/>
          <w:sz w:val="24"/>
          <w:szCs w:val="24"/>
        </w:rPr>
        <w:t>Diante desse cenário, o presente trabalho tem como objetivo analisar a efetividade dos direitos das pessoas com deficiência no sistema educacional brasileiro, investigando os avanços conquistados e os obstáculos que ainda impedem a plena inclusão. Para</w:t>
      </w:r>
      <w:r>
        <w:rPr>
          <w:rFonts w:ascii="Arial" w:hAnsi="Arial" w:cs="Arial"/>
          <w:spacing w:val="-2"/>
          <w:sz w:val="24"/>
          <w:szCs w:val="24"/>
        </w:rPr>
        <w:t xml:space="preserve"> </w:t>
      </w:r>
      <w:r>
        <w:rPr>
          <w:rFonts w:ascii="Arial" w:hAnsi="Arial" w:cs="Arial"/>
          <w:sz w:val="24"/>
          <w:szCs w:val="24"/>
        </w:rPr>
        <w:t>tanto,</w:t>
      </w:r>
      <w:r>
        <w:rPr>
          <w:rFonts w:ascii="Arial" w:hAnsi="Arial" w:cs="Arial"/>
          <w:spacing w:val="-2"/>
          <w:sz w:val="24"/>
          <w:szCs w:val="24"/>
        </w:rPr>
        <w:t xml:space="preserve"> </w:t>
      </w:r>
      <w:r>
        <w:rPr>
          <w:rFonts w:ascii="Arial" w:hAnsi="Arial" w:cs="Arial"/>
          <w:sz w:val="24"/>
          <w:szCs w:val="24"/>
        </w:rPr>
        <w:t>busca-se</w:t>
      </w:r>
      <w:r>
        <w:rPr>
          <w:rFonts w:ascii="Arial" w:hAnsi="Arial" w:cs="Arial"/>
          <w:spacing w:val="-2"/>
          <w:sz w:val="24"/>
          <w:szCs w:val="24"/>
        </w:rPr>
        <w:t xml:space="preserve"> </w:t>
      </w:r>
      <w:r>
        <w:rPr>
          <w:rFonts w:ascii="Arial" w:hAnsi="Arial" w:cs="Arial"/>
          <w:sz w:val="24"/>
          <w:szCs w:val="24"/>
        </w:rPr>
        <w:t>examinar</w:t>
      </w:r>
      <w:r>
        <w:rPr>
          <w:rFonts w:ascii="Arial" w:hAnsi="Arial" w:cs="Arial"/>
          <w:spacing w:val="-2"/>
          <w:sz w:val="24"/>
          <w:szCs w:val="24"/>
        </w:rPr>
        <w:t xml:space="preserve"> </w:t>
      </w:r>
      <w:r>
        <w:rPr>
          <w:rFonts w:ascii="Arial" w:hAnsi="Arial" w:cs="Arial"/>
          <w:sz w:val="24"/>
          <w:szCs w:val="24"/>
        </w:rPr>
        <w:t>o arcabouço jurídico que fundamenta a educação inclusiva, as políticas públicas implementadas e os fatores que contribuem para a sua efetividade prática.</w:t>
      </w:r>
    </w:p>
    <w:p w:rsidR="009D60B7" w:rsidRDefault="00425C09">
      <w:pPr>
        <w:pStyle w:val="Corpodetexto"/>
        <w:spacing w:line="360" w:lineRule="auto"/>
        <w:ind w:right="3" w:firstLine="709"/>
        <w:jc w:val="both"/>
        <w:rPr>
          <w:rFonts w:ascii="Arial" w:hAnsi="Arial"/>
          <w:sz w:val="24"/>
          <w:szCs w:val="24"/>
        </w:rPr>
      </w:pPr>
      <w:r>
        <w:rPr>
          <w:rFonts w:ascii="Arial" w:hAnsi="Arial" w:cs="Arial"/>
          <w:sz w:val="24"/>
          <w:szCs w:val="24"/>
        </w:rPr>
        <w:t>A relevância do tema justifica-se pela necessidade de superar a distância entre a previsão legal e a concretização dos direitos fundamentais, especialmente no que se refere à educação, considerada elemento</w:t>
      </w:r>
      <w:r>
        <w:rPr>
          <w:rFonts w:ascii="Arial" w:hAnsi="Arial" w:cs="Arial"/>
          <w:spacing w:val="-3"/>
          <w:sz w:val="24"/>
          <w:szCs w:val="24"/>
        </w:rPr>
        <w:t xml:space="preserve"> </w:t>
      </w:r>
      <w:r>
        <w:rPr>
          <w:rFonts w:ascii="Arial" w:hAnsi="Arial" w:cs="Arial"/>
          <w:sz w:val="24"/>
          <w:szCs w:val="24"/>
        </w:rPr>
        <w:t>central</w:t>
      </w:r>
      <w:r>
        <w:rPr>
          <w:rFonts w:ascii="Arial" w:hAnsi="Arial" w:cs="Arial"/>
          <w:spacing w:val="-3"/>
          <w:sz w:val="24"/>
          <w:szCs w:val="24"/>
        </w:rPr>
        <w:t xml:space="preserve"> </w:t>
      </w:r>
      <w:r>
        <w:rPr>
          <w:rFonts w:ascii="Arial" w:hAnsi="Arial" w:cs="Arial"/>
          <w:sz w:val="24"/>
          <w:szCs w:val="24"/>
        </w:rPr>
        <w:t>para</w:t>
      </w:r>
      <w:r>
        <w:rPr>
          <w:rFonts w:ascii="Arial" w:hAnsi="Arial" w:cs="Arial"/>
          <w:spacing w:val="-3"/>
          <w:sz w:val="24"/>
          <w:szCs w:val="24"/>
        </w:rPr>
        <w:t xml:space="preserve"> </w:t>
      </w:r>
      <w:r>
        <w:rPr>
          <w:rFonts w:ascii="Arial" w:hAnsi="Arial" w:cs="Arial"/>
          <w:sz w:val="24"/>
          <w:szCs w:val="24"/>
        </w:rPr>
        <w:t>a</w:t>
      </w:r>
      <w:r>
        <w:rPr>
          <w:rFonts w:ascii="Arial" w:hAnsi="Arial" w:cs="Arial"/>
          <w:spacing w:val="-3"/>
          <w:sz w:val="24"/>
          <w:szCs w:val="24"/>
        </w:rPr>
        <w:t xml:space="preserve"> </w:t>
      </w:r>
      <w:r>
        <w:rPr>
          <w:rFonts w:ascii="Arial" w:hAnsi="Arial" w:cs="Arial"/>
          <w:sz w:val="24"/>
          <w:szCs w:val="24"/>
        </w:rPr>
        <w:t>inclusão</w:t>
      </w:r>
      <w:r>
        <w:rPr>
          <w:rFonts w:ascii="Arial" w:hAnsi="Arial" w:cs="Arial"/>
          <w:spacing w:val="-3"/>
          <w:sz w:val="24"/>
          <w:szCs w:val="24"/>
        </w:rPr>
        <w:t xml:space="preserve"> </w:t>
      </w:r>
      <w:r>
        <w:rPr>
          <w:rFonts w:ascii="Arial" w:hAnsi="Arial" w:cs="Arial"/>
          <w:sz w:val="24"/>
          <w:szCs w:val="24"/>
        </w:rPr>
        <w:t>social</w:t>
      </w:r>
      <w:r>
        <w:rPr>
          <w:rFonts w:ascii="Arial" w:hAnsi="Arial" w:cs="Arial"/>
          <w:spacing w:val="-3"/>
          <w:sz w:val="24"/>
          <w:szCs w:val="24"/>
        </w:rPr>
        <w:t xml:space="preserve"> </w:t>
      </w:r>
      <w:r>
        <w:rPr>
          <w:rFonts w:ascii="Arial" w:hAnsi="Arial" w:cs="Arial"/>
          <w:sz w:val="24"/>
          <w:szCs w:val="24"/>
        </w:rPr>
        <w:t>e</w:t>
      </w:r>
      <w:r>
        <w:rPr>
          <w:rFonts w:ascii="Arial" w:hAnsi="Arial" w:cs="Arial"/>
          <w:spacing w:val="-3"/>
          <w:sz w:val="24"/>
          <w:szCs w:val="24"/>
        </w:rPr>
        <w:t xml:space="preserve"> </w:t>
      </w:r>
      <w:r>
        <w:rPr>
          <w:rFonts w:ascii="Arial" w:hAnsi="Arial" w:cs="Arial"/>
          <w:sz w:val="24"/>
          <w:szCs w:val="24"/>
        </w:rPr>
        <w:t>para</w:t>
      </w:r>
      <w:r>
        <w:rPr>
          <w:rFonts w:ascii="Arial" w:hAnsi="Arial" w:cs="Arial"/>
          <w:spacing w:val="-3"/>
          <w:sz w:val="24"/>
          <w:szCs w:val="24"/>
        </w:rPr>
        <w:t xml:space="preserve"> </w:t>
      </w:r>
      <w:r>
        <w:rPr>
          <w:rFonts w:ascii="Arial" w:hAnsi="Arial" w:cs="Arial"/>
          <w:sz w:val="24"/>
          <w:szCs w:val="24"/>
        </w:rPr>
        <w:t>a</w:t>
      </w:r>
      <w:r>
        <w:rPr>
          <w:rFonts w:ascii="Arial" w:hAnsi="Arial" w:cs="Arial"/>
          <w:spacing w:val="-3"/>
          <w:sz w:val="24"/>
          <w:szCs w:val="24"/>
        </w:rPr>
        <w:t xml:space="preserve"> </w:t>
      </w:r>
      <w:r>
        <w:rPr>
          <w:rFonts w:ascii="Arial" w:hAnsi="Arial" w:cs="Arial"/>
          <w:sz w:val="24"/>
          <w:szCs w:val="24"/>
        </w:rPr>
        <w:t>construção</w:t>
      </w:r>
      <w:r>
        <w:rPr>
          <w:rFonts w:ascii="Arial" w:hAnsi="Arial" w:cs="Arial"/>
          <w:spacing w:val="-3"/>
          <w:sz w:val="24"/>
          <w:szCs w:val="24"/>
        </w:rPr>
        <w:t xml:space="preserve"> </w:t>
      </w:r>
      <w:r>
        <w:rPr>
          <w:rFonts w:ascii="Arial" w:hAnsi="Arial" w:cs="Arial"/>
          <w:sz w:val="24"/>
          <w:szCs w:val="24"/>
        </w:rPr>
        <w:t>de</w:t>
      </w:r>
      <w:r>
        <w:rPr>
          <w:rFonts w:ascii="Arial" w:hAnsi="Arial" w:cs="Arial"/>
          <w:spacing w:val="-3"/>
          <w:sz w:val="24"/>
          <w:szCs w:val="24"/>
        </w:rPr>
        <w:t xml:space="preserve"> </w:t>
      </w:r>
      <w:r>
        <w:rPr>
          <w:rFonts w:ascii="Arial" w:hAnsi="Arial" w:cs="Arial"/>
          <w:sz w:val="24"/>
          <w:szCs w:val="24"/>
        </w:rPr>
        <w:t>uma</w:t>
      </w:r>
      <w:r>
        <w:rPr>
          <w:rFonts w:ascii="Arial" w:hAnsi="Arial" w:cs="Arial"/>
          <w:spacing w:val="-3"/>
          <w:sz w:val="24"/>
          <w:szCs w:val="24"/>
        </w:rPr>
        <w:t xml:space="preserve"> </w:t>
      </w:r>
      <w:r>
        <w:rPr>
          <w:rFonts w:ascii="Arial" w:hAnsi="Arial" w:cs="Arial"/>
          <w:sz w:val="24"/>
          <w:szCs w:val="24"/>
        </w:rPr>
        <w:t>sociedade</w:t>
      </w:r>
      <w:r>
        <w:rPr>
          <w:rFonts w:ascii="Arial" w:hAnsi="Arial" w:cs="Arial"/>
          <w:spacing w:val="-3"/>
          <w:sz w:val="24"/>
          <w:szCs w:val="24"/>
        </w:rPr>
        <w:t xml:space="preserve"> </w:t>
      </w:r>
      <w:r>
        <w:rPr>
          <w:rFonts w:ascii="Arial" w:hAnsi="Arial" w:cs="Arial"/>
          <w:sz w:val="24"/>
          <w:szCs w:val="24"/>
        </w:rPr>
        <w:t>mais</w:t>
      </w:r>
      <w:r>
        <w:rPr>
          <w:rFonts w:ascii="Arial" w:hAnsi="Arial" w:cs="Arial"/>
          <w:spacing w:val="-3"/>
          <w:sz w:val="24"/>
          <w:szCs w:val="24"/>
        </w:rPr>
        <w:t xml:space="preserve"> </w:t>
      </w:r>
      <w:r>
        <w:rPr>
          <w:rFonts w:ascii="Arial" w:hAnsi="Arial" w:cs="Arial"/>
          <w:sz w:val="24"/>
          <w:szCs w:val="24"/>
        </w:rPr>
        <w:t>justa e plural. Assim, a pesquisa pretende contribuir para o debate acadêmico e jurídico, evidenciando</w:t>
      </w:r>
      <w:r>
        <w:rPr>
          <w:rFonts w:ascii="Arial" w:hAnsi="Arial" w:cs="Arial"/>
          <w:spacing w:val="-2"/>
          <w:sz w:val="24"/>
          <w:szCs w:val="24"/>
        </w:rPr>
        <w:t xml:space="preserve"> </w:t>
      </w:r>
      <w:r>
        <w:rPr>
          <w:rFonts w:ascii="Arial" w:hAnsi="Arial" w:cs="Arial"/>
          <w:sz w:val="24"/>
          <w:szCs w:val="24"/>
        </w:rPr>
        <w:t>a importância de uma atuação efetiva do Estado e da sociedade na promoção de um sistema educacional verdadeiramente inclusivo.</w:t>
      </w:r>
    </w:p>
    <w:p w:rsidR="009D60B7" w:rsidRDefault="009D60B7">
      <w:pPr>
        <w:spacing w:line="360" w:lineRule="auto"/>
        <w:ind w:right="112"/>
        <w:jc w:val="both"/>
        <w:rPr>
          <w:rFonts w:ascii="Arial" w:hAnsi="Arial"/>
          <w:color w:val="000000"/>
          <w:sz w:val="24"/>
          <w:szCs w:val="24"/>
        </w:rPr>
      </w:pPr>
    </w:p>
    <w:p w:rsidR="009D60B7" w:rsidRPr="00101406" w:rsidRDefault="00425C09">
      <w:pPr>
        <w:pStyle w:val="Ttulo1"/>
        <w:numPr>
          <w:ilvl w:val="0"/>
          <w:numId w:val="2"/>
        </w:numPr>
        <w:tabs>
          <w:tab w:val="left" w:pos="284"/>
        </w:tabs>
        <w:spacing w:line="360" w:lineRule="auto"/>
        <w:ind w:left="0" w:right="116" w:firstLine="0"/>
        <w:jc w:val="both"/>
        <w:rPr>
          <w:rFonts w:ascii="Arial" w:hAnsi="Arial"/>
          <w:sz w:val="20"/>
          <w:szCs w:val="20"/>
        </w:rPr>
      </w:pPr>
      <w:sdt>
        <w:sdtPr>
          <w:rPr>
            <w:sz w:val="24"/>
            <w:szCs w:val="24"/>
          </w:rPr>
          <w:tag w:val="goog_rdk_1"/>
          <w:id w:val="147481145"/>
          <w:text/>
        </w:sdtPr>
        <w:sdtContent>
          <w:r w:rsidRPr="00101406">
            <w:rPr>
              <w:rFonts w:ascii="Arial" w:hAnsi="Arial" w:cs="Arial"/>
              <w:bCs/>
              <w:sz w:val="24"/>
              <w:szCs w:val="24"/>
            </w:rPr>
            <w:t>AS NORMAS JURÍDICAS E AS POLÍTICAS PÚBLICAS QUE PROTEGEM O DIREITO À EDUCAÇÃO INCLUSIVA NO BRAS</w:t>
          </w:r>
          <w:r w:rsidR="00101406" w:rsidRPr="00101406">
            <w:rPr>
              <w:rFonts w:ascii="Arial" w:hAnsi="Arial" w:cs="Arial"/>
              <w:bCs/>
              <w:sz w:val="24"/>
              <w:szCs w:val="24"/>
            </w:rPr>
            <w:t>IL</w:t>
          </w:r>
        </w:sdtContent>
      </w:sdt>
    </w:p>
    <w:p w:rsidR="009D60B7" w:rsidRDefault="00425C09">
      <w:pPr>
        <w:spacing w:line="360" w:lineRule="auto"/>
        <w:ind w:firstLine="709"/>
        <w:jc w:val="both"/>
        <w:rPr>
          <w:rFonts w:ascii="Arial" w:hAnsi="Arial"/>
          <w:sz w:val="30"/>
          <w:szCs w:val="30"/>
        </w:rPr>
      </w:pPr>
      <w:r>
        <w:rPr>
          <w:rFonts w:ascii="Arial" w:hAnsi="Arial" w:cs="Arial"/>
          <w:color w:val="0A0A0A"/>
          <w:sz w:val="24"/>
          <w:szCs w:val="24"/>
          <w:shd w:val="clear" w:color="auto" w:fill="FFFFFF"/>
        </w:rPr>
        <w:t>A educação é um direito de todos, fundamental e garantido pela legislação brasileira. Nesse sentido, assevera a Constituição Federal (Brasil, 1988</w:t>
      </w:r>
      <w:r>
        <w:rPr>
          <w:rFonts w:ascii="Arial" w:hAnsi="Arial" w:cs="Arial"/>
          <w:color w:val="0A0A0A"/>
          <w:sz w:val="24"/>
          <w:szCs w:val="24"/>
          <w:shd w:val="clear" w:color="auto" w:fill="FFFFFF"/>
          <w:lang w:val="pt-BR"/>
        </w:rPr>
        <w:t xml:space="preserve">, </w:t>
      </w:r>
      <w:r>
        <w:rPr>
          <w:rFonts w:ascii="Arial" w:hAnsi="Arial" w:cs="Arial"/>
          <w:i/>
          <w:iCs/>
          <w:color w:val="0A0A0A"/>
          <w:sz w:val="24"/>
          <w:szCs w:val="24"/>
          <w:shd w:val="clear" w:color="auto" w:fill="FFFFFF"/>
          <w:lang w:val="pt-BR"/>
        </w:rPr>
        <w:t>online</w:t>
      </w:r>
      <w:r>
        <w:rPr>
          <w:rFonts w:ascii="Arial" w:hAnsi="Arial" w:cs="Arial"/>
          <w:color w:val="0A0A0A"/>
          <w:sz w:val="24"/>
          <w:szCs w:val="24"/>
          <w:shd w:val="clear" w:color="auto" w:fill="FFFFFF"/>
          <w:lang w:val="pt-BR"/>
        </w:rPr>
        <w:t>):</w:t>
      </w:r>
    </w:p>
    <w:p w:rsidR="009D60B7" w:rsidRDefault="00425C09">
      <w:pPr>
        <w:ind w:firstLine="709"/>
        <w:jc w:val="both"/>
        <w:rPr>
          <w:rFonts w:ascii="Arial" w:hAnsi="Arial"/>
          <w:sz w:val="20"/>
          <w:szCs w:val="20"/>
        </w:rPr>
      </w:pPr>
      <w:r>
        <w:rPr>
          <w:rFonts w:ascii="Arial" w:hAnsi="Arial" w:cs="Arial"/>
          <w:color w:val="0A0A0A"/>
          <w:sz w:val="20"/>
          <w:szCs w:val="20"/>
          <w:shd w:val="clear" w:color="auto" w:fill="FFFFFF"/>
        </w:rPr>
        <w:t xml:space="preserve"> </w:t>
      </w:r>
    </w:p>
    <w:p w:rsidR="009D60B7" w:rsidRDefault="00425C09">
      <w:pPr>
        <w:ind w:left="2268"/>
        <w:jc w:val="both"/>
        <w:rPr>
          <w:rFonts w:ascii="Arial" w:hAnsi="Arial"/>
          <w:sz w:val="20"/>
          <w:szCs w:val="20"/>
        </w:rPr>
      </w:pPr>
      <w:r>
        <w:rPr>
          <w:rFonts w:ascii="Arial" w:hAnsi="Arial" w:cs="Arial"/>
          <w:color w:val="0A0A0A"/>
          <w:sz w:val="20"/>
          <w:szCs w:val="20"/>
          <w:shd w:val="clear" w:color="auto" w:fill="FFFFFF"/>
        </w:rPr>
        <w:t>Art. 20</w:t>
      </w:r>
      <w:r>
        <w:rPr>
          <w:rFonts w:ascii="Arial" w:hAnsi="Arial" w:cs="Arial"/>
          <w:color w:val="0A0A0A"/>
          <w:sz w:val="20"/>
          <w:szCs w:val="20"/>
          <w:shd w:val="clear" w:color="auto" w:fill="FFFFFF"/>
          <w:lang w:val="pt-BR"/>
        </w:rPr>
        <w:t xml:space="preserve">5 </w:t>
      </w:r>
      <w:r>
        <w:rPr>
          <w:rFonts w:ascii="Arial" w:hAnsi="Arial" w:cs="Arial"/>
          <w:color w:val="000000"/>
          <w:sz w:val="20"/>
          <w:szCs w:val="20"/>
          <w:shd w:val="clear" w:color="auto" w:fill="FFFFFF"/>
        </w:rPr>
        <w:t xml:space="preserve">A educação, direito de todos e dever do Estado e da família, será promovida e incentivada com a colaboração da sociedade, visando ao pleno </w:t>
      </w:r>
      <w:r>
        <w:rPr>
          <w:rFonts w:ascii="Arial" w:hAnsi="Arial" w:cs="Arial"/>
          <w:color w:val="000000"/>
          <w:sz w:val="20"/>
          <w:szCs w:val="20"/>
          <w:shd w:val="clear" w:color="auto" w:fill="FFFFFF"/>
        </w:rPr>
        <w:lastRenderedPageBreak/>
        <w:t xml:space="preserve">desenvolvimento da pessoa, seu preparo para o exercício da cidadania e sua qualificação para o trabalho. </w:t>
      </w:r>
    </w:p>
    <w:p w:rsidR="009D60B7" w:rsidRDefault="009D60B7">
      <w:pPr>
        <w:ind w:left="2268"/>
        <w:jc w:val="both"/>
        <w:rPr>
          <w:rFonts w:ascii="Arial" w:hAnsi="Arial" w:cs="Arial"/>
          <w:color w:val="000000"/>
          <w:sz w:val="20"/>
          <w:szCs w:val="20"/>
          <w:shd w:val="clear" w:color="auto" w:fill="FFFFFF"/>
        </w:rPr>
      </w:pPr>
    </w:p>
    <w:p w:rsidR="009D60B7" w:rsidRDefault="00425C09">
      <w:pPr>
        <w:spacing w:line="360" w:lineRule="auto"/>
        <w:ind w:firstLine="709"/>
        <w:jc w:val="both"/>
        <w:rPr>
          <w:rFonts w:ascii="Arial" w:hAnsi="Arial"/>
          <w:sz w:val="24"/>
          <w:szCs w:val="24"/>
        </w:rPr>
      </w:pPr>
      <w:r>
        <w:rPr>
          <w:rFonts w:ascii="Arial" w:hAnsi="Arial" w:cs="Arial"/>
          <w:color w:val="000000"/>
          <w:sz w:val="24"/>
          <w:szCs w:val="24"/>
          <w:shd w:val="clear" w:color="auto" w:fill="FFFFFF"/>
        </w:rPr>
        <w:t>Além disso, estabelece que a educação básica deve ser oferecida com qualidade e em condições de igualdade, garantindo que cada aluno possa aprender independentemente de suas limitações físicas, sensoriais ou cognitivas, trazendo ainda, como dever do Estado, a garantia de atendimento educacional especializado aos portadores de deficiência (Brasil, 1988).</w:t>
      </w:r>
    </w:p>
    <w:p w:rsidR="009D60B7" w:rsidRDefault="00425C09">
      <w:pPr>
        <w:spacing w:line="360" w:lineRule="auto"/>
        <w:ind w:firstLine="709"/>
        <w:jc w:val="both"/>
        <w:rPr>
          <w:rFonts w:ascii="Arial" w:hAnsi="Arial"/>
          <w:sz w:val="24"/>
          <w:szCs w:val="24"/>
        </w:rPr>
      </w:pPr>
      <w:r>
        <w:rPr>
          <w:rFonts w:ascii="Arial" w:hAnsi="Arial" w:cs="Arial"/>
          <w:color w:val="000000"/>
          <w:sz w:val="24"/>
          <w:szCs w:val="24"/>
          <w:shd w:val="clear" w:color="auto" w:fill="FFFFFF"/>
        </w:rPr>
        <w:t xml:space="preserve">A educação inclusiva, assegurada por nossa Constituição, é uma questão fundamental para a garantia de uma sociedade justa e inclusiva, </w:t>
      </w:r>
      <w:r>
        <w:rPr>
          <w:rFonts w:ascii="Arial" w:hAnsi="Arial" w:cs="Arial"/>
          <w:sz w:val="24"/>
          <w:szCs w:val="24"/>
        </w:rPr>
        <w:t xml:space="preserve">ao reconhecer e respeitar os estudantes com deficiência e ao assegurar o acesso à educação a todos os cidadãos, independentemente de suas condições físicas, cognitivas, sociais ou culturais (Reis; Coutinho, 2025). </w:t>
      </w:r>
    </w:p>
    <w:p w:rsidR="009D60B7" w:rsidRDefault="00425C09">
      <w:pPr>
        <w:spacing w:line="360" w:lineRule="auto"/>
        <w:ind w:firstLine="709"/>
        <w:jc w:val="both"/>
        <w:rPr>
          <w:rFonts w:ascii="Arial" w:hAnsi="Arial"/>
          <w:sz w:val="24"/>
          <w:szCs w:val="24"/>
        </w:rPr>
      </w:pPr>
      <w:r>
        <w:rPr>
          <w:rFonts w:ascii="Arial" w:hAnsi="Arial" w:cs="Arial"/>
          <w:sz w:val="24"/>
          <w:szCs w:val="24"/>
        </w:rPr>
        <w:t>A Constituição Federal de 1988</w:t>
      </w:r>
      <w:r>
        <w:rPr>
          <w:rFonts w:ascii="Arial" w:hAnsi="Arial" w:cs="Arial"/>
          <w:sz w:val="24"/>
          <w:szCs w:val="24"/>
          <w:lang w:val="pt-BR"/>
        </w:rPr>
        <w:t>, também conhecida como Carta Magna,</w:t>
      </w:r>
      <w:r>
        <w:rPr>
          <w:rFonts w:ascii="Arial" w:hAnsi="Arial" w:cs="Arial"/>
          <w:sz w:val="24"/>
          <w:szCs w:val="24"/>
        </w:rPr>
        <w:t xml:space="preserve"> assegura em seu artigo 5°, caput e artigo 3°, inciso IV, o princípio da igualdade material (Brasil, 1988), assim, para que haja a efetivação do direito à educação é necessário tratamento diferenciado quando preciso.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Assim, a inclusão não é uma escolha, mas uma exigência constitucional decorrente da dignidade da pessoa humana e do direito à não discriminação, sendo fundamentada juridicamente a educação inclusiva de estudantes com deficiência. </w:t>
      </w:r>
    </w:p>
    <w:p w:rsidR="009D60B7" w:rsidRDefault="00425C09">
      <w:pPr>
        <w:spacing w:line="360" w:lineRule="auto"/>
        <w:ind w:firstLine="709"/>
        <w:jc w:val="both"/>
        <w:rPr>
          <w:rFonts w:ascii="Arial" w:hAnsi="Arial"/>
          <w:sz w:val="24"/>
          <w:szCs w:val="24"/>
        </w:rPr>
      </w:pPr>
      <w:r>
        <w:rPr>
          <w:rFonts w:ascii="Arial" w:hAnsi="Arial" w:cs="Arial"/>
          <w:sz w:val="24"/>
          <w:szCs w:val="24"/>
        </w:rPr>
        <w:t>A Constituição Federal de 1988 é o principal marco legal do reconhecimento da educação como direito fundamental e da educação inclusiva no Brasil. Visando superar a exclusão histórica de pessoas com deficiência e de outros grupos vulneráveis no sistema educacional, vem desempenhando um papel central no desenvolvimento de um sistema educacional inclusivo. Ao atribuir à educação caráter de direito fundamental de eficácia plena, a Constituição (Brasil, 1988), enfatiza que sua concretização é imediatamente exigível.</w:t>
      </w:r>
      <w:r>
        <w:rPr>
          <w:rFonts w:ascii="Arial" w:hAnsi="Arial" w:cs="Arial"/>
          <w:sz w:val="24"/>
          <w:szCs w:val="24"/>
          <w:lang w:val="pt-BR"/>
        </w:rPr>
        <w:t xml:space="preserve"> </w:t>
      </w:r>
      <w:r>
        <w:rPr>
          <w:rFonts w:ascii="Arial" w:hAnsi="Arial" w:cs="Arial"/>
          <w:sz w:val="24"/>
          <w:szCs w:val="24"/>
        </w:rPr>
        <w:t>Segundo Strieder e Zimmermann (2012, p.84):</w:t>
      </w:r>
    </w:p>
    <w:p w:rsidR="009D60B7" w:rsidRDefault="00425C09">
      <w:pPr>
        <w:ind w:left="2268"/>
        <w:jc w:val="both"/>
        <w:rPr>
          <w:rFonts w:ascii="Arial" w:hAnsi="Arial"/>
          <w:sz w:val="20"/>
          <w:szCs w:val="20"/>
        </w:rPr>
      </w:pPr>
      <w:r>
        <w:rPr>
          <w:rFonts w:ascii="Arial" w:hAnsi="Arial" w:cs="Arial"/>
          <w:sz w:val="20"/>
          <w:szCs w:val="20"/>
        </w:rPr>
        <w:t>A inclusão [...] implica abranger, acolher, cuidar e ajudar [...] toda proposta inclusiva, escolar ou social requer, acima de tudo aprender lidar com as diferenças. Fazê-lo exige primeiramente reconhecer que as diferenças existem [...] Em seguida, precisamos estar dispostos a aceitar, afirmar e valorizar as diferenças.</w:t>
      </w:r>
    </w:p>
    <w:p w:rsidR="009D60B7" w:rsidRDefault="009D60B7">
      <w:pPr>
        <w:jc w:val="both"/>
        <w:rPr>
          <w:rFonts w:ascii="Arial" w:hAnsi="Arial" w:cs="Arial"/>
          <w:sz w:val="20"/>
          <w:szCs w:val="20"/>
        </w:rPr>
      </w:pP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A judicialização da educação inclusiva tem ganhado força, justamente porque, conforme afirma Sarlet (2018, p. 157), o mínimo existencial “constitui núcleo essencial dos direitos fundamentais sociais, não podendo ser suprimido pelo Estado”. Assim, quando o poder público deixa de fornecer recursos indispensáveis à aprendizagem do estudante com deficiência, abre-se espaço para a tutela jurisdicional. A força normativa </w:t>
      </w:r>
      <w:r>
        <w:rPr>
          <w:rFonts w:ascii="Arial" w:hAnsi="Arial" w:cs="Arial"/>
          <w:sz w:val="24"/>
          <w:szCs w:val="24"/>
        </w:rPr>
        <w:lastRenderedPageBreak/>
        <w:t>da Constituição (Brasil, 1988) exige que suas normas sejam interpretadas de forma a produzir máxima efetividade. Logo, o direito à educação, incluindo a educação inclusiva, está sujeito aos princípios da máxima efetividade, da proibição do retrocesso e do mínimo existencial.</w:t>
      </w:r>
    </w:p>
    <w:p w:rsidR="009D60B7" w:rsidRDefault="00425C09">
      <w:pPr>
        <w:spacing w:line="360" w:lineRule="auto"/>
        <w:ind w:firstLine="709"/>
        <w:jc w:val="both"/>
        <w:rPr>
          <w:rFonts w:ascii="Arial" w:hAnsi="Arial" w:cs="Arial"/>
          <w:sz w:val="20"/>
          <w:szCs w:val="20"/>
        </w:rPr>
      </w:pPr>
      <w:r>
        <w:rPr>
          <w:rFonts w:ascii="Arial" w:hAnsi="Arial" w:cs="Arial"/>
          <w:sz w:val="24"/>
          <w:szCs w:val="24"/>
        </w:rPr>
        <w:t>Assim, a educação inclusiva possui ligação direta com o direito fundamental à educação, sendo juridicamente imposta para o Estado e para a sociedade e incompatível com ideias discriminatórias. A ordem constitucional brasileira torna a inclusão escolar um dever jurídico e não uma escolha administrativa. Nesse contexto, passa-se a analisar a base legal e os fundamentos da inclusão educacional.</w:t>
      </w:r>
    </w:p>
    <w:p w:rsidR="009D60B7" w:rsidRDefault="00425C09">
      <w:pPr>
        <w:spacing w:line="360" w:lineRule="auto"/>
        <w:ind w:firstLine="709"/>
        <w:jc w:val="both"/>
        <w:rPr>
          <w:rFonts w:ascii="Arial" w:hAnsi="Arial"/>
          <w:sz w:val="24"/>
          <w:szCs w:val="24"/>
        </w:rPr>
      </w:pPr>
      <w:r>
        <w:rPr>
          <w:rFonts w:ascii="Arial" w:hAnsi="Arial" w:cs="Arial"/>
          <w:sz w:val="24"/>
          <w:szCs w:val="24"/>
        </w:rPr>
        <w:t>A inclusão educacional no Brasil se encontra em constante movimento, de acordo com o amplo conjunto de normas jurídicas internacionais e nacionais apoiando o direito das pessoas com deficiência a participação escolar. Um dos grandes feitos é a Convenção Internacional sobre os direitos das pessoas com deficiência, incorporando no ordenamento jurídico brasileiro, como status de emenda constitucional por meio do Decreto n° 6.949/2009.</w:t>
      </w:r>
    </w:p>
    <w:p w:rsidR="009D60B7" w:rsidRDefault="00425C09">
      <w:pPr>
        <w:spacing w:line="360" w:lineRule="auto"/>
        <w:ind w:firstLine="709"/>
        <w:jc w:val="both"/>
        <w:rPr>
          <w:rFonts w:ascii="Arial" w:hAnsi="Arial"/>
          <w:sz w:val="24"/>
          <w:szCs w:val="24"/>
        </w:rPr>
      </w:pPr>
      <w:r>
        <w:rPr>
          <w:rFonts w:ascii="Arial" w:hAnsi="Arial" w:cs="Arial"/>
          <w:sz w:val="24"/>
          <w:szCs w:val="24"/>
        </w:rPr>
        <w:t>No Decreto n° 6.949</w:t>
      </w:r>
      <w:r>
        <w:rPr>
          <w:rFonts w:ascii="Arial" w:hAnsi="Arial" w:cs="Arial"/>
          <w:sz w:val="24"/>
          <w:szCs w:val="24"/>
          <w:lang w:val="pt-BR"/>
        </w:rPr>
        <w:t xml:space="preserve"> de </w:t>
      </w:r>
      <w:r>
        <w:rPr>
          <w:rFonts w:ascii="Arial" w:hAnsi="Arial" w:cs="Arial"/>
          <w:sz w:val="24"/>
          <w:szCs w:val="24"/>
        </w:rPr>
        <w:t>2009</w:t>
      </w:r>
      <w:r>
        <w:rPr>
          <w:rFonts w:ascii="Arial" w:hAnsi="Arial" w:cs="Arial"/>
          <w:sz w:val="24"/>
          <w:szCs w:val="24"/>
          <w:lang w:val="pt-BR"/>
        </w:rPr>
        <w:t xml:space="preserve">, em </w:t>
      </w:r>
      <w:r>
        <w:rPr>
          <w:rFonts w:ascii="Arial" w:hAnsi="Arial" w:cs="Arial"/>
          <w:sz w:val="24"/>
          <w:szCs w:val="24"/>
        </w:rPr>
        <w:t>seu artigo 24,</w:t>
      </w:r>
      <w:r>
        <w:rPr>
          <w:rFonts w:ascii="Arial" w:hAnsi="Arial" w:cs="Arial"/>
          <w:sz w:val="24"/>
          <w:szCs w:val="24"/>
          <w:lang w:val="pt-BR"/>
        </w:rPr>
        <w:t xml:space="preserve"> prevê que</w:t>
      </w:r>
      <w:r>
        <w:rPr>
          <w:rFonts w:ascii="Arial" w:hAnsi="Arial" w:cs="Arial"/>
          <w:sz w:val="24"/>
          <w:szCs w:val="24"/>
        </w:rPr>
        <w:t xml:space="preserve"> a Convenção determinou que os Estados partes assegurassem um sistema educacional abrangente e inclusivo em todos os níveis, vedando qualquer forma de exclusão do ensino regular em razão da deficiência (Brasil, 2009).</w:t>
      </w:r>
    </w:p>
    <w:p w:rsidR="009D60B7" w:rsidRDefault="00425C09">
      <w:pPr>
        <w:spacing w:line="360" w:lineRule="auto"/>
        <w:ind w:firstLine="709"/>
        <w:jc w:val="both"/>
        <w:rPr>
          <w:rFonts w:ascii="Arial" w:hAnsi="Arial"/>
          <w:sz w:val="24"/>
          <w:szCs w:val="24"/>
        </w:rPr>
      </w:pPr>
      <w:r>
        <w:rPr>
          <w:rFonts w:ascii="Arial" w:hAnsi="Arial" w:cs="Arial"/>
          <w:sz w:val="24"/>
          <w:szCs w:val="24"/>
        </w:rPr>
        <w:t>Assim, a inclusão há de ser compreendida não mais como uma simples diretriz pedagógica, mas como uma verdadeira obrigação constitucional, impondo ao Estado o dever de garantir sua implementação efetiva e assegurar a proteção dos direitos das pessoas com deficiência (ONU, 2006; Pletsch, 2021).</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Na Lei de Diretrizes e Bases da Educação Nacional (LDB), consta o plano infraconstitucional que reconhece a oferta de Atendimento Educacional Especializado (AEE), que ajuda a determinar sempre que possível, e preferencialmente na rede regular de ensino, reafirmando que a escola comum é o espaço fundamental a convivência e aprendizagem de todos os estudantes da rede pública ou particular (Brasil, 1996). </w:t>
      </w:r>
    </w:p>
    <w:p w:rsidR="009D60B7" w:rsidRDefault="00425C09">
      <w:pPr>
        <w:spacing w:line="360" w:lineRule="auto"/>
        <w:ind w:firstLine="709"/>
        <w:jc w:val="both"/>
        <w:rPr>
          <w:rFonts w:ascii="Arial" w:hAnsi="Arial"/>
          <w:sz w:val="24"/>
          <w:szCs w:val="24"/>
        </w:rPr>
      </w:pPr>
      <w:r>
        <w:rPr>
          <w:rFonts w:ascii="Arial" w:hAnsi="Arial" w:cs="Arial"/>
          <w:sz w:val="24"/>
          <w:szCs w:val="24"/>
        </w:rPr>
        <w:t>A LDB oferece ainda que a responsabilidade do poder público é garantir a acessibilidade, os recursos pedagógicos adequados e a formação continuada dos profissionais, elementos indispensáveis para que a inclusão se efetive de forma efetiva e contínua (Mantoan, 2003).</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Um ponto de virada fundamental é o Estatuto da Pessoa com Deficiência (Lei Brasileira de Inclusão – LBI), prevista na lei n° 13.146/2015, que reforça o direito a </w:t>
      </w:r>
      <w:r>
        <w:rPr>
          <w:rFonts w:ascii="Arial" w:hAnsi="Arial" w:cs="Arial"/>
          <w:sz w:val="24"/>
          <w:szCs w:val="24"/>
        </w:rPr>
        <w:lastRenderedPageBreak/>
        <w:t>educação inclusiva, e não onerosa, com qualidade, vedando práticas segregadoras e reafirmando a obrigação da adaptação razoável do ambiente escolar. A LBI, por exemplo consolida o entendimento de que a deficiência não pode ser utilizada como justificativa para recusar matrícula, cobranças a parte, ou qualquer tipo de discriminação, impondo sanções ao poder público, e às instituições privadas que não cumprirem suas disposições (Sassaki, 2010).</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Conquanto, os documentos como a Política Nacional de Educação Inclusiva (2008) e o Plano Nacional de Educação (Lei n° 13.005/2014) reforçam a necessidade de superar modelos ultrapassados e estruturar os sistemas educacionais capazes de respeitar a diversidade abordada. </w:t>
      </w:r>
    </w:p>
    <w:p w:rsidR="009D60B7" w:rsidRDefault="00425C09">
      <w:pPr>
        <w:spacing w:line="360" w:lineRule="auto"/>
        <w:ind w:firstLine="709"/>
        <w:jc w:val="both"/>
        <w:rPr>
          <w:rFonts w:ascii="Arial" w:hAnsi="Arial"/>
          <w:sz w:val="24"/>
          <w:szCs w:val="24"/>
        </w:rPr>
      </w:pPr>
      <w:r>
        <w:rPr>
          <w:rFonts w:ascii="Arial" w:hAnsi="Arial" w:cs="Arial"/>
          <w:sz w:val="24"/>
          <w:szCs w:val="24"/>
        </w:rPr>
        <w:t>Esses instrumentos orientam que a inclusão se baseia no princípio da dignidade humana, na igualdade material, e não na discriminação plena dos estudantes com deficiência, garantindo-lhes condições significativas de aprendizagem e desenvolvimento pleno.</w:t>
      </w:r>
    </w:p>
    <w:p w:rsidR="009D60B7" w:rsidRDefault="00425C09">
      <w:pPr>
        <w:spacing w:line="360" w:lineRule="auto"/>
        <w:ind w:firstLine="709"/>
        <w:jc w:val="both"/>
        <w:rPr>
          <w:rFonts w:ascii="Arial" w:hAnsi="Arial"/>
          <w:sz w:val="24"/>
          <w:szCs w:val="24"/>
        </w:rPr>
      </w:pPr>
      <w:r>
        <w:rPr>
          <w:rFonts w:ascii="Arial" w:hAnsi="Arial" w:cs="Arial"/>
          <w:sz w:val="24"/>
          <w:szCs w:val="24"/>
        </w:rPr>
        <w:t>Assim, observa-se que a base legal da inclusão educacional é abrangente e certeira, onde combina normas constitucionais, a legislação infraconstitucional e tratados internacionais, gerando um arcabouço jurídico que transforma a inclusão um dever do Estado, e um direito subjetivo do estudante.</w:t>
      </w:r>
      <w:r>
        <w:rPr>
          <w:rFonts w:ascii="Arial" w:hAnsi="Arial" w:cs="Arial"/>
          <w:sz w:val="24"/>
          <w:szCs w:val="24"/>
          <w:lang w:val="pt-BR"/>
        </w:rPr>
        <w:t xml:space="preserve"> </w:t>
      </w:r>
      <w:r>
        <w:rPr>
          <w:rFonts w:ascii="Arial" w:hAnsi="Arial" w:cs="Arial"/>
          <w:sz w:val="24"/>
          <w:szCs w:val="24"/>
        </w:rPr>
        <w:t>(Sassaki, 2017)</w:t>
      </w:r>
    </w:p>
    <w:p w:rsidR="009D60B7" w:rsidRDefault="00425C09">
      <w:pPr>
        <w:spacing w:line="360" w:lineRule="auto"/>
        <w:ind w:firstLine="709"/>
        <w:jc w:val="both"/>
        <w:rPr>
          <w:rFonts w:ascii="Arial" w:hAnsi="Arial" w:cs="Arial"/>
          <w:sz w:val="24"/>
          <w:szCs w:val="24"/>
          <w:lang w:val="pt-BR"/>
        </w:rPr>
      </w:pPr>
      <w:r>
        <w:rPr>
          <w:rFonts w:ascii="Arial" w:hAnsi="Arial" w:cs="Arial"/>
          <w:sz w:val="24"/>
          <w:szCs w:val="24"/>
        </w:rPr>
        <w:t>O objetivo não é apenas garantir apenas o acesso, mas também a permanência e a aprendizagem, assegurando que o ambiente seja acolhedor, e seja capaz de dar autonomia, participação, desenvolvimento e acima dos demais, o respeito das diferenças, consolidando a educação inclusiva como elemento principal para a construção de uma sociedade democrática e pluralizada (Sassaki, 2017).</w:t>
      </w:r>
      <w:r>
        <w:rPr>
          <w:rFonts w:ascii="Arial" w:hAnsi="Arial" w:cs="Arial"/>
          <w:sz w:val="24"/>
          <w:szCs w:val="24"/>
          <w:lang w:val="pt-BR"/>
        </w:rPr>
        <w:t xml:space="preserve"> Assim, cabe analisar as políticas públicas e programas nacionais voltados à inclusão educacional.</w:t>
      </w:r>
    </w:p>
    <w:p w:rsidR="009D60B7" w:rsidRDefault="00425C09">
      <w:pPr>
        <w:spacing w:line="360" w:lineRule="auto"/>
        <w:ind w:firstLine="709"/>
        <w:jc w:val="both"/>
        <w:rPr>
          <w:rFonts w:ascii="Arial" w:hAnsi="Arial"/>
          <w:sz w:val="24"/>
          <w:szCs w:val="24"/>
        </w:rPr>
      </w:pPr>
      <w:r>
        <w:rPr>
          <w:rFonts w:ascii="Arial" w:hAnsi="Arial" w:cs="Arial"/>
          <w:sz w:val="24"/>
          <w:szCs w:val="24"/>
        </w:rPr>
        <w:t>A efetivação da educação inclusiva no Brasil depende não apenas de leis, mas de políticas públicas capazes de transformar, na prática, o funcionamento das escolas de forma coerente. É por meio dessas iniciativas que princípios jurídicos se convertem em ações concretas, capazes de promover acessibilidade, participação e aprendizagem real para os estudantes com deficiência. Assim, conforme se passa o tempo, diferentes programas nacionais foram criados com o objetivo de apoiar redes de ensino, oferecer recursos e orientar práticas pedagógicas que respeitem a diversidade de forma equitativa (Glat; Blanco, 2009).</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 xml:space="preserve">Entre as políticas de maior impacto está a Política Nacional de Educação Especial na Perspectiva da Educação Inclusiva (PNEEPEI), que foi divulgada em 2008. Esse </w:t>
      </w:r>
      <w:r>
        <w:rPr>
          <w:rFonts w:ascii="Arial" w:hAnsi="Arial" w:cs="Arial"/>
          <w:sz w:val="24"/>
          <w:szCs w:val="24"/>
        </w:rPr>
        <w:lastRenderedPageBreak/>
        <w:t>documento marcou uma mudança importante ao afirmar que todos os alunos devem estudar preferencialmente na escola comum, e que o papel do poder público é assegurar condições para isso e seja por meio de formação de professores, recursos pedagógicos ou pela oferta do Atendimento Educacional Especializado (AEE).</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Mais que uma norma técnica, essa política procura orientar um novo modo de compreender a escola, valorizando a convivência entre diferentes e o reconhecimento de que aprender é um processo plural (Brasil; MEC, 2008).</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 xml:space="preserve">Outra iniciativa essencial é o Plano Nacional de Educação </w:t>
      </w:r>
      <w:r>
        <w:rPr>
          <w:rFonts w:ascii="Arial" w:hAnsi="Arial" w:cs="Arial"/>
          <w:sz w:val="24"/>
          <w:szCs w:val="24"/>
          <w:lang w:val="pt-BR"/>
        </w:rPr>
        <w:t xml:space="preserve">- PNE </w:t>
      </w:r>
      <w:r>
        <w:rPr>
          <w:rFonts w:ascii="Arial" w:hAnsi="Arial" w:cs="Arial"/>
          <w:sz w:val="24"/>
          <w:szCs w:val="24"/>
        </w:rPr>
        <w:t>(2014–2024), que inclui metas específicas voltadas à inclusão. O PNE determina que os sistemas de ensino ampliem salas de AEE, garantam acessibilidade física e comunicacional e invistam na formação de profissionais capazes de atender às necessidades dos estudantes com deficiência. Ao estabelecer metas de longo prazo, o Plano busca evitar que a inclusão dependa apenas da vontade política momentânea, transformando-a em compromisso contínuo do Estado brasileiro (Brasil, 2014).</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As diretrizes estruturais, existem programas que atuam diretamente no cotidiano das escolas. O Programa Escola Acessível, por exemplo, disponibiliza recursos financeiros para construção de rampas, adaptação de banheiros, aquisição de materiais acessíveis e reorganização dos espaços escolares. Já o BPC na Escola atua de forma intersetorial, identificando barreiras que afastam crianças e adolescentes com deficiência da vida escolar e promovendo ações conjuntas entre educação, assistência social e saúde (Mendes, 2010).</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 área da tecnologia assistiva também recebeu atenção com iniciativas voltadas à produção de livros, materiais pedagógicos e recursos digitais acessíveis. A disponibilização de textos em braile, vídeos com legendas e Libras, softwares de leitura de tela e materiais adaptados representa um avanço para garantir que o direito à educação não se limite ao acesso físico, mas alcance efetivamente o campo da aprendizagem de forma que todos possam acompanhar, até no método online (Bersch, 2017).</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Ainda assim, as políticas públicas desenvolvidas nas últimas décadas apontam para uma direção clara: a construção de um sistema educacional que reconhece a diferença como parte da experiência humana e que busca garantir o direito de todos à educação de qualidade em todo o território nacional (Sassaki, 2010).</w:t>
      </w:r>
    </w:p>
    <w:p w:rsidR="009D60B7" w:rsidRDefault="009D60B7">
      <w:pPr>
        <w:widowControl/>
        <w:spacing w:line="360" w:lineRule="auto"/>
        <w:ind w:firstLine="709"/>
        <w:jc w:val="both"/>
        <w:rPr>
          <w:rFonts w:ascii="Arial" w:hAnsi="Arial" w:cs="Arial"/>
          <w:sz w:val="24"/>
          <w:szCs w:val="24"/>
        </w:rPr>
      </w:pPr>
    </w:p>
    <w:p w:rsidR="009D60B7" w:rsidRPr="001528C5" w:rsidRDefault="00425C09">
      <w:pPr>
        <w:pStyle w:val="Ttulo1"/>
        <w:numPr>
          <w:ilvl w:val="0"/>
          <w:numId w:val="2"/>
        </w:numPr>
        <w:tabs>
          <w:tab w:val="left" w:pos="284"/>
        </w:tabs>
        <w:spacing w:line="360" w:lineRule="auto"/>
        <w:ind w:left="0" w:right="116" w:firstLine="0"/>
        <w:jc w:val="both"/>
        <w:rPr>
          <w:rFonts w:ascii="Arial" w:hAnsi="Arial"/>
          <w:bCs/>
          <w:sz w:val="24"/>
          <w:szCs w:val="24"/>
        </w:rPr>
      </w:pPr>
      <w:r w:rsidRPr="001528C5">
        <w:rPr>
          <w:rFonts w:ascii="Arial" w:hAnsi="Arial" w:cs="Arial"/>
          <w:bCs/>
          <w:sz w:val="24"/>
          <w:szCs w:val="24"/>
        </w:rPr>
        <w:lastRenderedPageBreak/>
        <w:t>PAPEL DO ESTADO E DAS ESCOLAS DIANTE DA PRECARIEDADE NA FORMAÇÃO DOCENTE E DOS RECURSOS PEDAGÓGICOS</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 xml:space="preserve">A efetivação do direito à educação inclusiva no Brasil, embora amplamente assegurada no plano normativo, ainda encontra entraves significativos no plano concreto, especialmente no que se refere à insuficiente capacitação dos profissionais da educação e à limitação de recursos pedagógicos adequados. Essa realidade evidencia não apenas dificuldades operacionais, mas, sobretudo, uma falha estrutural na implementação de políticas públicas educacionais voltadas à inclusão, revelando um descompasso entre o modelo jurídico idealizado e a prática institucional cotidiana.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No que tange às pessoas com deficiência, esse direito a educação é significativamente ampliado pela Lei Brasileira de Inclusão da Pessoa com Deficiência (Lei nº 13.146/2015), que estabelece a obrigatoriedade de um sistema educacional inclusivo em todos os níveis, vedando expressamente qualquer forma de discriminação e impondo ao poder público a adoção de medidas que assegurem acessibilidade, igualdade de oportunidades e participação plena (BRASIL, 2015).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Soma-se a esse arcabouço a Convenção sobre os Direitos das Pessoas com Deficiência, incorporada ao ordenamento jurídico com status constitucional, a qual impõe aos Estados o dever de garantir educação inclusiva com os apoios necessários à aprendizagem e ao desenvolvimento dos estudantes (BRASIL, 2009).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Apesar dessa sólida base normativa, a realidade educacional brasileira ainda reflete uma lógica excludente, muitas vezes disfarçada sob o discurso formal da inclusão. Isso ocorre porque a simples previsão legal não se traduz automaticamente em efetividade, sobretudo quando inexistem condições materiais e humanas adequadas para sua concretização.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 xml:space="preserve">Nesse cenário, a omissão estatal  seja por insuficiência de investimentos, seja por ausência de políticas públicas eficazes configura obstáculo direto à concretização de direitos fundamentais, podendo inclusive ensejar responsabilização do poder público por violação ao princípio da dignidade da pessoa humana.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Um dos principais fatores que contribuem para essa inefetividade é a deficiência na formação dos profissionais da educação. A atuação em contextos inclusivos exige competências específicas, que vão além da formação pedagógica tradicional. Contudo, verifica-se que grande parte dos docentes não recebe preparo adequado para lidar com a diversidade presente em sala de aula, especialmente no que diz respeito às necessidades específicas dos estudantes com deficiência.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lastRenderedPageBreak/>
        <w:tab/>
        <w:t xml:space="preserve">Conforme destaca Mantoan (2015), a formação docente historicamente estruturada sob uma perspectiva homogênea não contempla as demandas da educação inclusiva, sendo imprescindível sua reformulação com foco na diversidade, na equidade e na construção de práticas pedagógicas diferenciadas.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Dados do Censo Escolar da Educação Básica, divulgados pelo Instituto Nacional de Estudos e Pesquisas Educacionais Anísio Teixeira (INEP, 2024), evidenciam que uma parcela expressiva dos professores da educação básica não possui formação específica em educação especial ou inclusiva. Esse dado revela não apenas uma lacuna formativa, mas também uma falha na priorização de políticas públicas voltadas à qualificação profissional, comprometendo diretamente a qualidade do ensino ofertado aos estudantes com deficiência.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Essa ausência de preparo adequado contribui para a manutenção de uma lógica de integração, em detrimento da verdadeira inclusão. Na integração, o estudante com deficiência é inserido no ambiente escolar sem que haja a adaptação necessária das práticas pedagógicas, sendo, na prática, responsabilizado por se adequar a um sistema que não foi pensado para ele.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 xml:space="preserve">Já a inclusão pressupõe uma transformação estrutural do próprio sistema educacional, que deve se adaptar às necessidades dos alunos, garantindo-lhes condições reais de aprendizagem. Nesse sentido, a chamada “integração subordinada” representa uma forma velada de exclusão, na medida em que mantém o aluno fisicamente presente, mas pedagogicamente marginalizado.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Diante desse contexto, impõe-se ao Estado o dever de promover políticas públicas eficazes de formação inicial e continuada dos profissionais da educação, em consonância com a Política Nacional de Educação Especial na Perspectiva da Educação Inclusiva (BRASIL, 2008). Essa formação deve contemplar não apenas aspectos teóricos, mas também práticas pedagógicas concretas, uso de tecnologias assistivas, elaboração de adaptações curriculares e desenvolvimento de metodologias inclusivas capazes de atender à heterogeneidade do ambiente escolar.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Paralelamente à questão da capacitação profissional, a insuficiência de recursos pedagógicos constitui outro entrave relevante à efetivação da educação inclusiva. A ausência de materiais didáticos acessíveis e de tecnologias assistivas adequadas compromete o acesso ao conteúdo escolar e limita significativamente o processo de aprendizagem dos estudantes com deficiência.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lastRenderedPageBreak/>
        <w:t xml:space="preserve">Conforme aponta Pletsch (2021), a precariedade dos investimentos em recursos pedagógicos representa um dos principais desafios contemporâneos à consolidação de um sistema educacional inclusivo no Brasil.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Na prática, essa insuficiência manifesta-se de diversas formas, como a ausência de intérpretes de Libras para estudantes surdos, a escassez de materiais didáticos em Braille para alunos com deficiência visual e a limitação de salas de recursos multifuncionais adequadamente estruturadas.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Contudo, para além desses recursos tradicionais, a inclusão educacional contemporânea demanda também o acesso a tecnologias assistivas mais avançadas, como softwares de comunicação alternativa, leitores de tela, plataformas digitais acessíveis, dispositivos de ampliação visual, mouses adaptados e ferramentas baseadas em inteligência artificial voltadas ao apoio pedagógico. A ausência desses instrumentos evidencia não apenas uma limitação estrutural, mas uma falha na atualização das políticas públicas frente às transformações tecnológicas.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Outro aspecto relevante refere-se à necessidade de atuação intersetorial por parte do Estado. A inclusão educacional não pode ser compreendida de forma isolada, uma vez que o desenvolvimento dos estudantes com deficiência depende, muitas vezes, de suporte nas áreas da saúde e da assistência social.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A ausência de diagnósticos adequados, acompanhamento terapêutico e suporte multidisciplinar comprometem diretamente o processo de aprendizagem, evidenciando que a efetividade da educação inclusiva exige a articulação entre diferentes políticas públicas. Assim, cabe ao Estado promover a integração entre educação, saúde e assistência social, assegurando atendimento integral às necessidades dos estudantes.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No âmbito das instituições escolares, por sua vez, a responsabilidade recai sobre a implementação concreta das diretrizes inclusivas estabelecidas pelo ordenamento jurídico. As escolas devem adotar práticas pedagógicas que respeitem a diversidade, promovendo adaptações curriculares, metodológicas e avaliativas que garantam a participação efetiva dos alunos com deficiência.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 xml:space="preserve">Nesse contexto, a gestão escolar desempenha papel fundamental, especialmente na organização dos recursos disponíveis, na promoção da formação continuada dos docentes e na construção de uma cultura institucional inclusiva.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A elaboração de um projeto político-pedagógico inclusivo revela-se instrumento essencial para orientar as ações institucionais, assegurando que a inclusão não seja tratada como medida pontual, mas como princípio estruturante do processo educacional. </w:t>
      </w:r>
      <w:r>
        <w:rPr>
          <w:rFonts w:ascii="Arial" w:hAnsi="Arial" w:cs="Arial"/>
          <w:sz w:val="24"/>
          <w:szCs w:val="24"/>
        </w:rPr>
        <w:lastRenderedPageBreak/>
        <w:t xml:space="preserve">Conforme destaca a UNESCO (2020), a efetivação da educação inclusiva depende não apenas da existência de normas jurídicas, mas da adoção de práticas institucionais comprometidas com a valorização da diversidade e com a promoção da equidade.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Nesse contexto, o Atendimento Educacional Especializado (AEE) assume papel estratégico ao oferecer suporte complementar aos estudantes com deficiência, contribuindo para a adaptação de conteúdos, utilização de recursos pedagógicos acessíveis e desenvolvimento de habilidades que favoreçam sua autonomia. No entanto, sua eficácia depende diretamente da existência de profissionais qualificados e de recursos adequados, o que reforça a necessidade de investimentos contínuos por parte do Estado.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Importa ressaltar, por fim, que a inclusão educacional não se limita à mera inserção do estudante com deficiência no ambiente escolar, mas pressupõe sua participação ativa e o acesso a uma aprendizagem significativa. Trata-se de garantir não apenas o direito de estar na escola, mas o direito de aprender em condições de igualdade, o que exige uma transformação profunda das práticas educacionais e das estruturas institucionais.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Dessa forma, evidencia-se que a superação dos desafios relacionados à falta de capacitação profissional e à insuficiência de recursos pedagógicos depende de uma atuação articulada e efetiva entre o Estado e as instituições escolares. Ao Estado compete assegurar as condições estruturais, normativas e financeiras necessárias, sob pena de incorrer em omissão inconstitucional, enquanto às instituições escolares cabe a concretização dessas diretrizes por meio de práticas pedagógicas inclusivas.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 xml:space="preserve">Somente mediante investimentos consistentes, formação qualificada dos profissionais da educação, incorporação de tecnologias assistivas e atuação intersetorial será possível garantir a efetividade do direito à educação, promovendo um modelo educacional comprometido com a dignidade da pessoa humana, a igualdade material e a justiça social. </w:t>
      </w:r>
    </w:p>
    <w:p w:rsidR="009D60B7" w:rsidRDefault="00425C09">
      <w:pPr>
        <w:widowControl/>
        <w:spacing w:line="360" w:lineRule="auto"/>
        <w:ind w:firstLine="709"/>
        <w:jc w:val="both"/>
        <w:rPr>
          <w:rFonts w:ascii="Arial" w:hAnsi="Arial"/>
          <w:sz w:val="24"/>
          <w:szCs w:val="24"/>
        </w:rPr>
      </w:pPr>
      <w:r>
        <w:rPr>
          <w:rFonts w:ascii="Arial" w:hAnsi="Arial" w:cs="Arial"/>
          <w:sz w:val="24"/>
          <w:szCs w:val="24"/>
        </w:rPr>
        <w:tab/>
        <w:t>Nesse sentido, a persistência dessas falhas estruturais não configura mera deficiência administrativa, mas verdadeira omissão estatal inconstitucional, passível de responsabilização por violação direta ao direito fundamental à educação e ao princípio da dignidade da pessoa humana.</w:t>
      </w:r>
    </w:p>
    <w:p w:rsidR="009D60B7" w:rsidRDefault="009D60B7">
      <w:pPr>
        <w:widowControl/>
        <w:spacing w:line="360" w:lineRule="auto"/>
        <w:ind w:firstLine="709"/>
        <w:jc w:val="both"/>
        <w:rPr>
          <w:rFonts w:ascii="Arial" w:hAnsi="Arial" w:cs="Arial"/>
          <w:sz w:val="24"/>
          <w:szCs w:val="24"/>
        </w:rPr>
      </w:pPr>
    </w:p>
    <w:p w:rsidR="009D60B7" w:rsidRDefault="00425C09">
      <w:pPr>
        <w:spacing w:line="360" w:lineRule="auto"/>
        <w:jc w:val="both"/>
        <w:rPr>
          <w:rFonts w:ascii="Arial" w:hAnsi="Arial"/>
          <w:bCs/>
          <w:sz w:val="24"/>
          <w:szCs w:val="24"/>
        </w:rPr>
      </w:pPr>
      <w:r>
        <w:rPr>
          <w:rFonts w:ascii="Arial" w:hAnsi="Arial" w:cs="Arial"/>
          <w:bCs/>
          <w:sz w:val="24"/>
          <w:szCs w:val="24"/>
        </w:rPr>
        <w:t>2.1 Limites, Desafios e a Parceria Necessária Entre Estado, Escola e Sociedade Civil</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Embora as organizações e movimentos sociais desempenhem papel relevante na </w:t>
      </w:r>
      <w:r>
        <w:rPr>
          <w:rFonts w:ascii="Arial" w:hAnsi="Arial" w:cs="Arial"/>
          <w:sz w:val="24"/>
          <w:szCs w:val="24"/>
        </w:rPr>
        <w:lastRenderedPageBreak/>
        <w:t xml:space="preserve">promoção da inclusão educacional, sua atuação, por si só, não é suficiente para garantir a efetivação plena dos direitos das pessoas com deficiência, sendo necessária a atuação integrada com o Estado e as instituições escolares.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Um dos principais desafios enfrentados por essas organizações diz respeito à dependência de financiamento, seja ele público ou privado, muitas vezes instável. Tal cenário expõe essas instituições a riscos de descontinuidades de programas e projetos, dificultando a implementação de ações de longo prazo. Soma-se a isso a desigualdade territorial existente no Brasil, uma vez que organizações com maior estrutura tendem a se concentrar em centros urbanos, enquanto regiões periféricas e áreas rurais permanecem com acesso reduzido a serviços especializados.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Outro ponto crítico refere-se ao risco de transferência indevida de responsabilidades. Quando a sociedade civil passa a suprir demandas que são, constitucionalmente, obrigações do Estado, pode-se criar uma falsa percepção de efetividade das políticas públicas. Na prática, isso reduz a pressão por investimentos estruturais e pela implementação de políticas permanentes, comprometendo a universalização do direito à educação inclusiva.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Nesse sentido, a efetivação da inclusão educacional exige a atuação conjunta e articulada entre Estado, escola e sociedade civil. Ao Estado compete a elaboração do arcabouço normativo, o financiamento adequado e a fiscalização das políticas públicas. Às instituições escolares cabe a implementação concreta dessas diretrizes por meio de práticas pedagógicas inclusivas e da construção de ambientes educacionais acolhedores. Já a sociedade civil exerce papel estratégico na inovação de práticas, na mobilização social e na ampliação do alcance das políticas públicas.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Embora as organizações e movimentos sociais sejam atores fundamentais para a inclusão educacional, sua atuação enfrenta obstáculos concretos que limitam seu alcance e sustentabilidade. A dependência de financiamento público ou privado instável expõe essas organizações a cortes orçamentários e descontinuidades de programas, comprometendo ações de longo prazo. Soma-se a isso uma desigualdade territorial significativa: organizações com maior estrutura tendem a se concentrar nos centros urbanos, deixando municípios pequenos e regiões rurais com acesso reduzido a suporte especializado.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Há ainda um risco estrutural mais profundo: quando a sociedade civil passa a suprir demandas que são constitucionalmente obrigações do Estado, pode-se criar uma ilusão de cobertura que, na prática, reduz a pressão por políticas públicas permanentes </w:t>
      </w:r>
      <w:r>
        <w:rPr>
          <w:rFonts w:ascii="Arial" w:hAnsi="Arial" w:cs="Arial"/>
          <w:sz w:val="24"/>
          <w:szCs w:val="24"/>
        </w:rPr>
        <w:lastRenderedPageBreak/>
        <w:t>e universais. A inclusão educacional não pode ser tratada como uma causa de organizações voluntárias — ela é um direito que exige responsabilidade estatal contínua.</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É justamente por isso que a superação desses limites depende de uma articulação efetiva entre os três pilares: Estado, escola e sociedade civil. Cada um desses atores possui capacidades e limitações distintas, e é na complementaridade entre eles que reside o potencial de transformação real. O Estado deve garantir o arcabouço legal, o financiamento estável e a fiscalização; as escolas devem traduzir essas políticas em práticas pedagógicas concretas e acolhedoras; e as organizações e movimentos sociais devem continuar exercendo pressão, inovando em metodologias e chegando onde o poder público ainda não alcança.  </w:t>
      </w:r>
    </w:p>
    <w:p w:rsidR="009D60B7" w:rsidRDefault="00425C09">
      <w:pPr>
        <w:spacing w:line="360" w:lineRule="auto"/>
        <w:ind w:firstLine="709"/>
        <w:jc w:val="both"/>
        <w:rPr>
          <w:rFonts w:ascii="Arial" w:hAnsi="Arial"/>
          <w:sz w:val="24"/>
          <w:szCs w:val="24"/>
        </w:rPr>
      </w:pPr>
      <w:r>
        <w:rPr>
          <w:rFonts w:ascii="Arial" w:hAnsi="Arial" w:cs="Arial"/>
          <w:sz w:val="24"/>
          <w:szCs w:val="24"/>
        </w:rPr>
        <w:t>Sem essa parceria estruturada, as conquistas tendem a ser pontuais e frágeis. Com ela, torna-se possível avançar de iniciativas isoladas para mudanças sistêmicas e duradouras na cultura e na prática da educação inclusiva no Brasil.</w:t>
      </w:r>
    </w:p>
    <w:p w:rsidR="009D60B7" w:rsidRPr="00966E4C" w:rsidRDefault="00425C09">
      <w:pPr>
        <w:pStyle w:val="Ttulo1"/>
        <w:tabs>
          <w:tab w:val="left" w:pos="8647"/>
        </w:tabs>
        <w:spacing w:before="480" w:line="360" w:lineRule="auto"/>
        <w:ind w:left="0" w:right="3"/>
        <w:jc w:val="both"/>
        <w:rPr>
          <w:rFonts w:ascii="Arial" w:hAnsi="Arial"/>
          <w:sz w:val="24"/>
          <w:szCs w:val="24"/>
        </w:rPr>
      </w:pPr>
      <w:r w:rsidRPr="00966E4C">
        <w:rPr>
          <w:rFonts w:ascii="Arial" w:hAnsi="Arial" w:cs="Arial"/>
          <w:bCs/>
          <w:sz w:val="20"/>
          <w:szCs w:val="20"/>
        </w:rPr>
        <w:t xml:space="preserve">3. </w:t>
      </w:r>
      <w:r w:rsidRPr="00966E4C">
        <w:rPr>
          <w:rFonts w:ascii="Arial" w:hAnsi="Arial" w:cs="Arial"/>
          <w:sz w:val="24"/>
          <w:szCs w:val="24"/>
        </w:rPr>
        <w:t>A EFETIVIDADE DOS DIREITOS DAS PESSOAS COM DEFICIÊNCIA NA EDUCAÇÃO BRASILEIRA: AVANÇOS CONQUISTADOS E DESAFIOS PERSISTENTES</w:t>
      </w:r>
    </w:p>
    <w:p w:rsidR="009D60B7" w:rsidRDefault="00425C09">
      <w:pPr>
        <w:pStyle w:val="SemEspaamento"/>
        <w:spacing w:line="360" w:lineRule="auto"/>
        <w:ind w:left="0" w:firstLineChars="310" w:firstLine="744"/>
        <w:rPr>
          <w:sz w:val="24"/>
          <w:szCs w:val="24"/>
        </w:rPr>
      </w:pPr>
      <w:bookmarkStart w:id="8" w:name="_i2ifpelgsrcm"/>
      <w:bookmarkEnd w:id="8"/>
      <w:r>
        <w:rPr>
          <w:sz w:val="24"/>
          <w:szCs w:val="24"/>
        </w:rPr>
        <w:t>No que se refere especificamente às pessoas com deficiência, os avanços foram significativos nas últimas décadas, sobretudo com a incorporação de normas internacionais e a criação de legislações infraconstitucionais voltadas à inclusão educacional. Destaca-se, nesse contexto, a Convenção sobre os Direitos das Pessoas com Deficiência, internalizada com status constitucional pelo Decreto nº 6.949/2009, que reforça o dever do Estado de garantir um sistema educacional inclusivo em todos os níveis (Brasil, 2009).</w:t>
      </w:r>
    </w:p>
    <w:p w:rsidR="009D60B7" w:rsidRDefault="00425C09">
      <w:pPr>
        <w:pStyle w:val="SemEspaamento"/>
        <w:spacing w:line="360" w:lineRule="auto"/>
        <w:ind w:left="0" w:firstLineChars="310" w:firstLine="744"/>
        <w:rPr>
          <w:sz w:val="24"/>
          <w:szCs w:val="24"/>
        </w:rPr>
      </w:pPr>
      <w:r>
        <w:rPr>
          <w:sz w:val="24"/>
          <w:szCs w:val="24"/>
        </w:rPr>
        <w:t>Outro importante avanço foi a promulgação da Lei Brasileira de Inclusão da Pessoa com Deficiência (Lei nº 13.146/2015), que consolidou direitos e estabeleceu mecanismos para assegurar o acesso, a permanência e a participação dos estudantes com deficiência no ambiente escolar, vedando qualquer forma de discriminação (Brasil, 2015).</w:t>
      </w:r>
    </w:p>
    <w:p w:rsidR="009D60B7" w:rsidRDefault="00425C09">
      <w:pPr>
        <w:pStyle w:val="SemEspaamento"/>
        <w:spacing w:line="360" w:lineRule="auto"/>
        <w:ind w:left="0" w:firstLineChars="310" w:firstLine="744"/>
        <w:rPr>
          <w:sz w:val="24"/>
          <w:szCs w:val="24"/>
        </w:rPr>
      </w:pPr>
      <w:r>
        <w:rPr>
          <w:sz w:val="24"/>
          <w:szCs w:val="24"/>
        </w:rPr>
        <w:t xml:space="preserve">Além do avanço normativo, observa-se também a implementação de políticas públicas relevantes, como a Política Nacional de Educação Especial na Perspectiva da Educação Inclusiva (Brasil, 2008) e o Plano Nacional de Educação (Lei nº 13.005/2014), </w:t>
      </w:r>
      <w:r>
        <w:rPr>
          <w:sz w:val="24"/>
          <w:szCs w:val="24"/>
        </w:rPr>
        <w:lastRenderedPageBreak/>
        <w:t>que estabeleceram metas e diretrizes para a ampliação do acesso e da qualidade da educação inclusiva.</w:t>
      </w:r>
    </w:p>
    <w:p w:rsidR="009D60B7" w:rsidRDefault="00425C09">
      <w:pPr>
        <w:pStyle w:val="SemEspaamento"/>
        <w:spacing w:line="360" w:lineRule="auto"/>
        <w:ind w:left="0" w:firstLineChars="310" w:firstLine="744"/>
        <w:rPr>
          <w:sz w:val="24"/>
          <w:szCs w:val="24"/>
        </w:rPr>
      </w:pPr>
      <w:r>
        <w:rPr>
          <w:sz w:val="24"/>
          <w:szCs w:val="24"/>
        </w:rPr>
        <w:t>Segundo dados do Instituto Nacional de Estudos e Pesquisas Educacionais Anísio Teixeira, o número de matrículas de estudantes público-alvo da educação especial na rede regular de ensino ultrapassou 1,6 milhão no ano de 2023, demonstrando crescimento significativo em relação às décadas anteriores.</w:t>
      </w:r>
    </w:p>
    <w:p w:rsidR="009D60B7" w:rsidRDefault="00425C09">
      <w:pPr>
        <w:pStyle w:val="SemEspaamento"/>
        <w:spacing w:line="360" w:lineRule="auto"/>
        <w:ind w:left="0" w:firstLineChars="310" w:firstLine="744"/>
        <w:rPr>
          <w:sz w:val="24"/>
          <w:szCs w:val="24"/>
        </w:rPr>
      </w:pPr>
      <w:r>
        <w:rPr>
          <w:sz w:val="24"/>
          <w:szCs w:val="24"/>
        </w:rPr>
        <w:t>Dessa forma, é possível afirmar que o Brasil avançou significativamente na construção de uma base jurídica e institucional voltada à inclusão educacional. Contudo, tais avanços, embora relevantes, ainda não foram suficientes para garantir a plena efetividade desse direito.</w:t>
      </w:r>
    </w:p>
    <w:p w:rsidR="009D60B7" w:rsidRDefault="00425C09">
      <w:pPr>
        <w:pStyle w:val="SemEspaamento"/>
        <w:spacing w:line="360" w:lineRule="auto"/>
        <w:ind w:left="0" w:firstLineChars="310" w:firstLine="744"/>
        <w:rPr>
          <w:sz w:val="24"/>
          <w:szCs w:val="24"/>
        </w:rPr>
      </w:pPr>
      <w:r>
        <w:rPr>
          <w:sz w:val="24"/>
          <w:szCs w:val="24"/>
        </w:rPr>
        <w:t>Em consonância com essa perspectiva, organismos internacionais como a UNESCO defendem a promoção de uma educação inclusiva de qualidade, baseada no princípio de que os sistemas educacionais devem se adaptar à diversidade dos estudantes, garantindo equidade no acesso, na permanência e na aprendizagem.</w:t>
      </w:r>
    </w:p>
    <w:p w:rsidR="009D60B7" w:rsidRDefault="00425C09">
      <w:pPr>
        <w:pStyle w:val="SemEspaamento"/>
        <w:spacing w:line="360" w:lineRule="auto"/>
        <w:ind w:left="0" w:firstLineChars="310" w:firstLine="744"/>
        <w:rPr>
          <w:sz w:val="24"/>
          <w:szCs w:val="24"/>
        </w:rPr>
      </w:pPr>
      <w:r>
        <w:rPr>
          <w:sz w:val="24"/>
          <w:szCs w:val="24"/>
        </w:rPr>
        <w:t>Nesse sentido, a existência de um arcabouço normativo robusto não elimina, por si só, práticas discriminatórias historicamente enraizadas, o que conduz à necessidade de análise das barreiras atitudinais presentes no cotidiano escolar, conforme se examina a seguir.</w:t>
      </w:r>
    </w:p>
    <w:p w:rsidR="009D60B7" w:rsidRDefault="009D60B7">
      <w:pPr>
        <w:pStyle w:val="SemEspaamento"/>
        <w:spacing w:line="360" w:lineRule="auto"/>
        <w:ind w:left="0" w:firstLineChars="310" w:firstLine="620"/>
        <w:rPr>
          <w:szCs w:val="20"/>
        </w:rPr>
      </w:pPr>
      <w:bookmarkStart w:id="9" w:name="_qihjb6qcj0kl"/>
      <w:bookmarkEnd w:id="9"/>
    </w:p>
    <w:p w:rsidR="009D60B7" w:rsidRDefault="00425C09">
      <w:pPr>
        <w:pStyle w:val="SemEspaamento"/>
        <w:spacing w:line="360" w:lineRule="auto"/>
        <w:ind w:left="0"/>
        <w:rPr>
          <w:sz w:val="24"/>
          <w:szCs w:val="24"/>
        </w:rPr>
      </w:pPr>
      <w:r>
        <w:rPr>
          <w:sz w:val="24"/>
          <w:szCs w:val="24"/>
        </w:rPr>
        <w:t>3.1 Efetivação da Legislação Inclusiva: Lacunas, Contradições e Desafios na Implementação do Direito à Educação das Pessoas com Deficiência</w:t>
      </w:r>
    </w:p>
    <w:p w:rsidR="009D60B7" w:rsidRDefault="00425C09">
      <w:pPr>
        <w:pStyle w:val="SemEspaamento"/>
        <w:spacing w:line="360" w:lineRule="auto"/>
        <w:ind w:left="0" w:firstLineChars="310" w:firstLine="744"/>
        <w:rPr>
          <w:sz w:val="24"/>
          <w:szCs w:val="24"/>
        </w:rPr>
      </w:pPr>
      <w:r>
        <w:rPr>
          <w:sz w:val="24"/>
          <w:szCs w:val="24"/>
        </w:rPr>
        <w:t>Embora o Brasil possua um dos mais avançados conjuntos normativos no que se refere à educação inclusiva, verifica-se que a efetividade dessas normas ainda é limitada na prática. Esse fenômeno evidencia um descompasso entre o plano jurídico e a realidade educacional, caracterizando a chamada inefetividade normativa.</w:t>
      </w:r>
    </w:p>
    <w:p w:rsidR="009D60B7" w:rsidRDefault="00425C09">
      <w:pPr>
        <w:pStyle w:val="SemEspaamento"/>
        <w:spacing w:line="360" w:lineRule="auto"/>
        <w:ind w:left="0" w:firstLineChars="310" w:firstLine="744"/>
        <w:rPr>
          <w:sz w:val="24"/>
          <w:szCs w:val="24"/>
        </w:rPr>
      </w:pPr>
      <w:r>
        <w:rPr>
          <w:sz w:val="24"/>
          <w:szCs w:val="24"/>
        </w:rPr>
        <w:t>A efetividade dos direitos fundamentais, conforme leciona Sarlet (2018), depende da existência de condições materiais e institucionais que possibilitem sua concretização. Nesse sentido, a simples previsão legal não é suficiente para garantir a realização do direito à educação inclusiva.</w:t>
      </w:r>
    </w:p>
    <w:p w:rsidR="009D60B7" w:rsidRDefault="00425C09">
      <w:pPr>
        <w:pStyle w:val="SemEspaamento"/>
        <w:spacing w:line="360" w:lineRule="auto"/>
        <w:ind w:left="0" w:firstLineChars="310" w:firstLine="744"/>
        <w:rPr>
          <w:sz w:val="24"/>
          <w:szCs w:val="24"/>
        </w:rPr>
      </w:pPr>
      <w:r>
        <w:rPr>
          <w:sz w:val="24"/>
          <w:szCs w:val="24"/>
        </w:rPr>
        <w:t xml:space="preserve">A inefetividade mencionada não se limita à escassez de recursos financeiros, mas também à ausência de mecanismos eficazes de fiscalização e implementação das políticas públicas. Como assevera Sarlet (2018), a eficácia dos direitos sociais está intrinsecamente ligada à “reserva do possível”, contudo, tal argumento não pode ser </w:t>
      </w:r>
      <w:r>
        <w:rPr>
          <w:sz w:val="24"/>
          <w:szCs w:val="24"/>
        </w:rPr>
        <w:lastRenderedPageBreak/>
        <w:t>utilizado pelo Estado como justificativa para afastar a garantia do mínimo existencial, especialmente no âmbito educacional.</w:t>
      </w:r>
    </w:p>
    <w:p w:rsidR="009D60B7" w:rsidRDefault="00425C09">
      <w:pPr>
        <w:pStyle w:val="SemEspaamento"/>
        <w:spacing w:line="360" w:lineRule="auto"/>
        <w:ind w:left="0" w:firstLineChars="310" w:firstLine="744"/>
        <w:rPr>
          <w:sz w:val="24"/>
          <w:szCs w:val="24"/>
        </w:rPr>
      </w:pPr>
      <w:r>
        <w:rPr>
          <w:sz w:val="24"/>
          <w:szCs w:val="24"/>
        </w:rPr>
        <w:t>Sob essa perspectiva, a aplicação da teoria da “reserva do possível” não pode servir como justificativa para a omissão estatal, especialmente quando se trata do direito à educação básica de pessoas com deficiência. A jurisprudência dos tribunais superiores tem consolidado o entendimento de que tais direitos se inserem no âmbito do mínimo existencial, o que impõe ao Estado um dever prioritário de concretização, em consonância com o artigo 227 da Constituição Federal, que assegura proteção integral e prioridade absoluta à criança e ao adolescente.</w:t>
      </w:r>
    </w:p>
    <w:p w:rsidR="009D60B7" w:rsidRDefault="00425C09">
      <w:pPr>
        <w:pStyle w:val="SemEspaamento"/>
        <w:spacing w:line="360" w:lineRule="auto"/>
        <w:ind w:left="0" w:firstLineChars="310" w:firstLine="744"/>
        <w:rPr>
          <w:sz w:val="24"/>
          <w:szCs w:val="24"/>
        </w:rPr>
      </w:pPr>
      <w:r>
        <w:rPr>
          <w:sz w:val="24"/>
          <w:szCs w:val="24"/>
        </w:rPr>
        <w:t>Outrossim, a doutrina constitucional contemporânea aponta que muitas normas de caráter inclusivo no Brasil apresentam eficácia meramente simbólica, conceito desenvolvido por Marcelo Neves, segundo o qual determinadas normas são produzidas para gerar um “sentimento de constitucionalidade”, sem que haja, efetivamente, compromisso estatal com sua implementação concreta.</w:t>
      </w:r>
    </w:p>
    <w:p w:rsidR="009D60B7" w:rsidRDefault="00425C09">
      <w:pPr>
        <w:pStyle w:val="SemEspaamento"/>
        <w:spacing w:line="360" w:lineRule="auto"/>
        <w:ind w:left="0" w:firstLineChars="310" w:firstLine="744"/>
        <w:rPr>
          <w:sz w:val="24"/>
          <w:szCs w:val="24"/>
        </w:rPr>
      </w:pPr>
      <w:r>
        <w:rPr>
          <w:sz w:val="24"/>
          <w:szCs w:val="24"/>
        </w:rPr>
        <w:t>Nessa perspectiva, a constitucionalização simbólica revela um paradoxo no sistema jurídico brasileiro: ao mesmo tempo em que se ampliam os direitos fundamentais no plano normativo, observa-se a fragilidade de sua concretização no plano fático. Tal cenário evidencia que a produção legislativa, desacompanhada de políticas públicas eficazes, pode servir mais à legitimação do discurso estatal do que à transformação da realidade social, especialmente no que se refere à inclusão educacional das pessoas com deficiência.</w:t>
      </w:r>
    </w:p>
    <w:p w:rsidR="009D60B7" w:rsidRDefault="00425C09">
      <w:pPr>
        <w:pStyle w:val="SemEspaamento"/>
        <w:spacing w:line="360" w:lineRule="auto"/>
        <w:ind w:left="0" w:firstLineChars="310" w:firstLine="744"/>
        <w:rPr>
          <w:sz w:val="24"/>
          <w:szCs w:val="24"/>
        </w:rPr>
      </w:pPr>
      <w:r>
        <w:rPr>
          <w:sz w:val="24"/>
          <w:szCs w:val="24"/>
        </w:rPr>
        <w:t xml:space="preserve">Nesse cenário, observa-se que, embora tenha ocorrido crescimento significativo nas matrículas de estudantes com deficiência na rede regular de ensino, a ampliação da oferta do Atendimento Educacional Especializado (AEE) não acompanhou o mesmo ritmo em diversas regiões do país. </w:t>
      </w:r>
    </w:p>
    <w:p w:rsidR="009D60B7" w:rsidRDefault="00425C09">
      <w:pPr>
        <w:pStyle w:val="SemEspaamento"/>
        <w:spacing w:line="360" w:lineRule="auto"/>
        <w:ind w:left="0" w:firstLineChars="310" w:firstLine="744"/>
        <w:rPr>
          <w:sz w:val="24"/>
          <w:szCs w:val="24"/>
        </w:rPr>
      </w:pPr>
      <w:r>
        <w:rPr>
          <w:sz w:val="24"/>
          <w:szCs w:val="24"/>
        </w:rPr>
        <w:t>A ausência de acessibilidade em plataformas educacionais, materiais digitais não adaptados e a falta de capacitação tecnológica de docentes configuram novas formas de exclusão, evidenciando que a inclusão educacional deve abranger não apenas o espaço físico, mas também o ambiente virtual.</w:t>
      </w:r>
    </w:p>
    <w:p w:rsidR="009D60B7" w:rsidRDefault="00425C09">
      <w:pPr>
        <w:pStyle w:val="SemEspaamento"/>
        <w:spacing w:line="360" w:lineRule="auto"/>
        <w:ind w:left="0" w:firstLineChars="310" w:firstLine="744"/>
        <w:rPr>
          <w:sz w:val="24"/>
          <w:szCs w:val="24"/>
        </w:rPr>
      </w:pPr>
      <w:r>
        <w:rPr>
          <w:sz w:val="24"/>
          <w:szCs w:val="24"/>
        </w:rPr>
        <w:t>Diante dessa realidade, a judicialização da educação surge como instrumento de efetivação de direitos, permitindo que o Poder Judiciário determine a implementação de medidas necessárias à inclusão. Contudo, essa solução possui caráter pontual e não substitui a atuação eficiente do Estado.</w:t>
      </w:r>
    </w:p>
    <w:p w:rsidR="009D60B7" w:rsidRDefault="00425C09">
      <w:pPr>
        <w:pStyle w:val="SemEspaamento"/>
        <w:spacing w:line="360" w:lineRule="auto"/>
        <w:ind w:left="0" w:firstLineChars="310" w:firstLine="744"/>
        <w:rPr>
          <w:sz w:val="24"/>
          <w:szCs w:val="24"/>
        </w:rPr>
      </w:pPr>
      <w:r>
        <w:rPr>
          <w:sz w:val="24"/>
          <w:szCs w:val="24"/>
        </w:rPr>
        <w:lastRenderedPageBreak/>
        <w:t>Ademais, a inefetividade normativa também se relaciona diretamente com as barreiras atitudinais analisadas anteriormente, evidenciando que a exclusão não decorre apenas da ausência de normas, mas da falta de transformação estrutural do sistema educacional.</w:t>
      </w:r>
    </w:p>
    <w:p w:rsidR="009D60B7" w:rsidRDefault="00425C09">
      <w:pPr>
        <w:pStyle w:val="SemEspaamento"/>
        <w:spacing w:line="360" w:lineRule="auto"/>
        <w:ind w:left="0" w:firstLineChars="310" w:firstLine="744"/>
        <w:rPr>
          <w:sz w:val="24"/>
          <w:szCs w:val="24"/>
        </w:rPr>
      </w:pPr>
      <w:r>
        <w:rPr>
          <w:sz w:val="24"/>
          <w:szCs w:val="24"/>
        </w:rPr>
        <w:t>Dessa forma, conclui-se que a efetivação da educação inclusiva exige mais do que um arcabouço normativo robusto. É imprescindível a atuação concreta do Estado, por meio de políticas públicas eficazes, investimentos contínuos e capacitação profissional adequada.</w:t>
      </w:r>
    </w:p>
    <w:p w:rsidR="009D60B7" w:rsidRDefault="00425C09">
      <w:pPr>
        <w:pStyle w:val="SemEspaamento"/>
        <w:spacing w:line="360" w:lineRule="auto"/>
        <w:ind w:left="0" w:firstLineChars="310" w:firstLine="744"/>
        <w:rPr>
          <w:sz w:val="24"/>
          <w:szCs w:val="24"/>
        </w:rPr>
      </w:pPr>
      <w:r>
        <w:rPr>
          <w:sz w:val="24"/>
          <w:szCs w:val="24"/>
        </w:rPr>
        <w:t>Nesse contexto, verifica-se que a efetivação da educação inclusiva no Brasil depende não apenas da ampliação do arcabouço normativo, mas da implementação concreta de políticas públicas capazes de superar as barreiras estruturais ainda existentes. Assim, a inclusão educacional revela-se como um desafio jurídico e social que exige atuação integrada do Estado, da comunidade escolar e da sociedade civil.</w:t>
      </w:r>
    </w:p>
    <w:p w:rsidR="009D60B7" w:rsidRDefault="00425C09">
      <w:pPr>
        <w:pStyle w:val="SemEspaamento"/>
        <w:spacing w:line="360" w:lineRule="auto"/>
        <w:ind w:left="0" w:firstLineChars="310" w:firstLine="744"/>
        <w:rPr>
          <w:sz w:val="24"/>
          <w:szCs w:val="24"/>
        </w:rPr>
      </w:pPr>
      <w:r>
        <w:rPr>
          <w:sz w:val="24"/>
          <w:szCs w:val="24"/>
        </w:rPr>
        <w:t xml:space="preserve">Diante do exposto, a jurisprudência dos tribunais superiores tem reafirmado o dever do Estado de garantir educação inclusiva de forma efetiva. O Supremo Tribunal Federal, no julgamento da ADI nº 5.357, consolidou o entendimento de que é inconstitucional a cobrança de valores adicionais por instituições privadas de ensino para matrícula de alunos com deficiência, reafirmando o direito à educação inclusiva e vedando práticas discriminatórias. </w:t>
      </w:r>
    </w:p>
    <w:p w:rsidR="009D60B7" w:rsidRDefault="00425C09">
      <w:pPr>
        <w:pStyle w:val="SemEspaamento"/>
        <w:spacing w:line="360" w:lineRule="auto"/>
        <w:ind w:left="0" w:firstLineChars="310" w:firstLine="744"/>
        <w:rPr>
          <w:sz w:val="24"/>
          <w:szCs w:val="24"/>
        </w:rPr>
      </w:pPr>
      <w:r>
        <w:rPr>
          <w:sz w:val="24"/>
          <w:szCs w:val="24"/>
        </w:rPr>
        <w:t>Tal posicionamento evidencia que o direito à educação constitui direito fundamental de aplicação imediata, impondo ao Estado um dever jurídico inafastável, não podendo o Poder Público se eximir de sua concretização sob alegação de limitações orçamentárias.</w:t>
      </w:r>
    </w:p>
    <w:p w:rsidR="009D60B7" w:rsidRDefault="00425C09">
      <w:pPr>
        <w:pStyle w:val="SemEspaamento"/>
        <w:spacing w:line="360" w:lineRule="auto"/>
        <w:ind w:left="0" w:firstLineChars="310" w:firstLine="744"/>
        <w:rPr>
          <w:sz w:val="24"/>
          <w:szCs w:val="24"/>
        </w:rPr>
      </w:pPr>
      <w:r>
        <w:rPr>
          <w:sz w:val="24"/>
          <w:szCs w:val="24"/>
        </w:rPr>
        <w:t>No referido julgamento, relatado pelo ministro Edson Fachin, destacou-se que a educação inclusiva não pode ser compreendida como ato de mera liberalidade ou caridade institucional, mas sim como dever jurídico decorrente dos princípios constitucionais da igualdade e da dignidade da pessoa humana. O entendimento reafirma que tanto o poder público quanto as instituições privadas de ensino possuem responsabilidade na promoção de um sistema educacional verdadeiramente inclusivo.</w:t>
      </w:r>
    </w:p>
    <w:p w:rsidR="009D60B7" w:rsidRDefault="00425C09">
      <w:pPr>
        <w:pStyle w:val="SemEspaamento"/>
        <w:spacing w:line="360" w:lineRule="auto"/>
        <w:ind w:left="0" w:firstLineChars="310" w:firstLine="744"/>
        <w:rPr>
          <w:sz w:val="24"/>
          <w:szCs w:val="24"/>
        </w:rPr>
      </w:pPr>
      <w:r>
        <w:rPr>
          <w:sz w:val="24"/>
          <w:szCs w:val="24"/>
        </w:rPr>
        <w:t xml:space="preserve">Por fim, a superação desse cenário exige não apenas vontade política, mas um compromisso efetivo com a concretização dos direitos fundamentais, superando a lógica meramente formal da inclusão. Garantir o direito à educação das pessoas com deficiência não significa apenas assegurar o acesso à escola, mas promover condições reais de aprendizagem, participação e desenvolvimento, em consonância com os </w:t>
      </w:r>
      <w:r>
        <w:rPr>
          <w:sz w:val="24"/>
          <w:szCs w:val="24"/>
        </w:rPr>
        <w:lastRenderedPageBreak/>
        <w:t>princípios da dignidade da pessoa humana, da igualdade material e da justiça social, pilares essenciais do Estado Democrático de Direito.</w:t>
      </w:r>
    </w:p>
    <w:p w:rsidR="009D60B7" w:rsidRDefault="00425C09">
      <w:pPr>
        <w:pStyle w:val="SemEspaamento"/>
        <w:spacing w:line="360" w:lineRule="auto"/>
        <w:ind w:left="0" w:firstLineChars="310" w:firstLine="744"/>
        <w:rPr>
          <w:sz w:val="24"/>
          <w:szCs w:val="24"/>
        </w:rPr>
      </w:pPr>
      <w:r>
        <w:rPr>
          <w:sz w:val="24"/>
          <w:szCs w:val="24"/>
        </w:rPr>
        <w:t>Nesse panorama, a efetivação da educação inclusiva também exige o fortalecimento de mecanismos de fiscalização e responsabilização institucional, de modo a evitar práticas meramente formais de inclusão. A adoção de medidas administrativas e pedagógicas que assegurem adaptações curriculares, formação docente e acompanhamento especializado constitui passo fundamental para impedir que a inclusão permaneça apenas no plano discursivo, garantindo sua concretização no cotidiano escolar.</w:t>
      </w:r>
    </w:p>
    <w:p w:rsidR="009D60B7" w:rsidRDefault="009D60B7">
      <w:pPr>
        <w:pStyle w:val="SemEspaamento"/>
        <w:spacing w:line="360" w:lineRule="auto"/>
        <w:ind w:left="0" w:firstLineChars="310" w:firstLine="620"/>
        <w:rPr>
          <w:szCs w:val="20"/>
        </w:rPr>
      </w:pPr>
    </w:p>
    <w:p w:rsidR="009D60B7" w:rsidRPr="004841C6" w:rsidRDefault="00425C09">
      <w:pPr>
        <w:pStyle w:val="SemEspaamento"/>
        <w:spacing w:line="360" w:lineRule="auto"/>
        <w:ind w:left="0"/>
        <w:rPr>
          <w:sz w:val="24"/>
          <w:szCs w:val="24"/>
        </w:rPr>
      </w:pPr>
      <w:r w:rsidRPr="004841C6">
        <w:rPr>
          <w:sz w:val="24"/>
          <w:szCs w:val="24"/>
        </w:rPr>
        <w:t>CONCLUSÃO</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A presente pesquisa teve como objetivo analisar a efetividade do direito à educação inclusiva no Brasil, partindo do problema central consistente na distância entre o reconhecimento jurídico desse direito e sua concretização no cotidiano das instituições de ensino. Buscou-se compreender em que medida os avanços normativos foram capazes de promover, na prática, a inclusão plena dos estudantes com deficiência no sistema educacional brasileiro.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Inicialmente, verificou-se que o ordenamento jurídico nacional consolidou uma base normativa robusta, especialmente a partir da Constituição Federal de 1988, da Lei de Diretrizes e Bases da Educação Nacional, da Convenção sobre os Direitos das Pessoas com Deficiência e da Lei Brasileira de Inclusão. Esses instrumentos estabeleceram a educação inclusiva como direito fundamental, impondo ao Estado o dever de garantir não apenas o acesso, mas também a permanência, a participação e a aprendizagem dos estudantes com deficiência.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Ao longo do trabalho, evidenciou-se que, embora existam políticas públicas e programas  voltados à inclusão, persistem desafios significativos relacionados à formação insuficiente dos profissionais da educação, à escassez de recursos pedagógicos acessíveis e à fragilidade estrutural das instituições de ensino. Destacou-se, ainda, o papel relevante das organizações e movimentos sociais, que atuam na promoção da inclusão e na pressão por políticas públicas mais eficazes, ainda que sua atuação não substitua a responsabilidade do Estado.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No que se refere aos avanços, observou-se o crescimento expressivo das matrículas de estudantes com deficiência na rede regular de ensino, bem como a ampliação do Atendimento Educacional Especializado e o fortalecimento das diretrizes </w:t>
      </w:r>
      <w:r>
        <w:rPr>
          <w:rFonts w:ascii="Arial" w:hAnsi="Arial" w:cs="Arial"/>
          <w:sz w:val="24"/>
          <w:szCs w:val="24"/>
        </w:rPr>
        <w:lastRenderedPageBreak/>
        <w:t xml:space="preserve">inclusivas. Contudo, constatou-se que tais avanços não foram acompanhados, na mesma proporção, pela transformação das práticas pedagógicas e das condições materiais das escolas, o que evidencia a persistência de barreiras atitudinais e estruturais.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Dessa forma, confirma-se a hipótese de que a existência de um arcabouço jurídico avançado não é suficiente, por si só, para garantir a efetividade da educação inclusiva, sendo imprescindível a implementação concreta de políticas públicas, investimentos contínuos e mudanças estruturais no sistema educacional. A inclusão, quando restrita ao plano formal, revela-se insuficiente e, por vezes, contraditória, mantendo o estudante com deficiência em situação de exclusão dentro do próprio ambiente escolar. </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Diante desse cenário, torna-se necessário o fortalecimento de mecanismos de fiscalização e responsabilização, a ampliação da formação inicial e continuada dos profissionais da educação, o investimento em recursos pedagógicos acessíveis e a promoção de uma atuação intersetorial entre educação, saúde e assistência social. Além disso, é fundamental o desenvolvimento de uma cultura institucional comprometida com a valorização da diversidade e com a superação de práticas discriminatórias. </w:t>
      </w:r>
    </w:p>
    <w:p w:rsidR="009D60B7" w:rsidRDefault="00425C09">
      <w:pPr>
        <w:spacing w:line="360" w:lineRule="auto"/>
        <w:ind w:firstLine="709"/>
        <w:jc w:val="both"/>
        <w:rPr>
          <w:rFonts w:ascii="Arial" w:hAnsi="Arial" w:cs="Arial"/>
          <w:sz w:val="24"/>
          <w:szCs w:val="24"/>
        </w:rPr>
      </w:pPr>
      <w:r>
        <w:rPr>
          <w:rFonts w:ascii="Arial" w:hAnsi="Arial" w:cs="Arial"/>
          <w:sz w:val="24"/>
          <w:szCs w:val="24"/>
        </w:rPr>
        <w:t>Por fim, conclui-se que a efetivação da educação inclusiva no Brasil não depende apenas da previsão normativa, mas de um compromisso real, contínuo e estruturado com a transformação da realidade educacional. A inclusão não pode permanecer como promessa formal inscrita nos textos legais, mas deve se concretizar no cotidiano das escolas, por meio de práticas que assegurem, de forma efetiva, o acesso, a permanência, a participação e a aprendizagem dos estudantes com deficiência.</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 Nesse sentido, a educação inclusiva ultrapassa o campo das políticas públicas, afirmando-se como expressão de justiça social e de concretização da dignidade da pessoa humana, na qual garantir o direito de aprender significa, antes de tudo, reconhecer o valor de cada indivíduo em sua singularidade. </w:t>
      </w:r>
    </w:p>
    <w:p w:rsidR="009D60B7" w:rsidRDefault="00425C09">
      <w:pPr>
        <w:spacing w:line="360" w:lineRule="auto"/>
        <w:ind w:firstLine="709"/>
        <w:jc w:val="both"/>
        <w:rPr>
          <w:rFonts w:ascii="Arial" w:hAnsi="Arial"/>
          <w:sz w:val="24"/>
          <w:szCs w:val="24"/>
        </w:rPr>
      </w:pPr>
      <w:r>
        <w:rPr>
          <w:rFonts w:ascii="Arial" w:hAnsi="Arial" w:cs="Arial"/>
          <w:sz w:val="24"/>
          <w:szCs w:val="24"/>
        </w:rPr>
        <w:t>A educação inclusiva, portanto, não representa apenas uma política educacional, mas um compromisso ético e jurídico com a construção de uma sociedade que reconheça, valorize e respeite a diversidade humana em todas as suas dimensões.</w:t>
      </w:r>
    </w:p>
    <w:p w:rsidR="009D60B7" w:rsidRDefault="00425C09">
      <w:pPr>
        <w:pStyle w:val="SemEspaamento"/>
        <w:spacing w:line="360" w:lineRule="auto"/>
        <w:ind w:firstLine="709"/>
        <w:rPr>
          <w:szCs w:val="20"/>
        </w:rPr>
      </w:pPr>
      <w:r>
        <w:rPr>
          <w:szCs w:val="20"/>
        </w:rPr>
        <w:t xml:space="preserve"> </w:t>
      </w:r>
    </w:p>
    <w:p w:rsidR="009D60B7" w:rsidRDefault="009D60B7">
      <w:pPr>
        <w:widowControl/>
        <w:spacing w:line="360" w:lineRule="auto"/>
        <w:jc w:val="both"/>
        <w:rPr>
          <w:rFonts w:ascii="Arial" w:hAnsi="Arial" w:cs="Arial"/>
          <w:b/>
          <w:sz w:val="20"/>
          <w:szCs w:val="20"/>
        </w:rPr>
      </w:pPr>
    </w:p>
    <w:p w:rsidR="009D60B7" w:rsidRPr="004841C6" w:rsidRDefault="00425C09">
      <w:pPr>
        <w:widowControl/>
        <w:spacing w:line="360" w:lineRule="auto"/>
        <w:jc w:val="both"/>
        <w:rPr>
          <w:rFonts w:ascii="Arial" w:hAnsi="Arial"/>
          <w:sz w:val="24"/>
          <w:szCs w:val="24"/>
        </w:rPr>
      </w:pPr>
      <w:r w:rsidRPr="004841C6">
        <w:rPr>
          <w:rFonts w:ascii="Arial" w:hAnsi="Arial" w:cs="Arial"/>
          <w:sz w:val="24"/>
          <w:szCs w:val="24"/>
        </w:rPr>
        <w:t>REFERÊNCIAS</w:t>
      </w:r>
    </w:p>
    <w:p w:rsidR="009D60B7" w:rsidRDefault="00425C09">
      <w:pPr>
        <w:widowControl/>
        <w:jc w:val="both"/>
        <w:rPr>
          <w:sz w:val="24"/>
          <w:szCs w:val="24"/>
        </w:rPr>
      </w:pPr>
      <w:r>
        <w:rPr>
          <w:rFonts w:ascii="Arial" w:hAnsi="Arial"/>
          <w:sz w:val="24"/>
          <w:szCs w:val="24"/>
        </w:rPr>
        <w:t xml:space="preserve">APAE, Apucarana. </w:t>
      </w:r>
      <w:r>
        <w:rPr>
          <w:rStyle w:val="nfase"/>
          <w:rFonts w:ascii="Arial" w:hAnsi="Arial"/>
          <w:b/>
          <w:i w:val="0"/>
          <w:sz w:val="24"/>
          <w:szCs w:val="24"/>
        </w:rPr>
        <w:t>Importância das APAEs para a sociedade</w:t>
      </w:r>
      <w:r>
        <w:rPr>
          <w:rFonts w:ascii="Arial" w:hAnsi="Arial"/>
          <w:b/>
          <w:i/>
          <w:sz w:val="24"/>
          <w:szCs w:val="24"/>
        </w:rPr>
        <w:t xml:space="preserve">. </w:t>
      </w:r>
      <w:r>
        <w:rPr>
          <w:rFonts w:ascii="Arial" w:hAnsi="Arial"/>
          <w:sz w:val="24"/>
          <w:szCs w:val="24"/>
        </w:rPr>
        <w:t>s.d.</w:t>
      </w:r>
      <w:r>
        <w:rPr>
          <w:rFonts w:ascii="Arial" w:hAnsi="Arial"/>
          <w:b/>
          <w:i/>
          <w:sz w:val="24"/>
          <w:szCs w:val="24"/>
        </w:rPr>
        <w:t xml:space="preserve"> </w:t>
      </w:r>
      <w:r>
        <w:rPr>
          <w:rFonts w:ascii="Arial" w:hAnsi="Arial"/>
          <w:sz w:val="24"/>
          <w:szCs w:val="24"/>
        </w:rPr>
        <w:t>Disponível em: https://apaeapucarana.com.br/importancia-das-apaes-para-a-sociedade/. Acesso em: 26 fev. 2026.</w:t>
      </w:r>
    </w:p>
    <w:p w:rsidR="009D60B7" w:rsidRDefault="009D60B7">
      <w:pPr>
        <w:widowControl/>
        <w:jc w:val="both"/>
        <w:rPr>
          <w:rFonts w:ascii="Arial" w:hAnsi="Arial" w:cs="Arial"/>
          <w:b/>
          <w:sz w:val="24"/>
          <w:szCs w:val="24"/>
        </w:rPr>
      </w:pPr>
    </w:p>
    <w:p w:rsidR="009D60B7" w:rsidRDefault="00425C09">
      <w:pPr>
        <w:widowControl/>
        <w:jc w:val="both"/>
        <w:rPr>
          <w:rFonts w:ascii="Arial" w:hAnsi="Arial"/>
          <w:sz w:val="24"/>
          <w:szCs w:val="24"/>
        </w:rPr>
      </w:pPr>
      <w:r>
        <w:rPr>
          <w:rFonts w:ascii="Arial" w:hAnsi="Arial"/>
          <w:sz w:val="24"/>
          <w:szCs w:val="24"/>
        </w:rPr>
        <w:t xml:space="preserve">BERSCH, Rita. </w:t>
      </w:r>
      <w:r>
        <w:rPr>
          <w:rFonts w:ascii="Arial" w:hAnsi="Arial"/>
          <w:b/>
          <w:sz w:val="24"/>
          <w:szCs w:val="24"/>
        </w:rPr>
        <w:t>Tecnologia assistiva: produtos e recursos de acessibilidade.</w:t>
      </w:r>
      <w:r>
        <w:rPr>
          <w:rFonts w:ascii="Arial" w:hAnsi="Arial"/>
          <w:sz w:val="24"/>
          <w:szCs w:val="24"/>
        </w:rPr>
        <w:t xml:space="preserve"> 2017. Disponível em: https://www.assistiva.com.br. Acesso em: 2 dez. 2025.</w:t>
      </w:r>
    </w:p>
    <w:p w:rsidR="009D60B7" w:rsidRDefault="00425C09">
      <w:pPr>
        <w:pStyle w:val="NormalWeb"/>
        <w:spacing w:before="280" w:after="280"/>
        <w:jc w:val="both"/>
      </w:pPr>
      <w:r>
        <w:rPr>
          <w:rFonts w:ascii="Arial" w:hAnsi="Arial"/>
        </w:rPr>
        <w:t xml:space="preserve">BRASIL. </w:t>
      </w:r>
      <w:r>
        <w:rPr>
          <w:rStyle w:val="Forte1"/>
          <w:rFonts w:ascii="Arial" w:hAnsi="Arial"/>
        </w:rPr>
        <w:t>Constituição da República Federativa do Brasil de 1988.</w:t>
      </w:r>
      <w:r>
        <w:rPr>
          <w:rFonts w:ascii="Arial" w:hAnsi="Arial"/>
        </w:rPr>
        <w:t xml:space="preserve"> Brasília, DF: </w:t>
      </w:r>
      <w:r>
        <w:rPr>
          <w:rFonts w:ascii="Arial" w:hAnsi="Arial"/>
          <w:color w:val="001D35"/>
          <w:shd w:val="clear" w:color="auto" w:fill="FFFFFF"/>
        </w:rPr>
        <w:t>Presidência daRepública,Disponívelem: </w:t>
      </w:r>
      <w:r>
        <w:rPr>
          <w:rFonts w:ascii="Arial" w:hAnsi="Arial"/>
          <w:shd w:val="clear" w:color="auto" w:fill="FFFFFF"/>
        </w:rPr>
        <w:t>http://www.planalto.gov.br/ccivil_03/constituicao/constituicao.htm</w:t>
      </w:r>
      <w:r>
        <w:rPr>
          <w:rFonts w:ascii="Arial" w:hAnsi="Arial"/>
          <w:color w:val="001D35"/>
          <w:shd w:val="clear" w:color="auto" w:fill="FFFFFF"/>
        </w:rPr>
        <w:t>. Acesso em: 21 nov. 2025.</w:t>
      </w:r>
    </w:p>
    <w:p w:rsidR="009D60B7" w:rsidRDefault="00425C09">
      <w:pPr>
        <w:pStyle w:val="NormalWeb"/>
        <w:spacing w:before="280" w:after="280"/>
        <w:jc w:val="both"/>
        <w:rPr>
          <w:rFonts w:ascii="Arial" w:hAnsi="Arial"/>
        </w:rPr>
      </w:pPr>
      <w:r>
        <w:rPr>
          <w:rFonts w:ascii="Arial" w:hAnsi="Arial"/>
        </w:rPr>
        <w:t xml:space="preserve">BRASIL. </w:t>
      </w:r>
      <w:r>
        <w:rPr>
          <w:rFonts w:ascii="Arial" w:hAnsi="Arial"/>
          <w:b/>
        </w:rPr>
        <w:t>Decreto nº 6.949, de 25 de agosto de 2009. Promulga a Convenção Internacional sobre os Direitos das Pessoas com Deficiência.</w:t>
      </w:r>
      <w:r>
        <w:rPr>
          <w:rFonts w:ascii="Arial" w:hAnsi="Arial"/>
        </w:rPr>
        <w:t xml:space="preserve"> Brasília, DF, 2009. Disponível em: https://www.planalto.gov.br. Acesso em: 2 dez. 2025.</w:t>
      </w:r>
    </w:p>
    <w:p w:rsidR="009D60B7" w:rsidRDefault="00425C09">
      <w:pPr>
        <w:keepLines/>
        <w:spacing w:before="240" w:after="240"/>
        <w:jc w:val="both"/>
        <w:rPr>
          <w:sz w:val="24"/>
          <w:szCs w:val="24"/>
        </w:rPr>
      </w:pPr>
      <w:r>
        <w:rPr>
          <w:rFonts w:ascii="Arial" w:hAnsi="Arial"/>
          <w:sz w:val="24"/>
          <w:szCs w:val="24"/>
        </w:rPr>
        <w:t xml:space="preserve">BRASIL. </w:t>
      </w:r>
      <w:r>
        <w:rPr>
          <w:rFonts w:ascii="Arial" w:hAnsi="Arial"/>
          <w:b/>
          <w:sz w:val="24"/>
          <w:szCs w:val="24"/>
        </w:rPr>
        <w:t>Instituto Nacional de Estudos e Pesquisas Educacionais Anísio Teixeira (INEP).</w:t>
      </w:r>
      <w:r>
        <w:rPr>
          <w:rFonts w:ascii="Arial" w:hAnsi="Arial"/>
          <w:sz w:val="24"/>
          <w:szCs w:val="24"/>
        </w:rPr>
        <w:t xml:space="preserve"> </w:t>
      </w:r>
      <w:r>
        <w:rPr>
          <w:rFonts w:ascii="Arial" w:hAnsi="Arial"/>
          <w:b/>
          <w:bCs/>
          <w:sz w:val="24"/>
          <w:szCs w:val="24"/>
        </w:rPr>
        <w:t>Censo da Educação Básica 2023: notas estatísticas</w:t>
      </w:r>
      <w:r>
        <w:rPr>
          <w:rFonts w:ascii="Arial" w:hAnsi="Arial"/>
          <w:sz w:val="24"/>
          <w:szCs w:val="24"/>
        </w:rPr>
        <w:t xml:space="preserve">. Brasília, DF: Inep, 2024. Disponível em:  </w:t>
      </w:r>
      <w:hyperlink r:id="rId69">
        <w:r>
          <w:rPr>
            <w:rStyle w:val="Hyperlink1"/>
            <w:rFonts w:ascii="Arial" w:hAnsi="Arial"/>
            <w:color w:val="auto"/>
            <w:sz w:val="24"/>
            <w:szCs w:val="24"/>
            <w:u w:val="none"/>
          </w:rPr>
          <w:t>https://www.gov.br/inep/pt-br/areas-de-atuacao/pesquisas-estatisticas-e-indicadores/censo-escolar/resulta</w:t>
        </w:r>
      </w:hyperlink>
      <w:r>
        <w:rPr>
          <w:rFonts w:ascii="Arial" w:hAnsi="Arial"/>
          <w:sz w:val="24"/>
          <w:szCs w:val="24"/>
        </w:rPr>
        <w:t>dos. Acesso em: 26 mar. 2026.</w:t>
      </w:r>
    </w:p>
    <w:p w:rsidR="009D60B7" w:rsidRDefault="00425C09">
      <w:pPr>
        <w:pStyle w:val="NormalWeb"/>
        <w:spacing w:before="280" w:after="280"/>
        <w:jc w:val="both"/>
        <w:rPr>
          <w:rFonts w:ascii="Arial" w:hAnsi="Arial"/>
        </w:rPr>
      </w:pPr>
      <w:r>
        <w:rPr>
          <w:rFonts w:ascii="Arial" w:hAnsi="Arial"/>
        </w:rPr>
        <w:t xml:space="preserve">BRASIL. </w:t>
      </w:r>
      <w:r>
        <w:rPr>
          <w:rFonts w:ascii="Arial" w:hAnsi="Arial"/>
          <w:b/>
        </w:rPr>
        <w:t>Lei nº 9.394, de 20 de dezembro de 1996. Estabelece as Diretrizes e Bases da Educação Nacional.</w:t>
      </w:r>
      <w:r>
        <w:rPr>
          <w:rFonts w:ascii="Arial" w:hAnsi="Arial"/>
        </w:rPr>
        <w:t xml:space="preserve"> Brasília, DF, 1996. Disponível em: https://www.planalto.gov.br. Acesso em: 2 dez. 2025.</w:t>
      </w:r>
    </w:p>
    <w:p w:rsidR="009D60B7" w:rsidRDefault="00425C09">
      <w:pPr>
        <w:pStyle w:val="NormalWeb"/>
        <w:spacing w:before="280" w:after="280"/>
        <w:jc w:val="both"/>
        <w:rPr>
          <w:rFonts w:ascii="Arial" w:hAnsi="Arial"/>
        </w:rPr>
      </w:pPr>
      <w:r>
        <w:rPr>
          <w:rFonts w:ascii="Arial" w:hAnsi="Arial"/>
        </w:rPr>
        <w:t xml:space="preserve">BRASIL. </w:t>
      </w:r>
      <w:r>
        <w:rPr>
          <w:rFonts w:ascii="Arial" w:hAnsi="Arial"/>
          <w:b/>
        </w:rPr>
        <w:t>Lei nº 13.005, de 25 de junho de 2014. Aprova o Plano Nacional de Educação (PNE).</w:t>
      </w:r>
      <w:r>
        <w:rPr>
          <w:rFonts w:ascii="Arial" w:hAnsi="Arial"/>
        </w:rPr>
        <w:t xml:space="preserve"> Brasília, DF, 2014. Disponível em: https://www.planalto.gov.br. Acesso em: 2 dez</w:t>
      </w:r>
    </w:p>
    <w:p w:rsidR="009D60B7" w:rsidRDefault="00425C09">
      <w:pPr>
        <w:pStyle w:val="NormalWeb"/>
        <w:spacing w:before="280" w:after="280"/>
        <w:jc w:val="both"/>
        <w:rPr>
          <w:rFonts w:ascii="Arial" w:hAnsi="Arial"/>
        </w:rPr>
      </w:pPr>
      <w:r>
        <w:rPr>
          <w:rFonts w:ascii="Arial" w:hAnsi="Arial"/>
        </w:rPr>
        <w:t xml:space="preserve">BRASIL. </w:t>
      </w:r>
      <w:r>
        <w:rPr>
          <w:rFonts w:ascii="Arial" w:hAnsi="Arial"/>
          <w:b/>
        </w:rPr>
        <w:t>Lei nº 13.146, de 6 de julho de 2015. Institui a Lei Brasileira de Inclusão da Pessoa com Deficiência.</w:t>
      </w:r>
      <w:r>
        <w:rPr>
          <w:rFonts w:ascii="Arial" w:hAnsi="Arial"/>
        </w:rPr>
        <w:t xml:space="preserve"> Brasília, DF, 2015. Disponível em: https://www.planalto.gov.br. Acesso em: 2 dez. 2025.</w:t>
      </w:r>
    </w:p>
    <w:p w:rsidR="009D60B7" w:rsidRDefault="00425C09">
      <w:pPr>
        <w:pStyle w:val="NormalWeb"/>
        <w:spacing w:before="280" w:after="280"/>
        <w:jc w:val="both"/>
        <w:rPr>
          <w:rFonts w:ascii="Arial" w:hAnsi="Arial"/>
        </w:rPr>
      </w:pPr>
      <w:r>
        <w:rPr>
          <w:rFonts w:ascii="Arial" w:hAnsi="Arial"/>
        </w:rPr>
        <w:t xml:space="preserve">BRASIL. </w:t>
      </w:r>
      <w:r>
        <w:rPr>
          <w:rFonts w:ascii="Arial" w:hAnsi="Arial"/>
          <w:b/>
        </w:rPr>
        <w:t>Ministério da Educação. Política Nacional de Educação Especial na Perspectiva da Educação Inclusiva.</w:t>
      </w:r>
      <w:r>
        <w:rPr>
          <w:rFonts w:ascii="Arial" w:hAnsi="Arial"/>
        </w:rPr>
        <w:t xml:space="preserve"> Brasília, DF: MEC, 2008. Disponível em: http://portal.mec.gov.br. Acesso em: 2 dez. 2025.</w:t>
      </w:r>
    </w:p>
    <w:p w:rsidR="009D60B7" w:rsidRDefault="00425C09">
      <w:pPr>
        <w:pStyle w:val="NormalWeb"/>
        <w:spacing w:before="280" w:after="280"/>
        <w:jc w:val="both"/>
        <w:rPr>
          <w:rFonts w:ascii="Arial" w:hAnsi="Arial"/>
        </w:rPr>
      </w:pPr>
      <w:r>
        <w:rPr>
          <w:rFonts w:ascii="Arial" w:hAnsi="Arial"/>
        </w:rPr>
        <w:t xml:space="preserve">BRITO, Luan. </w:t>
      </w:r>
      <w:r>
        <w:rPr>
          <w:rFonts w:ascii="Arial" w:hAnsi="Arial"/>
          <w:b/>
        </w:rPr>
        <w:t xml:space="preserve">Direitos Humanos e o Avanço da Educação Inclusiva no Brasil. </w:t>
      </w:r>
      <w:r>
        <w:rPr>
          <w:rFonts w:ascii="Arial" w:hAnsi="Arial"/>
        </w:rPr>
        <w:t>2023. Disponível em: https://diversa.org.br/noticias/direitos-humanos-e-o-avanco-da-educacao-inclusiva-no-brasil/ Acesso em: 26 fev. 2026.</w:t>
      </w:r>
    </w:p>
    <w:p w:rsidR="009D60B7" w:rsidRDefault="00425C09">
      <w:pPr>
        <w:pStyle w:val="NormalWeb"/>
        <w:spacing w:before="280" w:after="280"/>
        <w:jc w:val="both"/>
        <w:rPr>
          <w:rFonts w:ascii="Arial" w:hAnsi="Arial"/>
        </w:rPr>
      </w:pPr>
      <w:r>
        <w:rPr>
          <w:rFonts w:ascii="Arial" w:hAnsi="Arial"/>
        </w:rPr>
        <w:t xml:space="preserve">GLAT, Rosana; BLANCO, Marlene. </w:t>
      </w:r>
      <w:r>
        <w:rPr>
          <w:rFonts w:ascii="Arial" w:hAnsi="Arial"/>
          <w:b/>
        </w:rPr>
        <w:t>Educação inclusiva: cultura da diversidade na escola.</w:t>
      </w:r>
      <w:r>
        <w:rPr>
          <w:rFonts w:ascii="Arial" w:hAnsi="Arial"/>
        </w:rPr>
        <w:t xml:space="preserve"> 2009. Disponível em: https://scholar.google.com. Acesso em: 2 dez. 2025.</w:t>
      </w:r>
    </w:p>
    <w:p w:rsidR="009D60B7" w:rsidRDefault="00425C09">
      <w:pPr>
        <w:spacing w:before="240" w:after="240"/>
        <w:jc w:val="both"/>
        <w:rPr>
          <w:rFonts w:ascii="Arial" w:hAnsi="Arial"/>
          <w:sz w:val="24"/>
          <w:szCs w:val="24"/>
        </w:rPr>
      </w:pPr>
      <w:r>
        <w:rPr>
          <w:rFonts w:ascii="Arial" w:hAnsi="Arial"/>
          <w:sz w:val="24"/>
          <w:szCs w:val="24"/>
        </w:rPr>
        <w:t>INSTITUTO NACIONAL DE ESTUDOS E PESQUISAS EDUCACIONAIS ANÍSIO TEIXEIRA (INEP).</w:t>
      </w:r>
      <w:r>
        <w:rPr>
          <w:rFonts w:ascii="Arial" w:hAnsi="Arial"/>
          <w:b/>
          <w:bCs/>
          <w:sz w:val="24"/>
          <w:szCs w:val="24"/>
        </w:rPr>
        <w:t xml:space="preserve"> Censo da Educação Básica 2023: notas estatísticas</w:t>
      </w:r>
      <w:r>
        <w:rPr>
          <w:rFonts w:ascii="Arial" w:hAnsi="Arial"/>
          <w:i/>
          <w:iCs/>
          <w:sz w:val="24"/>
          <w:szCs w:val="24"/>
        </w:rPr>
        <w:t>.</w:t>
      </w:r>
      <w:r>
        <w:rPr>
          <w:rFonts w:ascii="Arial" w:hAnsi="Arial"/>
          <w:sz w:val="24"/>
          <w:szCs w:val="24"/>
        </w:rPr>
        <w:t xml:space="preserve"> Brasília: INEP, 2024.Disponívelem:https://download.inep.gov.br/publicacoes/institucionais/estatisticas_e_indicadores/notas_estatisticas_censo_da_educacao_basica_2023.pdf.  Acesso em: 06 abr. 2026.</w:t>
      </w:r>
    </w:p>
    <w:p w:rsidR="009D60B7" w:rsidRDefault="00425C09">
      <w:pPr>
        <w:pStyle w:val="NormalWeb"/>
        <w:spacing w:before="280" w:after="280"/>
        <w:jc w:val="both"/>
      </w:pPr>
      <w:r>
        <w:rPr>
          <w:rFonts w:ascii="Arial" w:hAnsi="Arial"/>
        </w:rPr>
        <w:t xml:space="preserve">INSTITUTO RODRIGO MENDES. </w:t>
      </w:r>
      <w:r>
        <w:rPr>
          <w:rStyle w:val="nfase"/>
          <w:rFonts w:ascii="Arial" w:hAnsi="Arial"/>
          <w:b/>
          <w:i w:val="0"/>
        </w:rPr>
        <w:t>Instituto Rodrigo Mendes</w:t>
      </w:r>
      <w:r>
        <w:rPr>
          <w:rFonts w:ascii="Arial" w:hAnsi="Arial"/>
          <w:b/>
          <w:i/>
        </w:rPr>
        <w:t>.</w:t>
      </w:r>
      <w:r>
        <w:rPr>
          <w:rFonts w:ascii="Arial" w:hAnsi="Arial"/>
        </w:rPr>
        <w:t xml:space="preserve"> Disponível em: https://institutorodrigomendes.org.br/#topo. Acesso em: 02 mar. 2026. </w:t>
      </w:r>
    </w:p>
    <w:p w:rsidR="009D60B7" w:rsidRDefault="00425C09">
      <w:pPr>
        <w:pStyle w:val="NormalWeb"/>
        <w:spacing w:before="280" w:after="280"/>
        <w:jc w:val="both"/>
        <w:rPr>
          <w:rFonts w:ascii="Arial" w:hAnsi="Arial"/>
        </w:rPr>
      </w:pPr>
      <w:r>
        <w:rPr>
          <w:rFonts w:ascii="Arial" w:hAnsi="Arial"/>
        </w:rPr>
        <w:lastRenderedPageBreak/>
        <w:t xml:space="preserve">MANTOAN, Maria Teresa Eglér. </w:t>
      </w:r>
      <w:r>
        <w:rPr>
          <w:rFonts w:ascii="Arial" w:hAnsi="Arial"/>
          <w:b/>
        </w:rPr>
        <w:t>Inclusão escolar: o que é? Por quê? Como fazer?</w:t>
      </w:r>
      <w:r>
        <w:rPr>
          <w:rFonts w:ascii="Arial" w:hAnsi="Arial"/>
        </w:rPr>
        <w:t xml:space="preserve"> São Paulo: Moderna, 2003.</w:t>
      </w:r>
    </w:p>
    <w:p w:rsidR="009D60B7" w:rsidRDefault="00425C09">
      <w:pPr>
        <w:keepLines/>
        <w:spacing w:before="240" w:after="240"/>
        <w:jc w:val="both"/>
        <w:rPr>
          <w:rFonts w:ascii="Arial" w:hAnsi="Arial"/>
          <w:sz w:val="24"/>
          <w:szCs w:val="24"/>
        </w:rPr>
      </w:pPr>
      <w:r>
        <w:rPr>
          <w:rFonts w:ascii="Arial" w:hAnsi="Arial"/>
          <w:sz w:val="24"/>
          <w:szCs w:val="24"/>
        </w:rPr>
        <w:t xml:space="preserve">MANTOAN, Maria Teresa Eglér. </w:t>
      </w:r>
      <w:r>
        <w:rPr>
          <w:rFonts w:ascii="Arial" w:hAnsi="Arial"/>
          <w:b/>
          <w:bCs/>
          <w:sz w:val="24"/>
          <w:szCs w:val="24"/>
        </w:rPr>
        <w:t>Inclusão escolar: o que é? por quê? como fazer?</w:t>
      </w:r>
      <w:r>
        <w:rPr>
          <w:rFonts w:ascii="Arial" w:hAnsi="Arial"/>
          <w:sz w:val="24"/>
          <w:szCs w:val="24"/>
        </w:rPr>
        <w:t xml:space="preserve"> 2. ed. São Paulo: Moderna, 2015.</w:t>
      </w:r>
    </w:p>
    <w:p w:rsidR="009D60B7" w:rsidRDefault="00425C09">
      <w:pPr>
        <w:pStyle w:val="NormalWeb"/>
        <w:spacing w:before="280" w:after="280"/>
        <w:jc w:val="both"/>
        <w:rPr>
          <w:rFonts w:ascii="Arial" w:hAnsi="Arial"/>
        </w:rPr>
      </w:pPr>
      <w:r>
        <w:rPr>
          <w:rFonts w:ascii="Arial" w:hAnsi="Arial"/>
        </w:rPr>
        <w:t xml:space="preserve">MENDES, Enicéia Gonçalves. </w:t>
      </w:r>
      <w:r>
        <w:rPr>
          <w:rFonts w:ascii="Arial" w:hAnsi="Arial"/>
          <w:b/>
        </w:rPr>
        <w:t>Educação inclusiva no Brasil: avanços e desafios.</w:t>
      </w:r>
      <w:r>
        <w:rPr>
          <w:rFonts w:ascii="Arial" w:hAnsi="Arial"/>
        </w:rPr>
        <w:t xml:space="preserve"> 2010. Disponível em: https://www.ufscar.br. Acesso em: 2 dez. 2025.</w:t>
      </w:r>
    </w:p>
    <w:p w:rsidR="009D60B7" w:rsidRDefault="00425C09">
      <w:pPr>
        <w:pStyle w:val="NormalWeb"/>
        <w:spacing w:before="280" w:after="280"/>
        <w:jc w:val="both"/>
        <w:rPr>
          <w:rFonts w:ascii="Arial" w:hAnsi="Arial"/>
        </w:rPr>
      </w:pPr>
      <w:r>
        <w:rPr>
          <w:rFonts w:ascii="Arial" w:hAnsi="Arial"/>
        </w:rPr>
        <w:t xml:space="preserve">MENDES, Rafael Pereira da Silva. </w:t>
      </w:r>
      <w:r>
        <w:rPr>
          <w:rFonts w:ascii="Arial" w:hAnsi="Arial"/>
          <w:b/>
        </w:rPr>
        <w:t>"Educação inclusiva"</w:t>
      </w:r>
      <w:r>
        <w:rPr>
          <w:rFonts w:ascii="Arial" w:hAnsi="Arial"/>
        </w:rPr>
        <w:t>; Brasil Escola. Disponível em: https://brasilescola.uol.com.br/educacao/educacao-inclusiva.htm. Acesso em 26 fev. 2026.</w:t>
      </w:r>
    </w:p>
    <w:p w:rsidR="009D60B7" w:rsidRDefault="00425C09">
      <w:pPr>
        <w:spacing w:before="240" w:after="240"/>
        <w:jc w:val="both"/>
        <w:rPr>
          <w:rFonts w:ascii="Arial" w:hAnsi="Arial"/>
          <w:sz w:val="24"/>
          <w:szCs w:val="24"/>
        </w:rPr>
      </w:pPr>
      <w:r>
        <w:rPr>
          <w:rFonts w:ascii="Arial" w:hAnsi="Arial"/>
          <w:sz w:val="24"/>
          <w:szCs w:val="24"/>
        </w:rPr>
        <w:t xml:space="preserve">NEVES, Marcelo. </w:t>
      </w:r>
      <w:r>
        <w:rPr>
          <w:rFonts w:ascii="Arial" w:hAnsi="Arial"/>
          <w:b/>
          <w:bCs/>
          <w:sz w:val="24"/>
          <w:szCs w:val="24"/>
        </w:rPr>
        <w:t>A constitucionalização simbólica.</w:t>
      </w:r>
      <w:r>
        <w:rPr>
          <w:rFonts w:ascii="Arial" w:hAnsi="Arial"/>
          <w:sz w:val="24"/>
          <w:szCs w:val="24"/>
        </w:rPr>
        <w:t xml:space="preserve"> São Paulo: Martins Fontes, 2007.</w:t>
      </w:r>
    </w:p>
    <w:p w:rsidR="009D60B7" w:rsidRDefault="00425C09">
      <w:pPr>
        <w:pStyle w:val="NormalWeb"/>
        <w:spacing w:before="280" w:after="280"/>
        <w:jc w:val="both"/>
        <w:rPr>
          <w:rFonts w:ascii="Arial" w:hAnsi="Arial"/>
        </w:rPr>
      </w:pPr>
      <w:r>
        <w:rPr>
          <w:rFonts w:ascii="Arial" w:hAnsi="Arial"/>
        </w:rPr>
        <w:t xml:space="preserve">ONU. </w:t>
      </w:r>
      <w:r>
        <w:rPr>
          <w:rFonts w:ascii="Arial" w:hAnsi="Arial"/>
          <w:b/>
        </w:rPr>
        <w:t>Convenção sobre os Direitos das Pessoas com Deficiência.</w:t>
      </w:r>
      <w:r>
        <w:rPr>
          <w:rFonts w:ascii="Arial" w:hAnsi="Arial"/>
        </w:rPr>
        <w:t xml:space="preserve"> Nova York: ONU, 2006. Disponível em: https://www.un.org. Acesso em: 2 dez. 2025.</w:t>
      </w:r>
    </w:p>
    <w:p w:rsidR="009D60B7" w:rsidRDefault="00425C09">
      <w:pPr>
        <w:pStyle w:val="NormalWeb"/>
        <w:spacing w:before="280" w:after="280"/>
        <w:jc w:val="both"/>
        <w:rPr>
          <w:rFonts w:ascii="Arial" w:hAnsi="Arial"/>
        </w:rPr>
      </w:pPr>
      <w:r>
        <w:rPr>
          <w:rFonts w:ascii="Arial" w:hAnsi="Arial"/>
        </w:rPr>
        <w:t xml:space="preserve">PLETSCH, Márcia Denise. </w:t>
      </w:r>
      <w:r>
        <w:rPr>
          <w:rFonts w:ascii="Arial" w:hAnsi="Arial"/>
          <w:b/>
        </w:rPr>
        <w:t>Educação especial na perspectiva inclusiva: políticas, práticas e desafios contemporâneos.</w:t>
      </w:r>
      <w:r>
        <w:rPr>
          <w:rFonts w:ascii="Arial" w:hAnsi="Arial"/>
        </w:rPr>
        <w:t xml:space="preserve"> Rio de Janeiro: EDUERJ, 2021.</w:t>
      </w:r>
    </w:p>
    <w:p w:rsidR="009D60B7" w:rsidRDefault="00425C09">
      <w:pPr>
        <w:jc w:val="both"/>
        <w:rPr>
          <w:rFonts w:ascii="Arial" w:hAnsi="Arial"/>
          <w:sz w:val="24"/>
          <w:szCs w:val="24"/>
        </w:rPr>
      </w:pPr>
      <w:r>
        <w:rPr>
          <w:rFonts w:ascii="Arial" w:hAnsi="Arial"/>
          <w:sz w:val="24"/>
          <w:szCs w:val="24"/>
        </w:rPr>
        <w:t xml:space="preserve">REIS, Marcos Ribeiro; COUTINHO, Diógenes José Gusmão. </w:t>
      </w:r>
      <w:r>
        <w:rPr>
          <w:rFonts w:ascii="Arial" w:hAnsi="Arial"/>
          <w:b/>
          <w:sz w:val="24"/>
          <w:szCs w:val="24"/>
        </w:rPr>
        <w:t>POLÍTICAS PÚBLICAS E MARCOS LEGAIS DA EDUCAÇÃO INCLUSIVA NO BRASIL.</w:t>
      </w:r>
      <w:r>
        <w:rPr>
          <w:rFonts w:ascii="Arial" w:hAnsi="Arial"/>
          <w:sz w:val="24"/>
          <w:szCs w:val="24"/>
        </w:rPr>
        <w:t> </w:t>
      </w:r>
      <w:r>
        <w:rPr>
          <w:rFonts w:ascii="Arial" w:hAnsi="Arial"/>
          <w:bCs/>
          <w:sz w:val="24"/>
          <w:szCs w:val="24"/>
        </w:rPr>
        <w:t>Revista Ibero-Americana de Humanidades, Ciências e Educação</w:t>
      </w:r>
      <w:r>
        <w:rPr>
          <w:rFonts w:ascii="Arial" w:hAnsi="Arial"/>
          <w:sz w:val="24"/>
          <w:szCs w:val="24"/>
        </w:rPr>
        <w:t>, </w:t>
      </w:r>
      <w:r>
        <w:rPr>
          <w:rFonts w:ascii="Arial" w:hAnsi="Arial"/>
          <w:i/>
          <w:iCs/>
          <w:sz w:val="24"/>
          <w:szCs w:val="24"/>
        </w:rPr>
        <w:t>[S. l.]</w:t>
      </w:r>
      <w:r>
        <w:rPr>
          <w:rFonts w:ascii="Arial" w:hAnsi="Arial"/>
          <w:sz w:val="24"/>
          <w:szCs w:val="24"/>
        </w:rPr>
        <w:t>, v. 11, n. 1, p. 161–176, 2025. Disponível em: https://periodicorease.pro.br/rease/article/view/17776. Acesso em: 16 nov. 2025.</w:t>
      </w:r>
    </w:p>
    <w:p w:rsidR="009D60B7" w:rsidRDefault="009D60B7">
      <w:pPr>
        <w:jc w:val="both"/>
        <w:rPr>
          <w:rFonts w:ascii="Arial" w:hAnsi="Arial"/>
          <w:sz w:val="24"/>
          <w:szCs w:val="24"/>
        </w:rPr>
      </w:pPr>
    </w:p>
    <w:p w:rsidR="009D60B7" w:rsidRDefault="00425C09">
      <w:pPr>
        <w:jc w:val="both"/>
        <w:rPr>
          <w:rFonts w:ascii="Arial" w:hAnsi="Arial"/>
          <w:sz w:val="24"/>
          <w:szCs w:val="24"/>
        </w:rPr>
      </w:pPr>
      <w:r>
        <w:rPr>
          <w:rFonts w:ascii="Arial" w:hAnsi="Arial"/>
          <w:sz w:val="24"/>
          <w:szCs w:val="24"/>
        </w:rPr>
        <w:t xml:space="preserve">SARLET, Ingo Wolfgang. </w:t>
      </w:r>
      <w:r>
        <w:rPr>
          <w:rFonts w:ascii="Arial" w:hAnsi="Arial"/>
          <w:b/>
          <w:sz w:val="24"/>
          <w:szCs w:val="24"/>
        </w:rPr>
        <w:t>A eficácia dos direitos fundamentais</w:t>
      </w:r>
      <w:r>
        <w:rPr>
          <w:rFonts w:ascii="Arial" w:hAnsi="Arial"/>
          <w:sz w:val="24"/>
          <w:szCs w:val="24"/>
        </w:rPr>
        <w:t>. 14. ed. Porto Alegre: Livraria do Advogado, 2018.</w:t>
      </w:r>
    </w:p>
    <w:p w:rsidR="009D60B7" w:rsidRDefault="009D60B7">
      <w:pPr>
        <w:jc w:val="both"/>
        <w:rPr>
          <w:rFonts w:ascii="Arial" w:hAnsi="Arial"/>
          <w:sz w:val="24"/>
          <w:szCs w:val="24"/>
        </w:rPr>
      </w:pPr>
    </w:p>
    <w:p w:rsidR="009D60B7" w:rsidRDefault="00425C09">
      <w:pPr>
        <w:jc w:val="both"/>
        <w:rPr>
          <w:rFonts w:ascii="Arial" w:hAnsi="Arial"/>
          <w:sz w:val="24"/>
          <w:szCs w:val="24"/>
        </w:rPr>
      </w:pPr>
      <w:r>
        <w:rPr>
          <w:rFonts w:ascii="Arial" w:hAnsi="Arial"/>
          <w:sz w:val="24"/>
          <w:szCs w:val="24"/>
        </w:rPr>
        <w:t xml:space="preserve">SASSAKI, Romeu Kazumi. </w:t>
      </w:r>
      <w:r>
        <w:rPr>
          <w:rFonts w:ascii="Arial" w:hAnsi="Arial"/>
          <w:b/>
          <w:sz w:val="24"/>
          <w:szCs w:val="24"/>
        </w:rPr>
        <w:t>Inclusão: acessibilidade e educação inclusiva.</w:t>
      </w:r>
      <w:r>
        <w:rPr>
          <w:rFonts w:ascii="Arial" w:hAnsi="Arial"/>
          <w:sz w:val="24"/>
          <w:szCs w:val="24"/>
        </w:rPr>
        <w:t xml:space="preserve"> 2017. Disponível em: https://www.assistiva.com.br. Acesso em: 2 dez. 2025.</w:t>
      </w:r>
    </w:p>
    <w:p w:rsidR="009D60B7" w:rsidRDefault="009D60B7">
      <w:pPr>
        <w:jc w:val="both"/>
        <w:rPr>
          <w:rFonts w:ascii="Arial" w:hAnsi="Arial"/>
          <w:sz w:val="24"/>
          <w:szCs w:val="24"/>
        </w:rPr>
      </w:pPr>
    </w:p>
    <w:p w:rsidR="009D60B7" w:rsidRDefault="00425C09">
      <w:pPr>
        <w:jc w:val="both"/>
        <w:rPr>
          <w:rFonts w:ascii="Arial" w:hAnsi="Arial"/>
          <w:sz w:val="24"/>
          <w:szCs w:val="24"/>
        </w:rPr>
      </w:pPr>
      <w:r>
        <w:rPr>
          <w:rFonts w:ascii="Arial" w:hAnsi="Arial"/>
          <w:sz w:val="24"/>
          <w:szCs w:val="24"/>
        </w:rPr>
        <w:t>SASSAKI, Romeu Kazumi.</w:t>
      </w:r>
      <w:r>
        <w:rPr>
          <w:rFonts w:ascii="Arial" w:hAnsi="Arial"/>
          <w:b/>
          <w:sz w:val="24"/>
          <w:szCs w:val="24"/>
        </w:rPr>
        <w:t xml:space="preserve"> Inclusão: construindo uma sociedade para todos.</w:t>
      </w:r>
      <w:r>
        <w:rPr>
          <w:rFonts w:ascii="Arial" w:hAnsi="Arial"/>
          <w:sz w:val="24"/>
          <w:szCs w:val="24"/>
        </w:rPr>
        <w:t xml:space="preserve"> 8. ed. Rio de Janeiro: WVA, 2010.</w:t>
      </w:r>
    </w:p>
    <w:p w:rsidR="009D60B7" w:rsidRDefault="009D60B7">
      <w:pPr>
        <w:jc w:val="both"/>
        <w:rPr>
          <w:rFonts w:ascii="Arial" w:hAnsi="Arial"/>
          <w:sz w:val="24"/>
          <w:szCs w:val="24"/>
        </w:rPr>
      </w:pPr>
    </w:p>
    <w:p w:rsidR="009D60B7" w:rsidRDefault="00425C09">
      <w:pPr>
        <w:jc w:val="both"/>
        <w:rPr>
          <w:rFonts w:ascii="Arial" w:hAnsi="Arial"/>
          <w:sz w:val="24"/>
          <w:szCs w:val="24"/>
        </w:rPr>
      </w:pPr>
      <w:r>
        <w:rPr>
          <w:rFonts w:ascii="Arial" w:hAnsi="Arial"/>
          <w:sz w:val="24"/>
          <w:szCs w:val="24"/>
        </w:rPr>
        <w:t xml:space="preserve">STRIEDER, Roque, ZIMMERMANN, Rose Laura (Org). </w:t>
      </w:r>
      <w:r>
        <w:rPr>
          <w:rFonts w:ascii="Arial" w:hAnsi="Arial"/>
          <w:b/>
          <w:sz w:val="24"/>
          <w:szCs w:val="24"/>
        </w:rPr>
        <w:t>A educação ainda em processo de construção.</w:t>
      </w:r>
      <w:r>
        <w:rPr>
          <w:rFonts w:ascii="Arial" w:hAnsi="Arial"/>
          <w:sz w:val="24"/>
          <w:szCs w:val="24"/>
        </w:rPr>
        <w:t xml:space="preserve"> Florianópolis: DIOESC, 2012. 176p.</w:t>
      </w:r>
    </w:p>
    <w:p w:rsidR="009D60B7" w:rsidRDefault="00425C09">
      <w:pPr>
        <w:jc w:val="both"/>
        <w:rPr>
          <w:rFonts w:ascii="Arial" w:eastAsia="Arial" w:hAnsi="Arial" w:cs="Times New Roman"/>
          <w:b/>
          <w:bCs/>
          <w:sz w:val="24"/>
          <w:szCs w:val="24"/>
        </w:rPr>
      </w:pPr>
      <w:r>
        <w:rPr>
          <w:rFonts w:ascii="Arial" w:hAnsi="Arial"/>
          <w:sz w:val="24"/>
          <w:szCs w:val="24"/>
        </w:rPr>
        <w:t xml:space="preserve">UNESCO. </w:t>
      </w:r>
      <w:r>
        <w:rPr>
          <w:rFonts w:ascii="Arial" w:hAnsi="Arial"/>
          <w:b/>
          <w:sz w:val="24"/>
          <w:szCs w:val="24"/>
        </w:rPr>
        <w:t>Inclusion in education</w:t>
      </w:r>
      <w:r>
        <w:rPr>
          <w:rFonts w:ascii="Arial" w:hAnsi="Arial"/>
          <w:sz w:val="24"/>
          <w:szCs w:val="24"/>
        </w:rPr>
        <w:t>. Paris: UNESCO, 2020. Disponível em:</w:t>
      </w:r>
      <w:hyperlink r:id="rId70">
        <w:r>
          <w:rPr>
            <w:rFonts w:ascii="Arial" w:hAnsi="Arial"/>
            <w:sz w:val="24"/>
            <w:szCs w:val="24"/>
          </w:rPr>
          <w:t xml:space="preserve"> </w:t>
        </w:r>
      </w:hyperlink>
      <w:hyperlink r:id="rId71">
        <w:r>
          <w:rPr>
            <w:rFonts w:ascii="Arial" w:hAnsi="Arial"/>
            <w:sz w:val="24"/>
            <w:szCs w:val="24"/>
          </w:rPr>
          <w:t>https://www.unesco.org/en/inclusion-education</w:t>
        </w:r>
      </w:hyperlink>
      <w:r>
        <w:rPr>
          <w:rFonts w:ascii="Arial" w:hAnsi="Arial"/>
          <w:sz w:val="24"/>
          <w:szCs w:val="24"/>
        </w:rPr>
        <w:t>. Acesso em: 02 mar. 2026</w:t>
      </w:r>
    </w:p>
    <w:p w:rsidR="009D60B7" w:rsidRDefault="009D60B7">
      <w:pPr>
        <w:jc w:val="both"/>
        <w:rPr>
          <w:rFonts w:ascii="Arial" w:eastAsia="Arial" w:hAnsi="Arial" w:cs="Times New Roman"/>
          <w:b/>
          <w:bCs/>
          <w:sz w:val="20"/>
          <w:szCs w:val="20"/>
        </w:rPr>
      </w:pPr>
    </w:p>
    <w:p w:rsidR="009D60B7" w:rsidRDefault="009D60B7">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DC254B" w:rsidRDefault="00DC254B">
      <w:pPr>
        <w:jc w:val="both"/>
        <w:rPr>
          <w:rFonts w:ascii="Arial" w:eastAsia="Arial" w:hAnsi="Arial" w:cs="Times New Roman"/>
          <w:b/>
          <w:bCs/>
          <w:sz w:val="20"/>
          <w:szCs w:val="20"/>
        </w:rPr>
      </w:pPr>
    </w:p>
    <w:p w:rsidR="0005585F" w:rsidRDefault="0005585F">
      <w:pPr>
        <w:jc w:val="both"/>
        <w:rPr>
          <w:rFonts w:ascii="Arial" w:eastAsia="Arial" w:hAnsi="Arial" w:cs="Times New Roman"/>
          <w:b/>
          <w:bCs/>
          <w:sz w:val="20"/>
          <w:szCs w:val="20"/>
        </w:rPr>
      </w:pPr>
    </w:p>
    <w:p w:rsidR="009D60B7" w:rsidRPr="0005585F" w:rsidRDefault="00425C09" w:rsidP="0005585F">
      <w:pPr>
        <w:pStyle w:val="Ttulo1"/>
        <w:spacing w:before="0"/>
        <w:ind w:left="0"/>
        <w:rPr>
          <w:rFonts w:ascii="Arial" w:hAnsi="Arial"/>
        </w:rPr>
      </w:pPr>
      <w:bookmarkStart w:id="10" w:name="_GoBack_Copia_6"/>
      <w:r w:rsidRPr="0005585F">
        <w:rPr>
          <w:rFonts w:ascii="Arial" w:eastAsia="Times New Roman" w:hAnsi="Arial" w:cs="Times New Roman"/>
          <w:b/>
          <w:bCs/>
        </w:rPr>
        <w:lastRenderedPageBreak/>
        <w:t>A CENTRALIDADE DA VÍTIMA</w:t>
      </w:r>
      <w:bookmarkEnd w:id="10"/>
      <w:r w:rsidRPr="0005585F">
        <w:rPr>
          <w:rFonts w:ascii="Arial" w:eastAsia="Times New Roman" w:hAnsi="Arial" w:cs="Times New Roman"/>
          <w:b/>
          <w:bCs/>
        </w:rPr>
        <w:t xml:space="preserve"> NO PROCESSO PENAL BRASILEIRO:</w:t>
      </w:r>
      <w:r w:rsidRPr="0005585F">
        <w:rPr>
          <w:rFonts w:ascii="Arial" w:eastAsia="Times New Roman" w:hAnsi="Arial" w:cs="Times New Roman"/>
          <w:b/>
          <w:bCs/>
        </w:rPr>
        <w:br/>
        <w:t>A JUSTIÇA RESTAURATIVA COMO INSTRUMENTO DE</w:t>
      </w:r>
      <w:r w:rsidRPr="0005585F">
        <w:rPr>
          <w:rFonts w:ascii="Arial" w:eastAsia="Times New Roman" w:hAnsi="Arial" w:cs="Times New Roman"/>
          <w:b/>
          <w:bCs/>
          <w:lang w:val="pt-BR"/>
        </w:rPr>
        <w:t xml:space="preserve">                            </w:t>
      </w:r>
      <w:r w:rsidRPr="0005585F">
        <w:rPr>
          <w:rFonts w:ascii="Arial" w:eastAsia="Times New Roman" w:hAnsi="Arial" w:cs="Times New Roman"/>
          <w:b/>
          <w:bCs/>
        </w:rPr>
        <w:t>EFETIVAÇÃO DE DIREITOS</w:t>
      </w:r>
    </w:p>
    <w:p w:rsidR="009D60B7" w:rsidRDefault="009D60B7">
      <w:pPr>
        <w:spacing w:after="17" w:line="276" w:lineRule="auto"/>
        <w:ind w:left="-5"/>
        <w:jc w:val="right"/>
        <w:rPr>
          <w:rFonts w:ascii="Arial" w:hAnsi="Arial" w:cs="Times New Roman"/>
          <w:sz w:val="24"/>
          <w:szCs w:val="24"/>
        </w:rPr>
      </w:pPr>
    </w:p>
    <w:p w:rsidR="0005585F" w:rsidRDefault="0005585F">
      <w:pPr>
        <w:spacing w:after="17" w:line="276" w:lineRule="auto"/>
        <w:ind w:left="-5"/>
        <w:jc w:val="right"/>
        <w:rPr>
          <w:rFonts w:ascii="Arial" w:hAnsi="Arial" w:cs="Times New Roman"/>
          <w:sz w:val="24"/>
          <w:szCs w:val="24"/>
        </w:rPr>
      </w:pPr>
    </w:p>
    <w:p w:rsidR="009D60B7" w:rsidRDefault="00425C09">
      <w:pPr>
        <w:jc w:val="center"/>
        <w:rPr>
          <w:rFonts w:ascii="Arial" w:hAnsi="Arial"/>
          <w:sz w:val="24"/>
          <w:szCs w:val="24"/>
        </w:rPr>
      </w:pPr>
      <w:r>
        <w:rPr>
          <w:rFonts w:ascii="Arial" w:eastAsia="Times New Roman" w:hAnsi="Arial" w:cs="Times New Roman"/>
          <w:sz w:val="24"/>
          <w:szCs w:val="24"/>
        </w:rPr>
        <w:t xml:space="preserve">Bruna Vitória da Silva Lopes </w:t>
      </w:r>
      <w:r>
        <w:rPr>
          <w:rFonts w:ascii="Arial" w:eastAsia="Times New Roman" w:hAnsi="Arial" w:cs="Times New Roman"/>
          <w:sz w:val="24"/>
          <w:szCs w:val="24"/>
          <w:vertAlign w:val="superscript"/>
        </w:rPr>
        <w:t>1</w:t>
      </w:r>
      <w:r>
        <w:rPr>
          <w:rFonts w:ascii="Arial" w:hAnsi="Arial"/>
          <w:sz w:val="24"/>
          <w:szCs w:val="24"/>
          <w:vertAlign w:val="superscript"/>
        </w:rPr>
        <w:br/>
      </w:r>
      <w:r>
        <w:rPr>
          <w:rFonts w:ascii="Arial" w:eastAsia="Times New Roman" w:hAnsi="Arial" w:cs="Times New Roman"/>
          <w:sz w:val="24"/>
          <w:szCs w:val="24"/>
        </w:rPr>
        <w:t>Thayssa Pietra Raine Lima</w:t>
      </w:r>
      <w:r>
        <w:rPr>
          <w:rFonts w:ascii="Arial" w:eastAsia="Times New Roman" w:hAnsi="Arial" w:cs="Times New Roman"/>
          <w:sz w:val="24"/>
          <w:szCs w:val="24"/>
          <w:vertAlign w:val="superscript"/>
        </w:rPr>
        <w:t xml:space="preserve"> 2 </w:t>
      </w:r>
      <w:r>
        <w:rPr>
          <w:rFonts w:ascii="Arial" w:hAnsi="Arial"/>
          <w:sz w:val="24"/>
          <w:szCs w:val="24"/>
          <w:vertAlign w:val="superscript"/>
        </w:rPr>
        <w:br/>
      </w:r>
      <w:r>
        <w:rPr>
          <w:rFonts w:ascii="Arial" w:eastAsia="Times New Roman" w:hAnsi="Arial" w:cs="Times New Roman"/>
          <w:sz w:val="24"/>
          <w:szCs w:val="24"/>
        </w:rPr>
        <w:t xml:space="preserve">Gabriel de Castro Borges Reis </w:t>
      </w:r>
      <w:r>
        <w:rPr>
          <w:rFonts w:ascii="Arial" w:eastAsia="Times New Roman" w:hAnsi="Arial" w:cs="Times New Roman"/>
          <w:sz w:val="24"/>
          <w:szCs w:val="24"/>
          <w:vertAlign w:val="superscript"/>
        </w:rPr>
        <w:t>3</w:t>
      </w:r>
      <w:r>
        <w:rPr>
          <w:rFonts w:ascii="Arial" w:eastAsia="Times New Roman" w:hAnsi="Arial" w:cs="Times New Roman"/>
          <w:color w:val="512DA8"/>
          <w:sz w:val="24"/>
          <w:szCs w:val="24"/>
          <w:vertAlign w:val="superscript"/>
        </w:rPr>
        <w:br/>
      </w:r>
      <w:r>
        <w:rPr>
          <w:rFonts w:ascii="Arial" w:eastAsia="Times New Roman" w:hAnsi="Arial" w:cs="Times New Roman"/>
          <w:sz w:val="24"/>
          <w:szCs w:val="24"/>
        </w:rPr>
        <w:t xml:space="preserve">Cristiane Ingrid </w:t>
      </w:r>
      <w:r>
        <w:rPr>
          <w:rFonts w:ascii="Arial" w:hAnsi="Arial"/>
          <w:sz w:val="24"/>
          <w:szCs w:val="24"/>
        </w:rPr>
        <w:t>d</w:t>
      </w:r>
      <w:r>
        <w:rPr>
          <w:rFonts w:ascii="Arial" w:eastAsia="Times New Roman" w:hAnsi="Arial" w:cs="Times New Roman"/>
          <w:sz w:val="24"/>
          <w:szCs w:val="24"/>
        </w:rPr>
        <w:t>e Souza Bonfim</w:t>
      </w:r>
      <w:r>
        <w:rPr>
          <w:rFonts w:ascii="Arial" w:eastAsia="Times New Roman" w:hAnsi="Arial" w:cs="Times New Roman"/>
          <w:sz w:val="24"/>
          <w:szCs w:val="24"/>
          <w:vertAlign w:val="superscript"/>
        </w:rPr>
        <w:t xml:space="preserve"> 4</w:t>
      </w:r>
      <w:r>
        <w:rPr>
          <w:rFonts w:ascii="Arial" w:eastAsia="Times New Roman" w:hAnsi="Arial" w:cs="Times New Roman"/>
          <w:sz w:val="24"/>
          <w:szCs w:val="24"/>
        </w:rPr>
        <w:t xml:space="preserve"> </w:t>
      </w:r>
    </w:p>
    <w:p w:rsidR="009D60B7" w:rsidRDefault="009D60B7">
      <w:pPr>
        <w:spacing w:line="259" w:lineRule="auto"/>
        <w:rPr>
          <w:rFonts w:ascii="Arial" w:hAnsi="Arial"/>
          <w:sz w:val="24"/>
          <w:szCs w:val="24"/>
        </w:rPr>
      </w:pPr>
    </w:p>
    <w:p w:rsidR="0005585F" w:rsidRDefault="0005585F">
      <w:pPr>
        <w:spacing w:line="259" w:lineRule="auto"/>
        <w:rPr>
          <w:rFonts w:ascii="Arial" w:hAnsi="Arial"/>
          <w:sz w:val="24"/>
          <w:szCs w:val="24"/>
        </w:rPr>
      </w:pPr>
    </w:p>
    <w:p w:rsidR="009D60B7" w:rsidRPr="0005585F" w:rsidRDefault="00425C09">
      <w:pPr>
        <w:pStyle w:val="Ttulo1"/>
        <w:ind w:left="0" w:right="4"/>
        <w:rPr>
          <w:rFonts w:ascii="Arial" w:hAnsi="Arial" w:cs="Arial"/>
          <w:bCs/>
          <w:sz w:val="24"/>
          <w:szCs w:val="24"/>
        </w:rPr>
      </w:pPr>
      <w:r w:rsidRPr="0005585F">
        <w:rPr>
          <w:rFonts w:ascii="Arial" w:hAnsi="Arial" w:cs="Arial"/>
          <w:bCs/>
          <w:sz w:val="24"/>
          <w:szCs w:val="24"/>
        </w:rPr>
        <w:t>RESUMO</w:t>
      </w:r>
    </w:p>
    <w:p w:rsidR="009D60B7" w:rsidRDefault="00425C09">
      <w:pPr>
        <w:jc w:val="both"/>
        <w:rPr>
          <w:rFonts w:ascii="Arial" w:hAnsi="Arial"/>
          <w:sz w:val="20"/>
          <w:szCs w:val="20"/>
        </w:rPr>
      </w:pPr>
      <w:r>
        <w:rPr>
          <w:rFonts w:ascii="Arial" w:eastAsia="Times New Roman" w:hAnsi="Arial" w:cs="Times New Roman"/>
          <w:sz w:val="20"/>
          <w:szCs w:val="20"/>
        </w:rPr>
        <w:t xml:space="preserve">O presente artigo trata da centralidade da vítima no processo penal brasileiro e da Justiça Restaurativa como uma possibilidade judicial de fortalecimento de sua participação. Parte-se da seguinte problemática: </w:t>
      </w:r>
      <w:r>
        <w:rPr>
          <w:rFonts w:ascii="Arial" w:hAnsi="Arial"/>
          <w:sz w:val="20"/>
          <w:szCs w:val="20"/>
        </w:rPr>
        <w:t>em que medida a Justiça Restaurativa</w:t>
      </w:r>
      <w:r>
        <w:rPr>
          <w:rFonts w:ascii="Arial" w:eastAsia="Times New Roman" w:hAnsi="Arial" w:cs="Times New Roman"/>
          <w:sz w:val="20"/>
          <w:szCs w:val="20"/>
        </w:rPr>
        <w:t xml:space="preserve"> institucionalizada no Brasil pela Resolução nº 225/2016 do Conselho Nacional de Justiça, pode superar a estigmatização histórica da vítima no modelo penal tradicional e promover seu protagonismo no sistema de justiça criminal</w:t>
      </w:r>
      <w:r>
        <w:rPr>
          <w:rFonts w:ascii="Arial" w:hAnsi="Arial"/>
          <w:sz w:val="20"/>
          <w:szCs w:val="20"/>
        </w:rPr>
        <w:t>.</w:t>
      </w:r>
      <w:r>
        <w:rPr>
          <w:rFonts w:ascii="Arial" w:eastAsia="Times New Roman" w:hAnsi="Arial" w:cs="Times New Roman"/>
          <w:sz w:val="20"/>
          <w:szCs w:val="20"/>
        </w:rPr>
        <w:t xml:space="preserve"> O trabalho analisa o papel da vítima no processo penal brasileiro e busca verificar se a Justiça Restaurativa é um mecanismo apto a promover seu reconhecimento e protagonismo. Analisa-se, portanto, a evolução histórica da posição da vítima, identificando os limites estruturais do modelo retributivo e os fundamentos normativos e institucionais da Justiça Restaurativa no ordenamento jurídico brasileiro. A pesquisa possui natureza qualitativa, desenvolvida por meio de metodologia bibliográfica e documental, com abordagem dedutiva, fundamentada na análise de doutrina nacional e estrangeira, fundamentos constitucionais e dados institucionais constantes do II Mapeamento Nacional da Justiça Restaurativa. O artigo estrutura-se em três partes: inicialmente aborda a evolução histórica da vítima; em seguida examina as limitações do modelo penal tradicional; e, por fim, analisa a Justiça Restaurativa como instrumento de centralidade. Conclui-se</w:t>
      </w:r>
      <w:r>
        <w:rPr>
          <w:rFonts w:ascii="Arial" w:hAnsi="Arial"/>
          <w:sz w:val="20"/>
          <w:szCs w:val="20"/>
        </w:rPr>
        <w:t xml:space="preserve"> </w:t>
      </w:r>
      <w:r>
        <w:rPr>
          <w:rFonts w:ascii="Arial" w:eastAsia="Times New Roman" w:hAnsi="Arial" w:cs="Times New Roman"/>
          <w:sz w:val="20"/>
          <w:szCs w:val="20"/>
        </w:rPr>
        <w:t>que a Justiça Restaurativa pode atuar como mecanismo complementar ao sistema penal, contribuindo para o fortalecimento da participação da vítima, promovendo espaços dialógicos, reparação de danos e valorização da dignidade da pessoa humana, embora sua implementação ainda enfrente limites estruturais e institucionais no contexto brasileiro.</w:t>
      </w:r>
    </w:p>
    <w:p w:rsidR="009D60B7" w:rsidRDefault="00425C09">
      <w:pPr>
        <w:spacing w:before="240" w:after="240"/>
        <w:jc w:val="both"/>
        <w:rPr>
          <w:rFonts w:ascii="Arial" w:eastAsia="Times New Roman" w:hAnsi="Arial" w:cs="Times New Roman"/>
          <w:b/>
          <w:bCs/>
          <w:sz w:val="24"/>
          <w:szCs w:val="24"/>
        </w:rPr>
      </w:pPr>
      <w:r>
        <w:rPr>
          <w:rFonts w:ascii="Arial" w:eastAsia="Times New Roman" w:hAnsi="Arial" w:cs="Times New Roman"/>
          <w:b/>
          <w:bCs/>
          <w:sz w:val="20"/>
          <w:szCs w:val="20"/>
        </w:rPr>
        <w:t>PALAVRAS-CHAVE:</w:t>
      </w:r>
      <w:r>
        <w:rPr>
          <w:rFonts w:ascii="Arial" w:eastAsia="Times New Roman" w:hAnsi="Arial" w:cs="Times New Roman"/>
          <w:sz w:val="20"/>
          <w:szCs w:val="20"/>
        </w:rPr>
        <w:t xml:space="preserve"> vítima; processo penal; justiça restaurativa.</w:t>
      </w:r>
    </w:p>
    <w:p w:rsidR="009D60B7" w:rsidRDefault="00425C09">
      <w:pPr>
        <w:spacing w:before="240" w:after="240"/>
        <w:rPr>
          <w:rFonts w:ascii="Arial" w:hAnsi="Arial"/>
          <w:sz w:val="24"/>
          <w:szCs w:val="24"/>
        </w:rPr>
      </w:pPr>
      <w:r>
        <w:rPr>
          <w:rFonts w:ascii="Arial" w:eastAsia="Times New Roman" w:hAnsi="Arial" w:cs="Times New Roman"/>
          <w:sz w:val="24"/>
          <w:szCs w:val="24"/>
        </w:rPr>
        <w:t>INTRODUÇÃO</w:t>
      </w:r>
    </w:p>
    <w:p w:rsidR="009D60B7" w:rsidRDefault="00425C09">
      <w:pPr>
        <w:spacing w:before="240" w:after="240" w:line="360" w:lineRule="auto"/>
        <w:ind w:firstLine="855"/>
        <w:jc w:val="both"/>
        <w:rPr>
          <w:rFonts w:ascii="Arial" w:hAnsi="Arial"/>
          <w:sz w:val="24"/>
          <w:szCs w:val="24"/>
        </w:rPr>
      </w:pPr>
      <w:r>
        <w:rPr>
          <w:rFonts w:ascii="Arial" w:eastAsia="Times New Roman" w:hAnsi="Arial" w:cs="Times New Roman"/>
          <w:sz w:val="24"/>
          <w:szCs w:val="24"/>
        </w:rPr>
        <w:t>O processo penal estruturou-se historicamente sob uma lógica retributiva, centrada na relação entre o Estado e o acusado, relegando a vítima a uma posição secundária na persecução penal e o Estado em posição primária. Tal estruturação pode ser efetivamente corroborada, a partir do século XVIII com a consolidação do que historicamente se denomina como Estado Moderno.</w:t>
      </w:r>
      <w:r>
        <w:rPr>
          <w:rFonts w:ascii="Arial" w:eastAsia="Times New Roman" w:hAnsi="Arial" w:cs="Times New Roman"/>
          <w:sz w:val="24"/>
          <w:szCs w:val="24"/>
        </w:rPr>
        <w:br/>
      </w:r>
      <w:r>
        <w:rPr>
          <w:rFonts w:ascii="Arial" w:eastAsia="Times New Roman" w:hAnsi="Arial" w:cs="Times New Roman"/>
          <w:sz w:val="24"/>
          <w:szCs w:val="24"/>
        </w:rPr>
        <w:tab/>
        <w:t xml:space="preserve">Com a consolidação do monopólio estatal do </w:t>
      </w:r>
      <w:r>
        <w:rPr>
          <w:rFonts w:ascii="Arial" w:eastAsia="Times New Roman" w:hAnsi="Arial" w:cs="Times New Roman"/>
          <w:i/>
          <w:iCs/>
          <w:sz w:val="24"/>
          <w:szCs w:val="24"/>
        </w:rPr>
        <w:t>jus puniendi</w:t>
      </w:r>
      <w:r>
        <w:rPr>
          <w:rFonts w:ascii="Arial" w:eastAsia="Times New Roman" w:hAnsi="Arial" w:cs="Times New Roman"/>
          <w:sz w:val="24"/>
          <w:szCs w:val="24"/>
        </w:rPr>
        <w:t xml:space="preserve">, o conflito decorrente da prática delituosa passou a ser apropriado pelo Estado, que assumiu a titularidade da ação penal e colocou a coletividade como a vítima mais importante desta relação: criminoso / vítima. Tal situação termina por incentivar a redução do papel da vítima no processo penal, uma vez que só existe um crime a ser apurado na medida em que existe uma prova deste crime (vítima). Assim, a figura do ofendido(a) foi diminuída a mera </w:t>
      </w:r>
      <w:r>
        <w:rPr>
          <w:rFonts w:ascii="Arial" w:eastAsia="Times New Roman" w:hAnsi="Arial" w:cs="Times New Roman"/>
          <w:sz w:val="24"/>
          <w:szCs w:val="24"/>
        </w:rPr>
        <w:lastRenderedPageBreak/>
        <w:t>condição de meio de prova ou a de um sujeito eventual de direitos formais, gerando o silenciamento desta figura no processo penal.</w:t>
      </w:r>
      <w:r>
        <w:rPr>
          <w:rFonts w:ascii="Arial" w:eastAsia="Times New Roman" w:hAnsi="Arial" w:cs="Times New Roman"/>
          <w:sz w:val="24"/>
          <w:szCs w:val="24"/>
        </w:rPr>
        <w:br/>
      </w:r>
      <w:r>
        <w:rPr>
          <w:rFonts w:ascii="Arial" w:eastAsia="Times New Roman" w:hAnsi="Arial" w:cs="Times New Roman"/>
          <w:sz w:val="24"/>
          <w:szCs w:val="24"/>
        </w:rPr>
        <w:tab/>
        <w:t>Esse modelo tradicional, embora essencial para a consolidação das garantias do acusado e do devido processo legal, contribuiu para o silenciamento progressivo da vítima e seu apagamento, enquanto sujeito de direitos. As dores, necessidades emocionais e interesses reparatórios raramente ocupam espaço central no procedimento criminal. Tal cenário revela uma problemática relevante: em que medida o sistema penal brasileiro assegura efetiva participação e reconhecimento da vítima como sujeito de direitos, e não apenas como instrumento probatório?</w:t>
      </w:r>
      <w:r>
        <w:rPr>
          <w:rFonts w:ascii="Arial" w:eastAsia="Times New Roman" w:hAnsi="Arial" w:cs="Times New Roman"/>
          <w:sz w:val="24"/>
          <w:szCs w:val="24"/>
        </w:rPr>
        <w:br/>
      </w:r>
      <w:r>
        <w:rPr>
          <w:rFonts w:ascii="Arial" w:eastAsia="Times New Roman" w:hAnsi="Arial" w:cs="Times New Roman"/>
          <w:sz w:val="24"/>
          <w:szCs w:val="24"/>
        </w:rPr>
        <w:tab/>
        <w:t>Diante dessa realidade, a Justiça Restaurativa surge como alternativa capaz de reposicionar a vítima no centro do debate jurídico, promovendo escuta qualificada, responsabilização do ofensor e reparação dos danos causados. No Brasil, sua institucionalização ocorreu com a Resolução n.º 225/2016 do Conselho Nacional de Justiça, que reconheceu formalmente essa metodologia como política pública no âmbito do Poder Judiciário.</w:t>
      </w:r>
      <w:r>
        <w:rPr>
          <w:rFonts w:ascii="Arial" w:eastAsia="Times New Roman" w:hAnsi="Arial" w:cs="Times New Roman"/>
          <w:sz w:val="24"/>
          <w:szCs w:val="24"/>
        </w:rPr>
        <w:br/>
      </w:r>
      <w:r>
        <w:rPr>
          <w:rFonts w:ascii="Arial" w:eastAsia="Times New Roman" w:hAnsi="Arial" w:cs="Times New Roman"/>
          <w:sz w:val="24"/>
          <w:szCs w:val="24"/>
        </w:rPr>
        <w:tab/>
        <w:t>O objetivo geral da presente pesquisa é analisar o papel da vítima no processo penal brasileiro à luz da Justiça Restaurativa. Como objetivos específicos, busca-se: (i) examinar a evolução histórica da posição da vítima no sistema penal; (ii) compreender os fundamentos teóricos da Justiça Restaurativa; e (iii) avaliar se essa abordagem representa mera política complementar ou efetiva transformação paradigmática na forma de tratamento da vítima.</w:t>
      </w:r>
      <w:r>
        <w:rPr>
          <w:rFonts w:ascii="Arial" w:eastAsia="Times New Roman" w:hAnsi="Arial" w:cs="Times New Roman"/>
          <w:sz w:val="24"/>
          <w:szCs w:val="24"/>
        </w:rPr>
        <w:br/>
      </w:r>
      <w:r>
        <w:rPr>
          <w:rFonts w:ascii="Arial" w:eastAsia="Times New Roman" w:hAnsi="Arial" w:cs="Times New Roman"/>
          <w:sz w:val="24"/>
          <w:szCs w:val="24"/>
        </w:rPr>
        <w:tab/>
        <w:t>A metodologia adotada é de natureza bibliográfica e documental, com análise de doutrina nacional e estrangeira, legislação pertinente, decisões jurisprudenciais e dados institucionais do Mapeamento Nacional da Justiça Restaurativa.</w:t>
      </w:r>
      <w:r>
        <w:rPr>
          <w:rFonts w:ascii="Arial" w:eastAsia="Times New Roman" w:hAnsi="Arial" w:cs="Times New Roman"/>
          <w:sz w:val="24"/>
          <w:szCs w:val="24"/>
        </w:rPr>
        <w:br/>
      </w:r>
      <w:r>
        <w:rPr>
          <w:rFonts w:ascii="Arial" w:eastAsia="Times New Roman" w:hAnsi="Arial" w:cs="Times New Roman"/>
          <w:sz w:val="24"/>
          <w:szCs w:val="24"/>
        </w:rPr>
        <w:tab/>
        <w:t>O artigo estrutura-se em três partes: inicialmente, analisa-se o contexto histórico da vítima no modelo penal retributivo; em seguida, examinam-se os fundamentos e práticas da Justiça Restaurativa; por fim, avalia-se o protagonismo da vítima nos encontros restaurativos e os limites de sua implementação no cenário brasileiro</w:t>
      </w:r>
      <w:r>
        <w:rPr>
          <w:rFonts w:ascii="Arial" w:hAnsi="Arial"/>
          <w:sz w:val="24"/>
          <w:szCs w:val="24"/>
        </w:rPr>
        <w:t>.</w:t>
      </w:r>
    </w:p>
    <w:p w:rsidR="009D60B7" w:rsidRPr="00661883" w:rsidRDefault="00425C09">
      <w:pPr>
        <w:pStyle w:val="Ttulo1"/>
        <w:spacing w:before="0" w:line="360" w:lineRule="auto"/>
        <w:ind w:left="0"/>
        <w:jc w:val="both"/>
        <w:rPr>
          <w:rFonts w:ascii="Arial" w:hAnsi="Arial"/>
          <w:sz w:val="24"/>
          <w:szCs w:val="24"/>
        </w:rPr>
      </w:pPr>
      <w:bookmarkStart w:id="11" w:name="_cbz4i861tob4"/>
      <w:bookmarkEnd w:id="11"/>
      <w:r w:rsidRPr="00661883">
        <w:rPr>
          <w:rFonts w:ascii="Arial" w:hAnsi="Arial"/>
          <w:bCs/>
          <w:sz w:val="24"/>
          <w:szCs w:val="24"/>
        </w:rPr>
        <w:t>1.</w:t>
      </w:r>
      <w:r w:rsidRPr="00661883">
        <w:rPr>
          <w:rFonts w:ascii="Arial" w:eastAsia="Times New Roman" w:hAnsi="Arial" w:cs="Times New Roman"/>
          <w:bCs/>
          <w:sz w:val="24"/>
          <w:szCs w:val="24"/>
        </w:rPr>
        <w:t xml:space="preserve"> VÍTIMA NA JUSTIÇA RESTAURATIVA: CONTEXTO HISTÓRICO E CRIMINAL</w:t>
      </w:r>
    </w:p>
    <w:p w:rsidR="009D60B7" w:rsidRDefault="00425C09">
      <w:pPr>
        <w:spacing w:line="360" w:lineRule="auto"/>
        <w:ind w:right="-7" w:firstLine="720"/>
        <w:jc w:val="both"/>
        <w:rPr>
          <w:rFonts w:ascii="Arial" w:hAnsi="Arial"/>
          <w:sz w:val="24"/>
          <w:szCs w:val="24"/>
        </w:rPr>
      </w:pPr>
      <w:r>
        <w:rPr>
          <w:rFonts w:ascii="Arial" w:eastAsia="Times New Roman" w:hAnsi="Arial" w:cs="Times New Roman"/>
          <w:sz w:val="24"/>
          <w:szCs w:val="24"/>
        </w:rPr>
        <w:t xml:space="preserve">Inicialmente, cumpre destacar, que no contexto do ordenamento jurídico criminal brasileiro as teorias adotadas, como justificantes para a punição dos cidadãos condenados pelas práticas de crimes, são as teorias retributiva e preventiva da pena. Esse modelo consolidou-se a partir do pensamento iluminista dos séculos XVII e XVIII, </w:t>
      </w:r>
      <w:r>
        <w:rPr>
          <w:rFonts w:ascii="Arial" w:eastAsia="Times New Roman" w:hAnsi="Arial" w:cs="Times New Roman"/>
          <w:sz w:val="24"/>
          <w:szCs w:val="24"/>
        </w:rPr>
        <w:lastRenderedPageBreak/>
        <w:t>especialmente com a formação do Estado moderno, momento em que o crime deixou de ser compreendido como ofensa privada e passou a ser considerado violação à ordem estatal (Reis, 2019).</w:t>
      </w:r>
      <w:r>
        <w:rPr>
          <w:rFonts w:ascii="Arial" w:hAnsi="Arial"/>
          <w:sz w:val="24"/>
          <w:szCs w:val="24"/>
        </w:rPr>
        <w:t xml:space="preserve"> </w:t>
      </w:r>
      <w:r>
        <w:rPr>
          <w:rFonts w:ascii="Arial" w:eastAsia="Times New Roman" w:hAnsi="Arial" w:cs="Times New Roman"/>
          <w:sz w:val="24"/>
          <w:szCs w:val="24"/>
        </w:rPr>
        <w:t>Neste sentido, Reis aponta:</w:t>
      </w:r>
    </w:p>
    <w:p w:rsidR="009D60B7" w:rsidRDefault="00425C09">
      <w:pPr>
        <w:ind w:left="2268"/>
        <w:jc w:val="both"/>
        <w:rPr>
          <w:rFonts w:ascii="Arial" w:eastAsia="Times New Roman" w:hAnsi="Arial" w:cs="Times New Roman"/>
          <w:sz w:val="20"/>
          <w:szCs w:val="20"/>
        </w:rPr>
      </w:pPr>
      <w:r>
        <w:rPr>
          <w:rFonts w:ascii="Arial" w:eastAsia="Times New Roman" w:hAnsi="Arial" w:cs="Times New Roman"/>
          <w:sz w:val="20"/>
          <w:szCs w:val="20"/>
        </w:rPr>
        <w:t xml:space="preserve">A finalidade desta idealização de um Estado garantidor teria como objetivo alcançar o caráter mais elevado da punição, qual seja: o retorno do cidadão ao convívio em sociedade, a falaciosa ‘ressocialização’. Assim, deverá o </w:t>
      </w:r>
      <w:r>
        <w:rPr>
          <w:rFonts w:ascii="Arial" w:eastAsia="Times New Roman" w:hAnsi="Arial" w:cs="Times New Roman"/>
          <w:b/>
          <w:bCs/>
          <w:sz w:val="20"/>
          <w:szCs w:val="20"/>
        </w:rPr>
        <w:t>Estado cingir sua atuação neste momento não apenas para punição (função retributiva), mas reeducar o preso, com objetivo de conduzi-lo à sociedade sem que volte a delinquir (função preventiva)</w:t>
      </w:r>
      <w:r>
        <w:rPr>
          <w:rFonts w:ascii="Arial" w:eastAsia="Times New Roman" w:hAnsi="Arial" w:cs="Times New Roman"/>
          <w:sz w:val="20"/>
          <w:szCs w:val="20"/>
        </w:rPr>
        <w:t>.</w:t>
      </w:r>
      <w:r>
        <w:rPr>
          <w:rFonts w:ascii="Arial" w:hAnsi="Arial"/>
          <w:sz w:val="20"/>
          <w:szCs w:val="20"/>
        </w:rPr>
        <w:t xml:space="preserve"> </w:t>
      </w:r>
      <w:r>
        <w:rPr>
          <w:rFonts w:ascii="Arial" w:eastAsia="Times New Roman" w:hAnsi="Arial" w:cs="Times New Roman"/>
          <w:sz w:val="20"/>
          <w:szCs w:val="20"/>
        </w:rPr>
        <w:t xml:space="preserve">Verifica-se, desse modo, que o </w:t>
      </w:r>
      <w:r>
        <w:rPr>
          <w:rFonts w:ascii="Arial" w:eastAsia="Times New Roman" w:hAnsi="Arial" w:cs="Times New Roman"/>
          <w:b/>
          <w:bCs/>
          <w:sz w:val="20"/>
          <w:szCs w:val="20"/>
        </w:rPr>
        <w:t>argumento moral utilizado pelo Estado como justificador da adoção da pena é devido a sua função social, que seria a ‘ressocialização’ do apenado</w:t>
      </w:r>
      <w:r>
        <w:rPr>
          <w:rFonts w:ascii="Arial" w:eastAsia="Times New Roman" w:hAnsi="Arial" w:cs="Times New Roman"/>
          <w:sz w:val="20"/>
          <w:szCs w:val="20"/>
        </w:rPr>
        <w:t>, buscando-se sempre o retorno deste ao convívio em sociedade. Nos termos do artigo 1º, da LEP,  a execução penal tem por objetivo efetivar as disposições de sentença ou decisão criminal e proporcionar condições para a harmônica integração social do condenado e do internado.</w:t>
      </w:r>
      <w:r>
        <w:rPr>
          <w:rFonts w:ascii="Arial" w:hAnsi="Arial"/>
          <w:sz w:val="20"/>
          <w:szCs w:val="20"/>
        </w:rPr>
        <w:t xml:space="preserve"> </w:t>
      </w:r>
      <w:r>
        <w:rPr>
          <w:rFonts w:ascii="Arial" w:eastAsia="Times New Roman" w:hAnsi="Arial" w:cs="Times New Roman"/>
          <w:sz w:val="20"/>
          <w:szCs w:val="20"/>
        </w:rPr>
        <w:t xml:space="preserve">Contudo, nos termos do artigo 1º desta lei, a chamada harmônica integração social do condenado e do internado‖ não é alcançada. </w:t>
      </w:r>
      <w:r>
        <w:rPr>
          <w:rFonts w:ascii="Arial" w:eastAsia="Times New Roman" w:hAnsi="Arial" w:cs="Times New Roman"/>
          <w:b/>
          <w:bCs/>
          <w:sz w:val="20"/>
          <w:szCs w:val="20"/>
        </w:rPr>
        <w:t>O Estado como idealizado não se realiza. Embora estabeleça teorias e discursos que visam justificar a punição e determinar uma função social para pena”</w:t>
      </w:r>
      <w:r>
        <w:rPr>
          <w:rFonts w:ascii="Arial" w:eastAsia="Times New Roman" w:hAnsi="Arial" w:cs="Times New Roman"/>
          <w:sz w:val="20"/>
          <w:szCs w:val="20"/>
        </w:rPr>
        <w:t xml:space="preserve"> (R</w:t>
      </w:r>
      <w:r>
        <w:rPr>
          <w:rFonts w:ascii="Arial" w:hAnsi="Arial"/>
          <w:sz w:val="20"/>
          <w:szCs w:val="20"/>
        </w:rPr>
        <w:t>eis</w:t>
      </w:r>
      <w:r>
        <w:rPr>
          <w:rFonts w:ascii="Arial" w:eastAsia="Times New Roman" w:hAnsi="Arial" w:cs="Times New Roman"/>
          <w:sz w:val="20"/>
          <w:szCs w:val="20"/>
        </w:rPr>
        <w:t xml:space="preserve">, 2019 – </w:t>
      </w:r>
      <w:r>
        <w:rPr>
          <w:rFonts w:ascii="Arial" w:eastAsia="Times New Roman" w:hAnsi="Arial" w:cs="Times New Roman"/>
          <w:b/>
          <w:bCs/>
          <w:sz w:val="20"/>
          <w:szCs w:val="20"/>
        </w:rPr>
        <w:t>grifo nosso</w:t>
      </w:r>
      <w:r>
        <w:rPr>
          <w:rFonts w:ascii="Arial" w:eastAsia="Times New Roman" w:hAnsi="Arial" w:cs="Times New Roman"/>
          <w:sz w:val="20"/>
          <w:szCs w:val="20"/>
        </w:rPr>
        <w:t>).</w:t>
      </w:r>
    </w:p>
    <w:p w:rsidR="009D60B7" w:rsidRDefault="009D60B7">
      <w:pPr>
        <w:ind w:left="2268"/>
        <w:jc w:val="both"/>
        <w:rPr>
          <w:rFonts w:ascii="Arial" w:eastAsia="Times New Roman" w:hAnsi="Arial" w:cs="Times New Roman"/>
          <w:sz w:val="20"/>
          <w:szCs w:val="20"/>
        </w:rPr>
      </w:pPr>
    </w:p>
    <w:p w:rsidR="00661883" w:rsidRDefault="00425C09" w:rsidP="00661883">
      <w:pPr>
        <w:spacing w:line="360" w:lineRule="auto"/>
        <w:ind w:firstLine="850"/>
        <w:jc w:val="both"/>
        <w:rPr>
          <w:rFonts w:ascii="Arial" w:eastAsia="Times New Roman" w:hAnsi="Arial" w:cs="Times New Roman"/>
          <w:sz w:val="24"/>
          <w:szCs w:val="24"/>
        </w:rPr>
      </w:pPr>
      <w:r>
        <w:rPr>
          <w:rFonts w:ascii="Arial" w:eastAsia="Times New Roman" w:hAnsi="Arial" w:cs="Times New Roman"/>
          <w:sz w:val="24"/>
          <w:szCs w:val="24"/>
        </w:rPr>
        <w:t>Em termos jurídicos, isso significa que na persecução penal, após o cometimento de um delito, surge para o Estado o chamado direito de punir (</w:t>
      </w:r>
      <w:r>
        <w:rPr>
          <w:rFonts w:ascii="Arial" w:eastAsia="Times New Roman" w:hAnsi="Arial" w:cs="Times New Roman"/>
          <w:i/>
          <w:iCs/>
          <w:sz w:val="24"/>
          <w:szCs w:val="24"/>
        </w:rPr>
        <w:t>jus puniendi</w:t>
      </w:r>
      <w:r>
        <w:rPr>
          <w:rFonts w:ascii="Arial" w:eastAsia="Times New Roman" w:hAnsi="Arial" w:cs="Times New Roman"/>
          <w:sz w:val="24"/>
          <w:szCs w:val="24"/>
        </w:rPr>
        <w:t>), expressão que designa o poder-dever estatal de aplicar sanção ao infrator como forma de reafirmar a vigência da norma violada. O crime, nesse modelo, é concebido como afronta à lei e ao Estado, e não prioritariamente como lesão à vítima.</w:t>
      </w:r>
      <w:r>
        <w:rPr>
          <w:rFonts w:ascii="Arial" w:eastAsia="Times New Roman" w:hAnsi="Arial" w:cs="Times New Roman"/>
          <w:sz w:val="24"/>
          <w:szCs w:val="24"/>
        </w:rPr>
        <w:br/>
      </w:r>
      <w:r>
        <w:rPr>
          <w:rFonts w:ascii="Arial" w:eastAsia="Times New Roman" w:hAnsi="Arial" w:cs="Times New Roman"/>
          <w:sz w:val="24"/>
          <w:szCs w:val="24"/>
        </w:rPr>
        <w:tab/>
        <w:t xml:space="preserve">Como </w:t>
      </w:r>
      <w:r>
        <w:rPr>
          <w:rFonts w:ascii="Arial" w:hAnsi="Arial"/>
          <w:sz w:val="24"/>
          <w:szCs w:val="24"/>
        </w:rPr>
        <w:t xml:space="preserve">explicou </w:t>
      </w:r>
      <w:r>
        <w:rPr>
          <w:rFonts w:ascii="Arial" w:eastAsia="Times New Roman" w:hAnsi="Arial" w:cs="Times New Roman"/>
          <w:sz w:val="24"/>
          <w:szCs w:val="24"/>
        </w:rPr>
        <w:t xml:space="preserve"> Howard Zehr (2008), o sistema penal tradicional estrutura-se sob uma lógica essencialmente punitivista e retributiva, na qual a principal preocupação estatal é identificar o culpado e aplicar a punição prevista em lei. A vítima, embora diretamente atingida pelo fato criminoso, assume posição periférica no processo, sendo, neste contexto, frequentemente e de forma indevida, reduzida à condição de meio de prova. </w:t>
      </w:r>
      <w:r>
        <w:rPr>
          <w:rFonts w:ascii="Arial" w:eastAsia="Times New Roman" w:hAnsi="Arial" w:cs="Times New Roman"/>
          <w:sz w:val="24"/>
          <w:szCs w:val="24"/>
        </w:rPr>
        <w:br/>
      </w:r>
      <w:r>
        <w:rPr>
          <w:rFonts w:ascii="Arial" w:eastAsia="Times New Roman" w:hAnsi="Arial" w:cs="Times New Roman"/>
          <w:sz w:val="24"/>
          <w:szCs w:val="24"/>
        </w:rPr>
        <w:tab/>
        <w:t>Neste cenário, verifica-se, que a atenção no processo penal (ordinário/regular) tem como foco o acusado, o autor da conduta criminosa que está sendo apurada. A vítima ou ofendido é submetido a uma lógica subsidiária, inclusive a redação do artigo 201, §5º, do CPP reforça essa ideia, ao estabelecer que</w:t>
      </w:r>
      <w:r w:rsidR="00661883">
        <w:rPr>
          <w:rFonts w:ascii="Arial" w:eastAsia="Times New Roman" w:hAnsi="Arial" w:cs="Times New Roman"/>
          <w:sz w:val="24"/>
          <w:szCs w:val="24"/>
        </w:rPr>
        <w:t>:</w:t>
      </w:r>
    </w:p>
    <w:p w:rsidR="00661883" w:rsidRPr="00661883" w:rsidRDefault="00425C09" w:rsidP="00661883">
      <w:pPr>
        <w:ind w:left="2268"/>
        <w:jc w:val="both"/>
        <w:rPr>
          <w:rFonts w:ascii="Arial" w:eastAsia="Times New Roman" w:hAnsi="Arial" w:cs="Times New Roman"/>
          <w:sz w:val="20"/>
          <w:szCs w:val="20"/>
        </w:rPr>
      </w:pPr>
      <w:r w:rsidRPr="00661883">
        <w:rPr>
          <w:rFonts w:ascii="Arial" w:eastAsia="Times New Roman" w:hAnsi="Arial" w:cs="Times New Roman"/>
          <w:sz w:val="20"/>
          <w:szCs w:val="20"/>
        </w:rPr>
        <w:t xml:space="preserve">artigo 201, §5º. </w:t>
      </w:r>
      <w:r w:rsidRPr="00661883">
        <w:rPr>
          <w:rFonts w:ascii="Arial" w:eastAsia="Times New Roman" w:hAnsi="Arial" w:cs="Times New Roman"/>
          <w:b/>
          <w:bCs/>
          <w:sz w:val="20"/>
          <w:szCs w:val="20"/>
        </w:rPr>
        <w:t>Se</w:t>
      </w:r>
      <w:r w:rsidRPr="00661883">
        <w:rPr>
          <w:rFonts w:ascii="Arial" w:hAnsi="Arial"/>
          <w:b/>
          <w:bCs/>
          <w:sz w:val="20"/>
          <w:szCs w:val="20"/>
        </w:rPr>
        <w:t xml:space="preserve"> o juiz entender necessário</w:t>
      </w:r>
      <w:r w:rsidRPr="00661883">
        <w:rPr>
          <w:rFonts w:ascii="Arial" w:hAnsi="Arial"/>
          <w:sz w:val="20"/>
          <w:szCs w:val="20"/>
        </w:rPr>
        <w:t>,</w:t>
      </w:r>
      <w:r w:rsidRPr="00661883">
        <w:rPr>
          <w:rFonts w:ascii="Arial" w:eastAsia="Times New Roman" w:hAnsi="Arial" w:cs="Times New Roman"/>
          <w:sz w:val="20"/>
          <w:szCs w:val="20"/>
        </w:rPr>
        <w:t xml:space="preserve"> poderá encaminhar o ofendido para atendimento multidisciplinar, especialmente nas áreas psicossocial, de assistência jurídica e de saúde, a expensas do ofensor ou do Estado” (Brasil, 1941,</w:t>
      </w:r>
      <w:r w:rsidRPr="00661883">
        <w:rPr>
          <w:rFonts w:ascii="Arial" w:eastAsia="Times New Roman" w:hAnsi="Arial" w:cs="Times New Roman"/>
          <w:i/>
          <w:iCs/>
          <w:sz w:val="20"/>
          <w:szCs w:val="20"/>
        </w:rPr>
        <w:t xml:space="preserve"> online</w:t>
      </w:r>
      <w:r w:rsidRPr="00661883">
        <w:rPr>
          <w:rFonts w:ascii="Arial" w:eastAsia="Times New Roman" w:hAnsi="Arial" w:cs="Times New Roman"/>
          <w:sz w:val="20"/>
          <w:szCs w:val="20"/>
        </w:rPr>
        <w:t xml:space="preserve"> – </w:t>
      </w:r>
      <w:r w:rsidRPr="00661883">
        <w:rPr>
          <w:rFonts w:ascii="Arial" w:eastAsia="Times New Roman" w:hAnsi="Arial" w:cs="Times New Roman"/>
          <w:b/>
          <w:bCs/>
          <w:sz w:val="20"/>
          <w:szCs w:val="20"/>
        </w:rPr>
        <w:t>grifo nosso</w:t>
      </w:r>
      <w:r w:rsidRPr="00661883">
        <w:rPr>
          <w:rFonts w:ascii="Arial" w:eastAsia="Times New Roman" w:hAnsi="Arial" w:cs="Times New Roman"/>
          <w:sz w:val="20"/>
          <w:szCs w:val="20"/>
        </w:rPr>
        <w:t>).</w:t>
      </w:r>
    </w:p>
    <w:p w:rsidR="009D60B7" w:rsidRDefault="00425C09" w:rsidP="00661883">
      <w:pPr>
        <w:spacing w:line="360" w:lineRule="auto"/>
        <w:jc w:val="both"/>
        <w:rPr>
          <w:rFonts w:ascii="Arial" w:eastAsia="Times New Roman" w:hAnsi="Arial" w:cs="Times New Roman"/>
          <w:sz w:val="24"/>
          <w:szCs w:val="24"/>
        </w:rPr>
      </w:pPr>
      <w:r>
        <w:rPr>
          <w:rFonts w:ascii="Arial" w:hAnsi="Arial"/>
          <w:sz w:val="24"/>
          <w:szCs w:val="24"/>
        </w:rPr>
        <w:br/>
      </w:r>
      <w:r>
        <w:rPr>
          <w:rFonts w:ascii="Arial" w:hAnsi="Arial"/>
          <w:sz w:val="24"/>
          <w:szCs w:val="24"/>
        </w:rPr>
        <w:tab/>
      </w:r>
      <w:r>
        <w:rPr>
          <w:rFonts w:ascii="Arial" w:eastAsia="Times New Roman" w:hAnsi="Arial" w:cs="Times New Roman"/>
          <w:sz w:val="24"/>
          <w:szCs w:val="24"/>
        </w:rPr>
        <w:t xml:space="preserve">A prioridade do Estado, portanto, volta-se à correção do infrator e à imposição da sanção, deixando em segundo plano as necessidades emocionais, materiais e simbólicas do vitimado. Como observa Zehr (2008), o modelo retributivo cria uma </w:t>
      </w:r>
      <w:r>
        <w:rPr>
          <w:rFonts w:ascii="Arial" w:eastAsia="Times New Roman" w:hAnsi="Arial" w:cs="Times New Roman"/>
          <w:sz w:val="24"/>
          <w:szCs w:val="24"/>
        </w:rPr>
        <w:lastRenderedPageBreak/>
        <w:t>distância entre o sofrimento humano e o procedimento judicial, transformando experiências traumáticas em atos processuais burocráticos.</w:t>
      </w:r>
      <w:r>
        <w:rPr>
          <w:rFonts w:ascii="Arial" w:eastAsia="Times New Roman" w:hAnsi="Arial" w:cs="Times New Roman"/>
          <w:sz w:val="24"/>
          <w:szCs w:val="24"/>
        </w:rPr>
        <w:br/>
      </w:r>
      <w:r>
        <w:rPr>
          <w:rFonts w:ascii="Arial" w:eastAsia="Times New Roman" w:hAnsi="Arial" w:cs="Times New Roman"/>
          <w:sz w:val="24"/>
          <w:szCs w:val="24"/>
        </w:rPr>
        <w:tab/>
        <w:t xml:space="preserve">Essa estrutura verticalizada do processo penal gera, dentre outros, efeitos relevantes, principalmente, a não participação da vítima na construção da solução do conflito, a desconsideração de suas necessidades no momento decisório e a ausência de espaço adequado para a expressão de sua dor ou expectativa de reparação. </w:t>
      </w:r>
    </w:p>
    <w:p w:rsidR="009D60B7" w:rsidRDefault="00425C09">
      <w:pPr>
        <w:spacing w:line="360" w:lineRule="auto"/>
        <w:ind w:firstLine="850"/>
        <w:jc w:val="both"/>
        <w:rPr>
          <w:rFonts w:ascii="Arial" w:hAnsi="Arial"/>
          <w:sz w:val="24"/>
          <w:szCs w:val="24"/>
        </w:rPr>
      </w:pPr>
      <w:r>
        <w:rPr>
          <w:rFonts w:ascii="Arial" w:eastAsia="Times New Roman" w:hAnsi="Arial" w:cs="Times New Roman"/>
          <w:sz w:val="24"/>
          <w:szCs w:val="24"/>
        </w:rPr>
        <w:t xml:space="preserve">Tais problemas podem ser atribuídos a dificuldade de conceituação de um único sentido do que é vítima. Shecaira (2020) debate sobre a possibilidade do conceito jurídico-geral representar “aquele que sofre diretamente a ofensa ou ameaça, ao bem tutelado pelo direito” (Shecaira, 2020), abordando ainda o conceito “jurídico-penal-restrito, designando o indivíduo que sofre diretamente as consequências da violação da norma; e, por fim, o sentido “jurídico-penal-amplo, que abrange o indivíduo e a comunidade” (Shecaira, 2020), com a ação criminosa. </w:t>
      </w:r>
      <w:r>
        <w:rPr>
          <w:rFonts w:ascii="Arial" w:eastAsia="Times New Roman" w:hAnsi="Arial" w:cs="Times New Roman"/>
          <w:sz w:val="24"/>
          <w:szCs w:val="24"/>
        </w:rPr>
        <w:br/>
      </w:r>
      <w:r>
        <w:rPr>
          <w:rFonts w:ascii="Arial" w:eastAsia="Times New Roman" w:hAnsi="Arial" w:cs="Times New Roman"/>
          <w:sz w:val="24"/>
          <w:szCs w:val="24"/>
        </w:rPr>
        <w:tab/>
        <w:t>Nessa linha, é importante destacar, que não foi a dogmática-jurídica quem colocou a vítima em papel de destaque. Conforme apontado por Shecaira (2020):</w:t>
      </w:r>
    </w:p>
    <w:p w:rsidR="009D60B7" w:rsidRDefault="00425C09">
      <w:pPr>
        <w:spacing w:before="240" w:after="240"/>
        <w:ind w:left="2268"/>
        <w:jc w:val="both"/>
        <w:rPr>
          <w:rFonts w:ascii="Arial" w:hAnsi="Arial"/>
          <w:sz w:val="20"/>
          <w:szCs w:val="20"/>
        </w:rPr>
      </w:pPr>
      <w:r>
        <w:rPr>
          <w:rFonts w:ascii="Arial" w:eastAsia="Times New Roman" w:hAnsi="Arial" w:cs="Times New Roman"/>
          <w:sz w:val="20"/>
          <w:szCs w:val="20"/>
        </w:rPr>
        <w:t>A vítima, nos dois últimos séculos, foi quase totalmente menosprezada pelo direito penal. Somente com os estudos criminológicos é que seu papel no processo penal foi resgatado. Tem-se convencionado dividir os tempos em três grandes momentos no que concerne ao protagonismo das vítimas nos estudos penais: a idade do “ouro da vítima”; a neutralização do poder da vítima; e a revalorização do papel da vítima. (Shecaira, 2020</w:t>
      </w:r>
      <w:r>
        <w:rPr>
          <w:rFonts w:ascii="Arial" w:eastAsia="Times New Roman" w:hAnsi="Arial" w:cs="Times New Roman"/>
          <w:sz w:val="20"/>
          <w:szCs w:val="20"/>
          <w:lang w:val="pt-BR"/>
        </w:rPr>
        <w:t>, p.25</w:t>
      </w:r>
      <w:r>
        <w:rPr>
          <w:rFonts w:ascii="Arial" w:eastAsia="Times New Roman" w:hAnsi="Arial" w:cs="Times New Roman"/>
          <w:sz w:val="20"/>
          <w:szCs w:val="20"/>
        </w:rPr>
        <w:t xml:space="preserve">)  </w:t>
      </w:r>
    </w:p>
    <w:p w:rsidR="009D60B7" w:rsidRDefault="00425C09">
      <w:pPr>
        <w:spacing w:line="360" w:lineRule="auto"/>
        <w:ind w:firstLine="850"/>
        <w:jc w:val="both"/>
        <w:rPr>
          <w:rFonts w:ascii="Arial" w:eastAsia="Times New Roman" w:hAnsi="Arial" w:cs="Times New Roman"/>
          <w:sz w:val="24"/>
          <w:szCs w:val="24"/>
        </w:rPr>
      </w:pPr>
      <w:r>
        <w:rPr>
          <w:rFonts w:ascii="Arial" w:eastAsia="Times New Roman" w:hAnsi="Arial" w:cs="Times New Roman"/>
          <w:sz w:val="24"/>
          <w:szCs w:val="24"/>
        </w:rPr>
        <w:t>Além disso, o sistema penal pode produzir o fenômeno da revitimização</w:t>
      </w:r>
      <w:r>
        <w:rPr>
          <w:rFonts w:ascii="Arial" w:eastAsia="Times New Roman" w:hAnsi="Arial" w:cs="Times New Roman"/>
          <w:b/>
          <w:bCs/>
          <w:sz w:val="24"/>
          <w:szCs w:val="24"/>
        </w:rPr>
        <w:t xml:space="preserve">, </w:t>
      </w:r>
      <w:r>
        <w:rPr>
          <w:rFonts w:ascii="Arial" w:eastAsia="Times New Roman" w:hAnsi="Arial" w:cs="Times New Roman"/>
          <w:sz w:val="24"/>
          <w:szCs w:val="24"/>
        </w:rPr>
        <w:t xml:space="preserve">também chamada vitimização secundária. Segundo Shecaira (2020), tem-se que a denominada vitimização secundária como “um derivado das relações existentes entre as vítimas primárias”, quem sofre diretamente com o crime “e o Estado em face do aparato repressivo (polícia, burocratização do sistema, falta de sensibilidade dos operadores do direito envolvidos em alguns processos bastante delicados etc)” (Shecaira, 2020). </w:t>
      </w:r>
    </w:p>
    <w:p w:rsidR="009D60B7" w:rsidRDefault="00425C09">
      <w:pPr>
        <w:spacing w:line="360" w:lineRule="auto"/>
        <w:ind w:firstLine="850"/>
        <w:jc w:val="both"/>
        <w:rPr>
          <w:rFonts w:ascii="Arial" w:hAnsi="Arial"/>
          <w:sz w:val="24"/>
          <w:szCs w:val="24"/>
        </w:rPr>
      </w:pPr>
      <w:r>
        <w:rPr>
          <w:rFonts w:ascii="Arial" w:eastAsia="Times New Roman" w:hAnsi="Arial" w:cs="Times New Roman"/>
          <w:sz w:val="24"/>
          <w:szCs w:val="24"/>
        </w:rPr>
        <w:t>Assim, tem-se que a denominada vitimização secundária ocorre quando a vítima sofre novos danos em razão do tratamento institucional recebido. Conforme aponta Andrade (2003), a exposição desnecessária, a repetição de depoimentos, a desconfiança institucional e a morosidade processual contribuem para a produção de novos traumas.</w:t>
      </w:r>
      <w:r>
        <w:rPr>
          <w:rFonts w:ascii="Arial" w:eastAsia="Times New Roman" w:hAnsi="Arial" w:cs="Times New Roman"/>
          <w:sz w:val="24"/>
          <w:szCs w:val="24"/>
        </w:rPr>
        <w:br/>
      </w:r>
      <w:r>
        <w:rPr>
          <w:rFonts w:ascii="Arial" w:eastAsia="Times New Roman" w:hAnsi="Arial" w:cs="Times New Roman"/>
          <w:sz w:val="24"/>
          <w:szCs w:val="24"/>
        </w:rPr>
        <w:tab/>
        <w:t xml:space="preserve">Diante dessas limitações estruturais e da proeminência do modelo retributivo, surge a necessidade de repensar o papel da vítima no sistema penal contemporâneo. A redescoberta da vítima no cenário jurídico é fenômeno relativamente recente, </w:t>
      </w:r>
      <w:r>
        <w:rPr>
          <w:rFonts w:ascii="Arial" w:eastAsia="Times New Roman" w:hAnsi="Arial" w:cs="Times New Roman"/>
          <w:sz w:val="24"/>
          <w:szCs w:val="24"/>
        </w:rPr>
        <w:lastRenderedPageBreak/>
        <w:t>impulsionado pelo desenvolvimento da vitimologia no século XX. Para Shecaira (2020), o pioneiro nos estudos da vitimologia foi Benjamin Mendelsohn (1956), que por sua vez, defendia que a vítima não poderia ser tratada como categoria homogênea, mas como sujeito multifacetado, que ocupa diferentes posições no fenômeno criminal.</w:t>
      </w:r>
      <w:r>
        <w:rPr>
          <w:rFonts w:ascii="Arial" w:eastAsia="Times New Roman" w:hAnsi="Arial" w:cs="Times New Roman"/>
          <w:sz w:val="24"/>
          <w:szCs w:val="24"/>
        </w:rPr>
        <w:br/>
      </w:r>
      <w:r>
        <w:rPr>
          <w:rFonts w:ascii="Arial" w:eastAsia="Times New Roman" w:hAnsi="Arial" w:cs="Times New Roman"/>
          <w:sz w:val="24"/>
          <w:szCs w:val="24"/>
        </w:rPr>
        <w:tab/>
        <w:t>No mesmo sentido, Molina (2001) e Zaffaroni (2003) sustentam que a valorização da vítima representa avanço civilizatório significativo. Para esses autores, o sistema penal não deve limitar-se à punição do infrator, mas também buscar restaurar o vínculo social rompido pelo delito, assegurando à vítima participação efetiva, possibilidade de ressarcimento e proteção de sua dignidade.</w:t>
      </w:r>
      <w:r>
        <w:rPr>
          <w:rFonts w:ascii="Arial" w:eastAsia="Times New Roman" w:hAnsi="Arial" w:cs="Times New Roman"/>
          <w:sz w:val="24"/>
          <w:szCs w:val="24"/>
        </w:rPr>
        <w:br/>
      </w:r>
      <w:r>
        <w:rPr>
          <w:rFonts w:ascii="Arial" w:eastAsia="Times New Roman" w:hAnsi="Arial" w:cs="Times New Roman"/>
          <w:sz w:val="24"/>
          <w:szCs w:val="24"/>
        </w:rPr>
        <w:tab/>
        <w:t>É nesse contexto que emerge a Justiça Restaurativa. Embora possua raízes em práticas comunitárias ancestrais, sua sistematização moderna ocorreu na década de 1970 em comunidades indígenas da Nova Zelândia e da América do Norte, com experiências envolvendo jovens infratores nesses países (Zehr, 2008).</w:t>
      </w:r>
      <w:r>
        <w:rPr>
          <w:rFonts w:ascii="Arial" w:eastAsia="Times New Roman" w:hAnsi="Arial" w:cs="Times New Roman"/>
          <w:sz w:val="24"/>
          <w:szCs w:val="24"/>
        </w:rPr>
        <w:br/>
      </w:r>
      <w:r>
        <w:rPr>
          <w:rFonts w:ascii="Arial" w:eastAsia="Times New Roman" w:hAnsi="Arial" w:cs="Times New Roman"/>
          <w:sz w:val="24"/>
          <w:szCs w:val="24"/>
        </w:rPr>
        <w:tab/>
        <w:t>Internacionalmente, seu reconhecimento formal ocorreu com a Resolução nº 2002/12 do Conselho Econômico e Social das Nações Unidas (ECOSOC), que definiu princípios básicos para programas restaurativos em matéria criminal. Segundo essa Resolução, Justiça Restaurativa é o processo no qual vítima, ofensor e, quando apropriado, membros da comunidade participam ativamente da resolução das consequências do crime, com auxílio de facilitador imparcial.</w:t>
      </w:r>
      <w:r>
        <w:rPr>
          <w:rFonts w:ascii="Arial" w:eastAsia="Times New Roman" w:hAnsi="Arial" w:cs="Times New Roman"/>
          <w:sz w:val="24"/>
          <w:szCs w:val="24"/>
        </w:rPr>
        <w:br/>
      </w:r>
      <w:r>
        <w:rPr>
          <w:rFonts w:ascii="Arial" w:eastAsia="Times New Roman" w:hAnsi="Arial" w:cs="Times New Roman"/>
          <w:sz w:val="24"/>
          <w:szCs w:val="24"/>
        </w:rPr>
        <w:tab/>
        <w:t>No Brasil, a institucionalização ocorreu principalmente por meio da Resolução nº 225/2016 do Conselho Nacional de Justiça (CNJ), que a define como conjunto de práticas baseadas no diálogo, na responsabilização e na reparação. A Justiça Restaurativa propõe verdadeira mudança paradigmática. Para Zehr (2008), o crime não deve ser compreendido apenas como violação da norma, mas como ruptura de relações humanas.</w:t>
      </w:r>
      <w:r>
        <w:rPr>
          <w:rFonts w:ascii="Arial" w:eastAsia="Times New Roman" w:hAnsi="Arial" w:cs="Times New Roman"/>
          <w:sz w:val="24"/>
          <w:szCs w:val="24"/>
        </w:rPr>
        <w:br/>
      </w:r>
      <w:r>
        <w:rPr>
          <w:rFonts w:ascii="Arial" w:eastAsia="Times New Roman" w:hAnsi="Arial" w:cs="Times New Roman"/>
          <w:sz w:val="24"/>
          <w:szCs w:val="24"/>
        </w:rPr>
        <w:tab/>
        <w:t>Enquanto para a justiça retributiva-convencional a pergunta é quem cometeu o crime, qual lei foi violada e qual punição deve ser aplicada. Para a Justiça Restaurativa indaga-se quem foi afetado, quais são suas necessidades e como reparar o dano causado. Trata-se de modelo que privilegia o diálogo, a responsabilização ativa e a reparação integral.</w:t>
      </w:r>
      <w:r>
        <w:rPr>
          <w:rFonts w:ascii="Arial" w:eastAsia="Times New Roman" w:hAnsi="Arial" w:cs="Times New Roman"/>
          <w:sz w:val="24"/>
          <w:szCs w:val="24"/>
        </w:rPr>
        <w:br/>
      </w:r>
      <w:r>
        <w:rPr>
          <w:rFonts w:ascii="Arial" w:eastAsia="Times New Roman" w:hAnsi="Arial" w:cs="Times New Roman"/>
          <w:sz w:val="24"/>
          <w:szCs w:val="24"/>
        </w:rPr>
        <w:tab/>
        <w:t xml:space="preserve">Historicamente, a palavra da vítima foi tratada com reserva no processo penal, em razão do receio de parcialidade e da compreensão tradicional de que sua atuação deveria limitar-se à condição de meio de prova. No modelo retributivo clássico, a credibilidade do ofendido era frequentemente relativizada, especialmente diante da </w:t>
      </w:r>
      <w:r>
        <w:rPr>
          <w:rFonts w:ascii="Arial" w:eastAsia="Times New Roman" w:hAnsi="Arial" w:cs="Times New Roman"/>
          <w:sz w:val="24"/>
          <w:szCs w:val="24"/>
        </w:rPr>
        <w:lastRenderedPageBreak/>
        <w:t>centralidade conferida à figura do acusado e às garantias processuais a ele dirigidas.</w:t>
      </w:r>
      <w:r>
        <w:rPr>
          <w:rFonts w:ascii="Arial" w:eastAsia="Times New Roman" w:hAnsi="Arial" w:cs="Times New Roman"/>
          <w:sz w:val="24"/>
          <w:szCs w:val="24"/>
        </w:rPr>
        <w:br/>
      </w:r>
      <w:r>
        <w:rPr>
          <w:rFonts w:ascii="Arial" w:eastAsia="Times New Roman" w:hAnsi="Arial" w:cs="Times New Roman"/>
          <w:sz w:val="24"/>
          <w:szCs w:val="24"/>
        </w:rPr>
        <w:tab/>
        <w:t>Contudo, a evolução doutrinária e jurisprudencial passou a reconhecer maior relevância à manifestação da vítima, sobretudo em delitos praticados na clandestinidade, nos quais sua narrativa assume papel significativo na reconstrução dos fatos, desde que analisada em consonância com o conjunto probatório.</w:t>
      </w:r>
      <w:r>
        <w:rPr>
          <w:rFonts w:ascii="Arial" w:eastAsia="Times New Roman" w:hAnsi="Arial" w:cs="Times New Roman"/>
          <w:b/>
          <w:bCs/>
          <w:sz w:val="24"/>
          <w:szCs w:val="24"/>
        </w:rPr>
        <w:br/>
      </w:r>
      <w:r>
        <w:rPr>
          <w:rFonts w:ascii="Arial" w:eastAsia="Times New Roman" w:hAnsi="Arial" w:cs="Times New Roman"/>
          <w:b/>
          <w:bCs/>
          <w:sz w:val="24"/>
          <w:szCs w:val="24"/>
        </w:rPr>
        <w:tab/>
      </w:r>
      <w:r>
        <w:rPr>
          <w:rFonts w:ascii="Arial" w:eastAsia="Times New Roman" w:hAnsi="Arial" w:cs="Times New Roman"/>
          <w:sz w:val="24"/>
          <w:szCs w:val="24"/>
        </w:rPr>
        <w:t>Esse avanço demonstra valorização progressiva da voz da vítima, ainda que inserida na lógica probatória tradicional. No plano legislativo, o próprio Código de Processo Penal prevê garantias específicas ao ofendido, como dispõe o art. 201 do CPP, assegurando-lhe participação no processo, comunicação dos atos relevantes e proteção de sua intimidade. Ainda, o art. 217 do CPP autoriza a adoção de medidas para evitar constrangimento ou humilhação durante a audiência.</w:t>
      </w:r>
      <w:r>
        <w:rPr>
          <w:rFonts w:ascii="Arial" w:eastAsia="Times New Roman" w:hAnsi="Arial" w:cs="Times New Roman"/>
          <w:sz w:val="24"/>
          <w:szCs w:val="24"/>
        </w:rPr>
        <w:br/>
      </w:r>
      <w:r>
        <w:rPr>
          <w:rFonts w:ascii="Arial" w:eastAsia="Times New Roman" w:hAnsi="Arial" w:cs="Times New Roman"/>
          <w:sz w:val="24"/>
          <w:szCs w:val="24"/>
        </w:rPr>
        <w:tab/>
        <w:t>No âmbito do Código Penal (194</w:t>
      </w:r>
      <w:r>
        <w:rPr>
          <w:rFonts w:ascii="Arial" w:hAnsi="Arial"/>
          <w:sz w:val="24"/>
          <w:szCs w:val="24"/>
        </w:rPr>
        <w:t>0)</w:t>
      </w:r>
      <w:r>
        <w:rPr>
          <w:rFonts w:ascii="Arial" w:eastAsia="Times New Roman" w:hAnsi="Arial" w:cs="Times New Roman"/>
          <w:sz w:val="24"/>
          <w:szCs w:val="24"/>
        </w:rPr>
        <w:t>, o art. 91, I, do CP estabelece como efeito da condenação a obrigação de reparar o dano causado, evidenciando que a responsabilização penal também abrange a dimensão reparatória.</w:t>
      </w:r>
      <w:r>
        <w:rPr>
          <w:rFonts w:ascii="Arial" w:eastAsia="Times New Roman" w:hAnsi="Arial" w:cs="Times New Roman"/>
          <w:sz w:val="24"/>
          <w:szCs w:val="24"/>
        </w:rPr>
        <w:br/>
      </w:r>
      <w:r>
        <w:rPr>
          <w:rFonts w:ascii="Arial" w:eastAsia="Times New Roman" w:hAnsi="Arial" w:cs="Times New Roman"/>
          <w:sz w:val="24"/>
          <w:szCs w:val="24"/>
        </w:rPr>
        <w:tab/>
        <w:t>Todavia, embora existam previsões normativas que reconheçam direitos da vítima, sua efetividade prática ainda encontra entraves estruturais, como a permanência de uma cultura jurídica centrada na punição e a insuficiente estrutura institucional para atendimento humanizado da vítima.</w:t>
      </w:r>
      <w:r>
        <w:rPr>
          <w:rFonts w:ascii="Arial" w:eastAsia="Times New Roman" w:hAnsi="Arial" w:cs="Times New Roman"/>
          <w:sz w:val="24"/>
          <w:szCs w:val="24"/>
        </w:rPr>
        <w:br/>
      </w:r>
      <w:r>
        <w:rPr>
          <w:rFonts w:ascii="Arial" w:eastAsia="Times New Roman" w:hAnsi="Arial" w:cs="Times New Roman"/>
          <w:sz w:val="24"/>
          <w:szCs w:val="24"/>
        </w:rPr>
        <w:tab/>
        <w:t>Na Justiça Restaurativa, a vítima assume posição central, participando ativamente da construção da solução do conflito. Conforme destaca Zehr (2008), dar voz à vítima é condição essencial para uma justiça verdadeiramente humana. A teoria de Pranis (2010), referência em práticas restaurativas, reforça que a reparação não se limita à compensação material, mas envolve reconstrução do tecido social e emocional.</w:t>
      </w:r>
      <w:r>
        <w:rPr>
          <w:rFonts w:ascii="Arial" w:eastAsia="Times New Roman" w:hAnsi="Arial" w:cs="Times New Roman"/>
          <w:b/>
          <w:bCs/>
          <w:sz w:val="24"/>
          <w:szCs w:val="24"/>
        </w:rPr>
        <w:br/>
      </w:r>
      <w:r>
        <w:rPr>
          <w:rFonts w:ascii="Arial" w:eastAsia="Times New Roman" w:hAnsi="Arial" w:cs="Times New Roman"/>
          <w:b/>
          <w:bCs/>
          <w:sz w:val="24"/>
          <w:szCs w:val="24"/>
        </w:rPr>
        <w:tab/>
      </w:r>
      <w:r>
        <w:rPr>
          <w:rFonts w:ascii="Arial" w:eastAsia="Times New Roman" w:hAnsi="Arial" w:cs="Times New Roman"/>
          <w:sz w:val="24"/>
          <w:szCs w:val="24"/>
        </w:rPr>
        <w:t>Apesar de seu potencial transformador, a Justiça Restaurativa enfrenta desafios no Brasil, dentre eles a insuficiência estrutural, a capacitação limitada de facilitadores, a resistência cultural de operadores do Direito e o debate quanto à sua aplicação em crimes graves. Ainda assim, representa avanço significativo ao deslocar o foco exclusivo da punição para a reparação, acolhimento e dignidade humana.</w:t>
      </w:r>
      <w:r>
        <w:rPr>
          <w:rFonts w:ascii="Arial" w:eastAsia="Times New Roman" w:hAnsi="Arial" w:cs="Times New Roman"/>
          <w:b/>
          <w:bCs/>
          <w:sz w:val="24"/>
          <w:szCs w:val="24"/>
        </w:rPr>
        <w:br/>
      </w:r>
      <w:r>
        <w:rPr>
          <w:rFonts w:ascii="Arial" w:eastAsia="Times New Roman" w:hAnsi="Arial" w:cs="Times New Roman"/>
          <w:b/>
          <w:bCs/>
          <w:sz w:val="24"/>
          <w:szCs w:val="24"/>
        </w:rPr>
        <w:tab/>
      </w:r>
      <w:r>
        <w:rPr>
          <w:rFonts w:ascii="Arial" w:eastAsia="Times New Roman" w:hAnsi="Arial" w:cs="Times New Roman"/>
          <w:sz w:val="24"/>
          <w:szCs w:val="24"/>
        </w:rPr>
        <w:t xml:space="preserve">Diante do exposto, verifica-se que o modelo retributivo, embora essencial para a segurança jurídica, revela-se insuficiente para atender às múltiplas necessidades da vítima. A Justiça Restaurativa surge como alternativa complementar, promovendo escuta, responsabilização ativa e reparação integral. Ao posicionar a vítima no centro do processo, contribui para uma justiça mais humana, participativa e socialmente eficaz. Mas, para entender melhor a conjuntura da justiça restaurativa faz-se necessário </w:t>
      </w:r>
      <w:r>
        <w:rPr>
          <w:rFonts w:ascii="Arial" w:eastAsia="Times New Roman" w:hAnsi="Arial" w:cs="Times New Roman"/>
          <w:sz w:val="24"/>
          <w:szCs w:val="24"/>
        </w:rPr>
        <w:lastRenderedPageBreak/>
        <w:t xml:space="preserve">compreender sobre a realidade do sistema penal e suas características. </w:t>
      </w:r>
    </w:p>
    <w:p w:rsidR="009D60B7" w:rsidRPr="00AA63EC" w:rsidRDefault="00425C09">
      <w:pPr>
        <w:spacing w:before="240" w:after="240" w:line="360" w:lineRule="auto"/>
        <w:jc w:val="both"/>
        <w:rPr>
          <w:rFonts w:ascii="Arial" w:hAnsi="Arial"/>
          <w:sz w:val="24"/>
          <w:szCs w:val="24"/>
        </w:rPr>
      </w:pPr>
      <w:r w:rsidRPr="00AA63EC">
        <w:rPr>
          <w:rFonts w:ascii="Arial" w:eastAsia="Times New Roman" w:hAnsi="Arial" w:cs="Times New Roman"/>
          <w:bCs/>
          <w:sz w:val="24"/>
          <w:szCs w:val="24"/>
        </w:rPr>
        <w:t>2.  O SISTEMA PENAL TRADICIONAL BRASILEIRO E SUAS LIMITAÇÕES</w:t>
      </w:r>
    </w:p>
    <w:p w:rsidR="009D60B7" w:rsidRDefault="00425C09">
      <w:pPr>
        <w:spacing w:before="240" w:after="240" w:line="360" w:lineRule="auto"/>
        <w:ind w:firstLine="855"/>
        <w:jc w:val="both"/>
        <w:rPr>
          <w:rFonts w:ascii="Arial" w:hAnsi="Arial"/>
          <w:sz w:val="24"/>
          <w:szCs w:val="24"/>
        </w:rPr>
      </w:pPr>
      <w:r>
        <w:rPr>
          <w:rFonts w:ascii="Arial" w:eastAsia="Times New Roman" w:hAnsi="Arial" w:cs="Times New Roman"/>
          <w:sz w:val="24"/>
          <w:szCs w:val="24"/>
        </w:rPr>
        <w:t xml:space="preserve">O sistema penal brasileiro estrutura-se historicamente sob uma racionalidade predominantemente retributiva, na qual a pena privativa de liberdade assume posição central como principal resposta estatal à prática delitiva. Esse modelo encontra fundamento na concepção clássica do Direito Penal, segundo a qual o crime é compreendido como violação à ordem jurídica e à autoridade do Estado, deslocando o conflito de sua dimensão interpessoal para o plano institucional estatal. </w:t>
      </w:r>
      <w:r>
        <w:rPr>
          <w:rFonts w:ascii="Arial" w:eastAsia="Times New Roman" w:hAnsi="Arial" w:cs="Times New Roman"/>
          <w:sz w:val="24"/>
          <w:szCs w:val="24"/>
        </w:rPr>
        <w:br/>
      </w:r>
      <w:r>
        <w:rPr>
          <w:rFonts w:ascii="Arial" w:eastAsia="Times New Roman" w:hAnsi="Arial" w:cs="Times New Roman"/>
          <w:sz w:val="24"/>
          <w:szCs w:val="24"/>
        </w:rPr>
        <w:tab/>
        <w:t>Sob uma perspectiva sociológica, o sistema penal pode ser compreendido como mecanismo de estabilização normativa, conforme a teoria dos sistemas, o que reforça sua tendência de priorizar a manutenção da ordem social em detrimento da individualização dos conflitos.</w:t>
      </w:r>
      <w:r>
        <w:rPr>
          <w:rFonts w:ascii="Arial" w:eastAsia="Times New Roman" w:hAnsi="Arial" w:cs="Times New Roman"/>
          <w:sz w:val="24"/>
          <w:szCs w:val="24"/>
        </w:rPr>
        <w:tab/>
      </w:r>
      <w:r>
        <w:rPr>
          <w:rFonts w:ascii="Arial" w:eastAsia="Times New Roman" w:hAnsi="Arial" w:cs="Times New Roman"/>
          <w:sz w:val="24"/>
          <w:szCs w:val="24"/>
        </w:rPr>
        <w:tab/>
      </w:r>
      <w:r>
        <w:rPr>
          <w:rFonts w:ascii="Arial" w:eastAsia="Times New Roman" w:hAnsi="Arial" w:cs="Times New Roman"/>
          <w:sz w:val="24"/>
          <w:szCs w:val="24"/>
        </w:rPr>
        <w:br/>
      </w:r>
      <w:r>
        <w:rPr>
          <w:rFonts w:ascii="Arial" w:eastAsia="Times New Roman" w:hAnsi="Arial" w:cs="Times New Roman"/>
          <w:sz w:val="24"/>
          <w:szCs w:val="24"/>
        </w:rPr>
        <w:tab/>
        <w:t>Conforme observa Bittencourt (2019), o sistema penal contemporâneo tende a tratar a punição como resposta imediata ao crime, afastando-se de uma análise crítica e contextual da criminalidade.</w:t>
      </w:r>
      <w:r>
        <w:rPr>
          <w:rFonts w:ascii="Arial" w:eastAsia="Times New Roman" w:hAnsi="Arial" w:cs="Times New Roman"/>
          <w:sz w:val="24"/>
          <w:szCs w:val="24"/>
        </w:rPr>
        <w:br/>
      </w:r>
      <w:r>
        <w:rPr>
          <w:rFonts w:ascii="Arial" w:eastAsia="Times New Roman" w:hAnsi="Arial" w:cs="Times New Roman"/>
          <w:sz w:val="24"/>
          <w:szCs w:val="24"/>
        </w:rPr>
        <w:tab/>
        <w:t>Essa orientação punitiva revela-se de maneira particularmente expressiva no modelo carcerário brasileiro, marcado por graves limitações estruturais e institucionais. A superlotação das unidades prisionais, as condições materiais inadequadas, a insuficiência de políticas de reintegração social e a seletividade penal evidenciam a incapacidade do cárcere em cumprir suas finalidades declaradas. Nos termos da Lei de Execução Penal (Brasil, 1984), discorre que a execução da pena tem por objetivo assegurar o cumprimento das disposições da sentença e proporcionar condições para a integração social do condenado.</w:t>
      </w:r>
      <w:r>
        <w:rPr>
          <w:rFonts w:ascii="Arial" w:eastAsia="Times New Roman" w:hAnsi="Arial" w:cs="Times New Roman"/>
          <w:sz w:val="24"/>
          <w:szCs w:val="24"/>
        </w:rPr>
        <w:br/>
      </w:r>
      <w:r>
        <w:rPr>
          <w:rFonts w:ascii="Arial" w:eastAsia="Times New Roman" w:hAnsi="Arial" w:cs="Times New Roman"/>
          <w:sz w:val="24"/>
          <w:szCs w:val="24"/>
        </w:rPr>
        <w:tab/>
        <w:t>Não obstante a previsão normativa, observa-se uma significativa distância entre o modelo idealizado pelo legislador e a realidade concreta do sistema prisional brasileiro, o que evidencia a dificuldade de efetivação dos direitos fundamentais da pessoa privada de liberdade. Tal cenário reforça a percepção de que o sistema penal opera de forma simbólica, apresentando respostas formais à criminalidade sem, contudo, enfrentar suas causas estruturais.</w:t>
      </w:r>
      <w:r>
        <w:rPr>
          <w:rFonts w:ascii="Arial" w:eastAsia="Times New Roman" w:hAnsi="Arial" w:cs="Times New Roman"/>
          <w:sz w:val="24"/>
          <w:szCs w:val="24"/>
        </w:rPr>
        <w:br/>
      </w:r>
      <w:r>
        <w:rPr>
          <w:rFonts w:ascii="Arial" w:eastAsia="Times New Roman" w:hAnsi="Arial" w:cs="Times New Roman"/>
          <w:sz w:val="24"/>
          <w:szCs w:val="24"/>
        </w:rPr>
        <w:tab/>
        <w:t xml:space="preserve">Dados oficiais do Sistema Nacional de Informações Penais (SISDEPEN, 2025), divulgados pela Secretaria Nacional de Políticas Penais, referentes ao 18º Ciclo (1º semestre de 2025), evidenciam de forma concreta a dimensão estrutural da crise </w:t>
      </w:r>
      <w:r>
        <w:rPr>
          <w:rFonts w:ascii="Arial" w:eastAsia="Times New Roman" w:hAnsi="Arial" w:cs="Times New Roman"/>
          <w:sz w:val="24"/>
          <w:szCs w:val="24"/>
        </w:rPr>
        <w:lastRenderedPageBreak/>
        <w:t xml:space="preserve">carcerária brasileira. No âmbito nacional, o Brasil registra 935.827 pessoas privadas de liberdade para uma capacidade instalada de 671.680 vagas, o que representa um déficit superior a 264 mil vagas e uma taxa de ocupação aproximada de 139%, revelando quadro persistente de superlotação. No estado de Goiás, a realidade não se distancia desse cenário: são 30.137 pessoas custodiadas para 24.173 vagas disponíveis, resultando em déficit de quase 6 mil vagas e taxa de ocupação em torno de 125%. </w:t>
      </w:r>
      <w:r>
        <w:rPr>
          <w:rFonts w:ascii="Arial" w:eastAsia="Times New Roman" w:hAnsi="Arial" w:cs="Times New Roman"/>
          <w:sz w:val="24"/>
          <w:szCs w:val="24"/>
        </w:rPr>
        <w:br/>
      </w:r>
      <w:r>
        <w:rPr>
          <w:rFonts w:ascii="Arial" w:eastAsia="Times New Roman" w:hAnsi="Arial" w:cs="Times New Roman"/>
          <w:sz w:val="24"/>
          <w:szCs w:val="24"/>
        </w:rPr>
        <w:tab/>
        <w:t>Embora o estado de Goiás apresenta taxa de ocupação inferior à média nacional, os dados do SISDEPEN (2025.1) indicam que o sistema prisional goiano opera com ocupação aproximada de 125%, evidenciando déficit estrutural e quadro de superlotação, ainda que em proporção menos acentuada que o cenário brasileiro geral. Tais números demonstram que o modelo de encarceramento massivo adotado pelo sistema penal brasileiro opera muito além de sua capacidade estrutural, comprometendo as finalidades ressocializadoras previstas na Lei de Execução Penal e reforçando as limitações institucionais do paradigma punitivo tradicional.</w:t>
      </w:r>
      <w:r>
        <w:rPr>
          <w:rFonts w:ascii="Arial" w:eastAsia="Times New Roman" w:hAnsi="Arial" w:cs="Times New Roman"/>
          <w:sz w:val="24"/>
          <w:szCs w:val="24"/>
        </w:rPr>
        <w:br/>
      </w:r>
      <w:r>
        <w:rPr>
          <w:rFonts w:ascii="Arial" w:eastAsia="Times New Roman" w:hAnsi="Arial" w:cs="Times New Roman"/>
          <w:sz w:val="24"/>
          <w:szCs w:val="24"/>
        </w:rPr>
        <w:tab/>
        <w:t>Ademais, a crise do sistema penitenciário brasileiro não se restringe a aspectos estruturais, mas também evidencia um problema de legitimidade do próprio modelo punitivo. A persistência de elevados índices de reincidência e a ausência de efetividade na reintegração social demonstram que a pena privativa de liberdade não cumpre adequadamente sua função preventiva e ressocializadora. Nesse sentido, questiona-se a eficácia do encarceramento como principal instrumento de política criminal, sobretudo em um contexto marcado por desigualdades sociais e seletividade penal.</w:t>
      </w:r>
      <w:r>
        <w:rPr>
          <w:rFonts w:ascii="Arial" w:eastAsia="Times New Roman" w:hAnsi="Arial" w:cs="Times New Roman"/>
          <w:b/>
          <w:bCs/>
          <w:sz w:val="24"/>
          <w:szCs w:val="24"/>
        </w:rPr>
        <w:br/>
      </w:r>
      <w:r>
        <w:rPr>
          <w:rFonts w:ascii="Arial" w:eastAsia="Times New Roman" w:hAnsi="Arial" w:cs="Times New Roman"/>
          <w:b/>
          <w:bCs/>
          <w:sz w:val="24"/>
          <w:szCs w:val="24"/>
        </w:rPr>
        <w:tab/>
      </w:r>
      <w:r>
        <w:rPr>
          <w:rFonts w:ascii="Arial" w:eastAsia="Times New Roman" w:hAnsi="Arial" w:cs="Times New Roman"/>
          <w:sz w:val="24"/>
          <w:szCs w:val="24"/>
        </w:rPr>
        <w:t>Corroborando essa perspectiva, a distância entre o comando normativo e a realidade concreta do sistema penitenciário demonstra a ineficácia da pena privativa de liberdade como instrumento de ressocialização. Conforme assinala Greco (2020</w:t>
      </w:r>
      <w:r>
        <w:rPr>
          <w:rFonts w:ascii="Arial" w:eastAsia="Times New Roman" w:hAnsi="Arial" w:cs="Times New Roman"/>
          <w:b/>
          <w:bCs/>
          <w:sz w:val="24"/>
          <w:szCs w:val="24"/>
        </w:rPr>
        <w:t>)</w:t>
      </w:r>
      <w:r>
        <w:rPr>
          <w:rFonts w:ascii="Arial" w:eastAsia="Times New Roman" w:hAnsi="Arial" w:cs="Times New Roman"/>
          <w:sz w:val="24"/>
          <w:szCs w:val="24"/>
        </w:rPr>
        <w:t>, o sistema penitenciário brasileiro, em vez de promover a recuperação do apenado, converteu-se em espaço de reprodução da violência e fortalecimento de organizações criminosas.</w:t>
      </w:r>
      <w:r>
        <w:rPr>
          <w:rFonts w:ascii="Arial" w:eastAsia="Times New Roman" w:hAnsi="Arial" w:cs="Times New Roman"/>
          <w:sz w:val="24"/>
          <w:szCs w:val="24"/>
        </w:rPr>
        <w:tab/>
      </w:r>
      <w:r>
        <w:rPr>
          <w:rFonts w:ascii="Arial" w:eastAsia="Times New Roman" w:hAnsi="Arial" w:cs="Times New Roman"/>
          <w:sz w:val="24"/>
          <w:szCs w:val="24"/>
        </w:rPr>
        <w:tab/>
      </w:r>
      <w:r>
        <w:rPr>
          <w:rFonts w:ascii="Arial" w:eastAsia="Times New Roman" w:hAnsi="Arial" w:cs="Times New Roman"/>
          <w:sz w:val="24"/>
          <w:szCs w:val="24"/>
        </w:rPr>
        <w:tab/>
      </w:r>
      <w:r>
        <w:rPr>
          <w:rFonts w:ascii="Arial" w:eastAsia="Times New Roman" w:hAnsi="Arial" w:cs="Times New Roman"/>
          <w:sz w:val="24"/>
          <w:szCs w:val="24"/>
        </w:rPr>
        <w:tab/>
      </w:r>
      <w:r>
        <w:rPr>
          <w:rFonts w:ascii="Arial" w:eastAsia="Times New Roman" w:hAnsi="Arial" w:cs="Times New Roman"/>
          <w:sz w:val="24"/>
          <w:szCs w:val="24"/>
        </w:rPr>
        <w:br/>
      </w:r>
      <w:r>
        <w:rPr>
          <w:rFonts w:ascii="Arial" w:eastAsia="Times New Roman" w:hAnsi="Arial" w:cs="Times New Roman"/>
          <w:sz w:val="24"/>
          <w:szCs w:val="24"/>
        </w:rPr>
        <w:tab/>
        <w:t xml:space="preserve">Para além das limitações estruturais do modelo carcerário, evidencia-se a marginalização histórica da vítima, sobretudo no âmbito da ação penal pública, que constitui a regra no sistema processual brasileiro. Com a consolidação do monopólio estatal do </w:t>
      </w:r>
      <w:r>
        <w:rPr>
          <w:rFonts w:ascii="Arial" w:eastAsia="Times New Roman" w:hAnsi="Arial" w:cs="Times New Roman"/>
          <w:i/>
          <w:iCs/>
          <w:sz w:val="24"/>
          <w:szCs w:val="24"/>
        </w:rPr>
        <w:t>jus puniendi</w:t>
      </w:r>
      <w:r>
        <w:rPr>
          <w:rFonts w:ascii="Arial" w:eastAsia="Times New Roman" w:hAnsi="Arial" w:cs="Times New Roman"/>
          <w:sz w:val="24"/>
          <w:szCs w:val="24"/>
        </w:rPr>
        <w:t xml:space="preserve">, o conflito penal deixa de ser compreendido como controvérsia entre ofensor e ofendido e passa a configurar relação jurídico-processual estabelecida primordialmente entre Estado-acusador e acusado. </w:t>
      </w:r>
      <w:r>
        <w:rPr>
          <w:rFonts w:ascii="Arial" w:eastAsia="Times New Roman" w:hAnsi="Arial" w:cs="Times New Roman"/>
          <w:sz w:val="24"/>
          <w:szCs w:val="24"/>
        </w:rPr>
        <w:br/>
      </w:r>
      <w:r>
        <w:rPr>
          <w:rFonts w:ascii="Arial" w:eastAsia="Times New Roman" w:hAnsi="Arial" w:cs="Times New Roman"/>
          <w:sz w:val="24"/>
          <w:szCs w:val="24"/>
        </w:rPr>
        <w:tab/>
        <w:t xml:space="preserve">Nesse cenário, o Ministério Público assume a titularidade da pretensão punitiva, </w:t>
      </w:r>
      <w:r>
        <w:rPr>
          <w:rFonts w:ascii="Arial" w:eastAsia="Times New Roman" w:hAnsi="Arial" w:cs="Times New Roman"/>
          <w:sz w:val="24"/>
          <w:szCs w:val="24"/>
        </w:rPr>
        <w:lastRenderedPageBreak/>
        <w:t xml:space="preserve">relegando à vítima, que detém legitimidade apenas em hipóteses excepcionais como na ação penal privada e na ação penal privada subsidiária da pública, nos termos do Código de Processo Penal (1941), uma posição secundária no âmbito da persecução penal, que permanece essencialmente conduzida pelo Estado. </w:t>
      </w:r>
      <w:r>
        <w:rPr>
          <w:rFonts w:ascii="Arial" w:hAnsi="Arial"/>
          <w:sz w:val="24"/>
          <w:szCs w:val="24"/>
        </w:rPr>
        <w:br/>
      </w:r>
      <w:r>
        <w:rPr>
          <w:rFonts w:ascii="Arial" w:hAnsi="Arial"/>
          <w:sz w:val="24"/>
          <w:szCs w:val="24"/>
        </w:rPr>
        <w:tab/>
      </w:r>
      <w:r>
        <w:rPr>
          <w:rFonts w:ascii="Arial" w:eastAsia="Times New Roman" w:hAnsi="Arial" w:cs="Times New Roman"/>
          <w:sz w:val="24"/>
          <w:szCs w:val="24"/>
        </w:rPr>
        <w:t>Ainda que o Código de Processo Penal (1941) preveja a figura do assistente de acusação, sua atuação é subsidiária e dependente da iniciativa ministerial, não lhe sendo conferido protagonismo decisório quanto à instauração, condução ou eventual arquivamento da persecução penal.</w:t>
      </w:r>
      <w:r>
        <w:rPr>
          <w:rFonts w:ascii="Arial" w:eastAsia="Times New Roman" w:hAnsi="Arial" w:cs="Times New Roman"/>
          <w:sz w:val="24"/>
          <w:szCs w:val="24"/>
        </w:rPr>
        <w:br/>
      </w:r>
      <w:r>
        <w:rPr>
          <w:rFonts w:ascii="Arial" w:eastAsia="Times New Roman" w:hAnsi="Arial" w:cs="Times New Roman"/>
          <w:sz w:val="24"/>
          <w:szCs w:val="24"/>
        </w:rPr>
        <w:tab/>
        <w:t>A vítima, portanto, participa do processo predominantemente como fonte de prova, não como sujeito central do conflito, o que revela a orientação estrutural do modelo processual brasileiro voltada à afirmação da autoridade estatal e à responsabilização do réu, e não à satisfação das necessidades materiais e simbólicas do ofendido.</w:t>
      </w:r>
      <w:r>
        <w:rPr>
          <w:rFonts w:ascii="Arial" w:eastAsia="Times New Roman" w:hAnsi="Arial" w:cs="Times New Roman"/>
          <w:sz w:val="24"/>
          <w:szCs w:val="24"/>
        </w:rPr>
        <w:br/>
      </w:r>
      <w:r>
        <w:rPr>
          <w:rFonts w:ascii="Arial" w:eastAsia="Times New Roman" w:hAnsi="Arial" w:cs="Times New Roman"/>
          <w:sz w:val="24"/>
          <w:szCs w:val="24"/>
        </w:rPr>
        <w:tab/>
        <w:t>Sob essa perspectiva, destaca-se a relevância da vitimologia como campo de estudo voltado à análise da vítima no contexto do fenômeno criminal. A partir dessa abordagem, compreende-se que o crime não representa apenas uma violação à norma jurídica, mas também um evento que produz impactos diretos na esfera emocional, social e econômica do ofendido. Dessa forma, a ausência de mecanismos efetivos de escuta e participação da vítima no processo penal evidencia uma lacuna estrutural do modelo tradicional.</w:t>
      </w:r>
      <w:r>
        <w:rPr>
          <w:rFonts w:ascii="Arial" w:eastAsia="Times New Roman" w:hAnsi="Arial" w:cs="Times New Roman"/>
          <w:sz w:val="24"/>
          <w:szCs w:val="24"/>
        </w:rPr>
        <w:br/>
      </w:r>
      <w:r>
        <w:rPr>
          <w:rFonts w:ascii="Arial" w:eastAsia="Times New Roman" w:hAnsi="Arial" w:cs="Times New Roman"/>
          <w:sz w:val="24"/>
          <w:szCs w:val="24"/>
        </w:rPr>
        <w:tab/>
        <w:t>Tal configuração produz consequências relevantes, pois as necessidades emocionais, simbólicas e materiais da vítima são frequentemente negligenciadas. O processo penal prioriza a apuração da autoria e a imposição da sanção, relegando a plano secundário o reconhecimento do dano e a reparação adequada. Nesse sentido, Zehr (2012</w:t>
      </w:r>
      <w:r>
        <w:rPr>
          <w:rFonts w:ascii="Arial" w:eastAsia="Times New Roman" w:hAnsi="Arial" w:cs="Times New Roman"/>
          <w:b/>
          <w:bCs/>
          <w:sz w:val="24"/>
          <w:szCs w:val="24"/>
        </w:rPr>
        <w:t>)</w:t>
      </w:r>
      <w:r>
        <w:rPr>
          <w:rFonts w:ascii="Arial" w:eastAsia="Times New Roman" w:hAnsi="Arial" w:cs="Times New Roman"/>
          <w:sz w:val="24"/>
          <w:szCs w:val="24"/>
        </w:rPr>
        <w:t xml:space="preserve"> afirma que a justiça retributiva concentra-se na determinação da culpa e na aplicação de uma pena proporcional, deixando em posição secundária os impactos do crime sobre a vítima e a comunidade.</w:t>
      </w:r>
      <w:r>
        <w:rPr>
          <w:rFonts w:ascii="Arial" w:eastAsia="Times New Roman" w:hAnsi="Arial" w:cs="Times New Roman"/>
          <w:sz w:val="24"/>
          <w:szCs w:val="24"/>
        </w:rPr>
        <w:br/>
      </w:r>
      <w:r>
        <w:rPr>
          <w:rFonts w:ascii="Arial" w:eastAsia="Times New Roman" w:hAnsi="Arial" w:cs="Times New Roman"/>
          <w:sz w:val="24"/>
          <w:szCs w:val="24"/>
        </w:rPr>
        <w:tab/>
        <w:t>Nesse contexto, a marginalização da vítima mostra-se incompatível com o princípio da dignidade da pessoa humana, previsto na Constituição Federal de 1988. A ausência de reconhecimento do sofrimento experimentado pela vítima e a limitação de sua participação no processo penal comprometem a efetividade de seus direitos, reduzindo sua atuação a um papel secundário, distante de uma perspectiva mais humanizada da justiça.</w:t>
      </w:r>
      <w:r>
        <w:rPr>
          <w:rFonts w:ascii="Arial" w:eastAsia="Times New Roman" w:hAnsi="Arial" w:cs="Times New Roman"/>
          <w:sz w:val="24"/>
          <w:szCs w:val="24"/>
        </w:rPr>
        <w:br/>
      </w:r>
      <w:r>
        <w:rPr>
          <w:rFonts w:ascii="Arial" w:eastAsia="Times New Roman" w:hAnsi="Arial" w:cs="Times New Roman"/>
          <w:sz w:val="24"/>
          <w:szCs w:val="24"/>
        </w:rPr>
        <w:tab/>
        <w:t xml:space="preserve">A partir da segunda metade do século XX, especialmente com o fortalecimento </w:t>
      </w:r>
      <w:r>
        <w:rPr>
          <w:rFonts w:ascii="Arial" w:eastAsia="Times New Roman" w:hAnsi="Arial" w:cs="Times New Roman"/>
          <w:sz w:val="24"/>
          <w:szCs w:val="24"/>
        </w:rPr>
        <w:lastRenderedPageBreak/>
        <w:t>do movimento internacional de proteção aos direitos humanos, iniciou-se processo de reconfiguração da posição da vítima no sistema de justiça criminal. No plano internacional, destaca-se a Declaração dos Princípios Básicos de Justiça Relativos às Vítimas da Criminalidade e de Abuso de Poder, adotada pela Organização das Nações Unidas em 1985, a qual estabeleceu diretrizes voltadas ao reconhecimento do dano sofrido, ao tratamento digno e à reparação</w:t>
      </w:r>
      <w:r>
        <w:rPr>
          <w:rFonts w:ascii="Arial" w:eastAsia="Times New Roman" w:hAnsi="Arial" w:cs="Times New Roman"/>
          <w:color w:val="FFFF00"/>
          <w:sz w:val="24"/>
          <w:szCs w:val="24"/>
        </w:rPr>
        <w:t xml:space="preserve"> </w:t>
      </w:r>
      <w:r>
        <w:rPr>
          <w:rFonts w:ascii="Arial" w:hAnsi="Arial"/>
          <w:sz w:val="24"/>
          <w:szCs w:val="24"/>
        </w:rPr>
        <w:t xml:space="preserve">(ONU, 1985). </w:t>
      </w:r>
      <w:r>
        <w:rPr>
          <w:rFonts w:ascii="Arial" w:hAnsi="Arial"/>
          <w:color w:val="FF0000"/>
          <w:sz w:val="24"/>
          <w:szCs w:val="24"/>
        </w:rPr>
        <w:br/>
      </w:r>
      <w:r>
        <w:rPr>
          <w:rFonts w:ascii="Arial" w:eastAsia="Times New Roman" w:hAnsi="Arial" w:cs="Times New Roman"/>
          <w:sz w:val="24"/>
          <w:szCs w:val="24"/>
        </w:rPr>
        <w:tab/>
        <w:t>No contexto brasileiro, a promulgação da Constituição da República Federativa do Brasil de 1988 consolidou a dignidade da pessoa humana como fundamento do Estado Democrático de Direito (Brasil, 1988). Conforme destaca Nucci (2021), o reconhecimento da vítima como sujeito de direitos representa avanço relevante na humanização do sistema penal, permitindo uma compreensão mais ampla dos impactos do crime a ela.</w:t>
      </w:r>
      <w:r>
        <w:rPr>
          <w:rFonts w:ascii="Arial" w:eastAsia="Times New Roman" w:hAnsi="Arial" w:cs="Times New Roman"/>
          <w:sz w:val="24"/>
          <w:szCs w:val="24"/>
        </w:rPr>
        <w:br/>
      </w:r>
      <w:r>
        <w:rPr>
          <w:rFonts w:ascii="Arial" w:eastAsia="Times New Roman" w:hAnsi="Arial" w:cs="Times New Roman"/>
          <w:sz w:val="24"/>
          <w:szCs w:val="24"/>
        </w:rPr>
        <w:tab/>
        <w:t xml:space="preserve">Entretanto, a ampliação dos direitos da vítima deve ocorrer em compatibilidade com as garantias fundamentais do acusado, como o devido processo legal, o contraditório e a presunção de inocência. Badaró (2022) sustenta que a efetivação dos direitos da vítima encontra limites na necessidade de preservação da imparcialidade judicial e da paridade de armas no processo penal. </w:t>
      </w:r>
      <w:r>
        <w:rPr>
          <w:rFonts w:ascii="Arial" w:eastAsia="Times New Roman" w:hAnsi="Arial" w:cs="Times New Roman"/>
          <w:sz w:val="24"/>
          <w:szCs w:val="24"/>
        </w:rPr>
        <w:br/>
      </w:r>
      <w:r>
        <w:rPr>
          <w:rFonts w:ascii="Arial" w:eastAsia="Times New Roman" w:hAnsi="Arial" w:cs="Times New Roman"/>
          <w:sz w:val="24"/>
          <w:szCs w:val="24"/>
        </w:rPr>
        <w:tab/>
        <w:t>A superação dessa tensão, conforme ensina Ferrajoli (2014), não se dá pela flexibilização das garantias processuais, mas pela construção de um modelo capaz de compatibilizar os direitos de todos os sujeitos envolvidos no conflito penal.</w:t>
      </w:r>
      <w:r>
        <w:rPr>
          <w:rFonts w:ascii="Arial" w:eastAsia="Times New Roman" w:hAnsi="Arial" w:cs="Times New Roman"/>
          <w:sz w:val="24"/>
          <w:szCs w:val="24"/>
        </w:rPr>
        <w:br/>
      </w:r>
      <w:r>
        <w:rPr>
          <w:rFonts w:ascii="Arial" w:eastAsia="Times New Roman" w:hAnsi="Arial" w:cs="Times New Roman"/>
          <w:sz w:val="24"/>
          <w:szCs w:val="24"/>
        </w:rPr>
        <w:tab/>
        <w:t xml:space="preserve">Diante desse cenário, evidencia-se a insuficiência do modelo penal tradicional, marcado por um paradigma predominantemente retributivo, em oferecer respostas adequadas e completas ao conflito criminal. A centralidade exclusiva na punição do infrator, aliada à marginalização da vítima, revela a necessidade de reflexão e construção de novos paradigmas no âmbito da justiça criminal. </w:t>
      </w:r>
      <w:r>
        <w:rPr>
          <w:rFonts w:ascii="Arial" w:eastAsia="Times New Roman" w:hAnsi="Arial" w:cs="Times New Roman"/>
          <w:sz w:val="24"/>
          <w:szCs w:val="24"/>
        </w:rPr>
        <w:br/>
      </w:r>
      <w:r>
        <w:rPr>
          <w:rFonts w:ascii="Arial" w:eastAsia="Times New Roman" w:hAnsi="Arial" w:cs="Times New Roman"/>
          <w:sz w:val="24"/>
          <w:szCs w:val="24"/>
        </w:rPr>
        <w:tab/>
        <w:t>Nessa conjuntura</w:t>
      </w:r>
      <w:r>
        <w:rPr>
          <w:rFonts w:ascii="Arial" w:hAnsi="Arial"/>
          <w:sz w:val="24"/>
          <w:szCs w:val="24"/>
        </w:rPr>
        <w:t xml:space="preserve">, </w:t>
      </w:r>
      <w:r>
        <w:rPr>
          <w:rFonts w:ascii="Arial" w:eastAsia="Times New Roman" w:hAnsi="Arial" w:cs="Times New Roman"/>
          <w:sz w:val="24"/>
          <w:szCs w:val="24"/>
        </w:rPr>
        <w:t>a busca por mecanismos que promovam o reconhecimento do dano, a participação da vítima e a responsabilização consciente do ofensor torna-se essencial, especialmente no que se refere à valorização da vítima e à efetividade das respostas penais. Assim, para uma melhor compreensão dessa nova perspectiva, faz-se necessário analisar os fundamentos e as estruturas da justiça restaurativa no sistema contemporâneo.</w:t>
      </w:r>
    </w:p>
    <w:p w:rsidR="009D60B7" w:rsidRPr="00AA63EC" w:rsidRDefault="00425C09">
      <w:pPr>
        <w:pStyle w:val="Ttulo2"/>
        <w:spacing w:before="360" w:after="80" w:line="360" w:lineRule="auto"/>
        <w:jc w:val="both"/>
        <w:rPr>
          <w:rFonts w:ascii="Arial" w:hAnsi="Arial"/>
          <w:sz w:val="24"/>
          <w:szCs w:val="24"/>
        </w:rPr>
      </w:pPr>
      <w:bookmarkStart w:id="12" w:name="_p84offz2itar"/>
      <w:bookmarkEnd w:id="12"/>
      <w:r w:rsidRPr="00AA63EC">
        <w:rPr>
          <w:rFonts w:ascii="Arial" w:eastAsia="Times New Roman" w:hAnsi="Arial" w:cs="Times New Roman"/>
          <w:bCs/>
          <w:sz w:val="24"/>
          <w:szCs w:val="24"/>
        </w:rPr>
        <w:t>3. FUNDAMENTOS E ESTRUTURA DA JUSTIÇA RESTAURATIVA NO SISTEMA PENAL CONTEMPORÂNEO</w:t>
      </w:r>
    </w:p>
    <w:p w:rsidR="009D60B7" w:rsidRDefault="00425C09">
      <w:pPr>
        <w:spacing w:after="200" w:line="360" w:lineRule="auto"/>
        <w:ind w:firstLine="855"/>
        <w:jc w:val="both"/>
        <w:rPr>
          <w:rFonts w:ascii="Arial" w:hAnsi="Arial"/>
          <w:sz w:val="24"/>
          <w:szCs w:val="24"/>
        </w:rPr>
      </w:pPr>
      <w:r>
        <w:rPr>
          <w:rFonts w:ascii="Arial" w:eastAsia="Times New Roman" w:hAnsi="Arial" w:cs="Times New Roman"/>
          <w:sz w:val="24"/>
          <w:szCs w:val="24"/>
        </w:rPr>
        <w:lastRenderedPageBreak/>
        <w:t xml:space="preserve">A consolidação da Justiça Restaurativa no âmbito penal representa significativa transformação paradigmática em relação ao sistema clássico de justiça criminal. Sob a lógica retributiva tradicional, o delito é compreendido como ofensa à norma jurídica e à autoridade do Estado, o que fundamenta a resposta punitiva como forma de retribuição. </w:t>
      </w:r>
      <w:r>
        <w:rPr>
          <w:rFonts w:ascii="Arial" w:eastAsia="Times New Roman" w:hAnsi="Arial" w:cs="Times New Roman"/>
          <w:sz w:val="24"/>
          <w:szCs w:val="24"/>
        </w:rPr>
        <w:br/>
      </w:r>
      <w:r>
        <w:rPr>
          <w:rFonts w:ascii="Arial" w:eastAsia="Times New Roman" w:hAnsi="Arial" w:cs="Times New Roman"/>
          <w:sz w:val="24"/>
          <w:szCs w:val="24"/>
        </w:rPr>
        <w:tab/>
        <w:t>Em contrapartida, a perspectiva restaurativa desloca o eixo de análise do fenômeno criminal para os prejuízos concretamente causados às vítimas, às relações interpessoais e ao tecido social. Nesse sentido, o crime deixa de ser visto unicamente como violação abstrata da ordem jurídica e passa a ser compreendido como evento que fragiliza vínculos humanos, exigindo respostas orientadas à reparação e à reconstrução relacional.</w:t>
      </w:r>
      <w:r>
        <w:rPr>
          <w:rFonts w:ascii="Arial" w:eastAsia="Times New Roman" w:hAnsi="Arial" w:cs="Times New Roman"/>
          <w:sz w:val="24"/>
          <w:szCs w:val="24"/>
        </w:rPr>
        <w:br/>
      </w:r>
      <w:r>
        <w:rPr>
          <w:rFonts w:ascii="Arial" w:eastAsia="Times New Roman" w:hAnsi="Arial" w:cs="Times New Roman"/>
          <w:sz w:val="24"/>
          <w:szCs w:val="24"/>
        </w:rPr>
        <w:tab/>
        <w:t>Howard Zehr (2012), considerado um dos principais teóricos da Justiça Restaurativa, afirma que a justiça deve concentrar-se na reparação do dano causado às pessoas e aos relacionamentos, e não apenas na punição do infrator. Para o autor, as perguntas centrais do sistema penal não devem limitar-se à identificação do culpado e à definição da pena aplicável, mas devem incluir quem foi prejudicado, quais são suas necessidades e quem possui a responsabilidade de supri-las. Tal reformulação evidencia a centralidade da vítima no paradigma restaurativo.</w:t>
      </w:r>
      <w:r>
        <w:rPr>
          <w:rFonts w:ascii="Arial" w:eastAsia="Times New Roman" w:hAnsi="Arial" w:cs="Times New Roman"/>
          <w:sz w:val="24"/>
          <w:szCs w:val="24"/>
        </w:rPr>
        <w:br/>
      </w:r>
      <w:r>
        <w:rPr>
          <w:rFonts w:ascii="Arial" w:eastAsia="Times New Roman" w:hAnsi="Arial" w:cs="Times New Roman"/>
          <w:sz w:val="24"/>
          <w:szCs w:val="24"/>
        </w:rPr>
        <w:tab/>
        <w:t>Os fundamentos da Justiça Restaurativa estruturam-se em três pilares essenciais</w:t>
      </w:r>
      <w:r>
        <w:rPr>
          <w:rFonts w:ascii="Arial" w:eastAsia="Times New Roman" w:hAnsi="Arial" w:cs="Times New Roman"/>
          <w:b/>
          <w:bCs/>
          <w:sz w:val="24"/>
          <w:szCs w:val="24"/>
        </w:rPr>
        <w:t xml:space="preserve">: </w:t>
      </w:r>
      <w:r>
        <w:rPr>
          <w:rFonts w:ascii="Arial" w:eastAsia="Times New Roman" w:hAnsi="Arial" w:cs="Times New Roman"/>
          <w:sz w:val="24"/>
          <w:szCs w:val="24"/>
        </w:rPr>
        <w:t>reparação, responsabilidade e engajamento. A reparação não se restringe à compensação financeira, abrangendo dimensões simbólicas, emocionais e relacionais do dano. A responsabilidade assume caráter ativo, exigindo do ofensor reconhecimento consciente das consequências de seus atos. O engajamento</w:t>
      </w:r>
      <w:r>
        <w:rPr>
          <w:rFonts w:ascii="Arial" w:eastAsia="Times New Roman" w:hAnsi="Arial" w:cs="Times New Roman"/>
          <w:b/>
          <w:bCs/>
          <w:sz w:val="24"/>
          <w:szCs w:val="24"/>
        </w:rPr>
        <w:t xml:space="preserve"> </w:t>
      </w:r>
      <w:r>
        <w:rPr>
          <w:rFonts w:ascii="Arial" w:eastAsia="Times New Roman" w:hAnsi="Arial" w:cs="Times New Roman"/>
          <w:sz w:val="24"/>
          <w:szCs w:val="24"/>
        </w:rPr>
        <w:t>traduz-se na participação voluntária das partes envolvidas, reforçando o caráter dialógico do procedimento. Nessa perspectiva, a justiça deixa de ser exclusivamente vertical e estatal, passando a incorporar processos cooperativos e participativos.</w:t>
      </w:r>
      <w:r>
        <w:rPr>
          <w:rFonts w:ascii="Arial" w:hAnsi="Arial"/>
          <w:sz w:val="24"/>
          <w:szCs w:val="24"/>
        </w:rPr>
        <w:t xml:space="preserve">(Zehr, 2008; Pranis, 2010; Shecaira, 2020). </w:t>
      </w:r>
      <w:r>
        <w:rPr>
          <w:rFonts w:ascii="Arial" w:eastAsia="Times New Roman" w:hAnsi="Arial" w:cs="Times New Roman"/>
          <w:sz w:val="24"/>
          <w:szCs w:val="24"/>
        </w:rPr>
        <w:br/>
      </w:r>
      <w:r>
        <w:rPr>
          <w:rFonts w:ascii="Arial" w:eastAsia="Times New Roman" w:hAnsi="Arial" w:cs="Times New Roman"/>
          <w:sz w:val="24"/>
          <w:szCs w:val="24"/>
        </w:rPr>
        <w:tab/>
        <w:t>A crítica ao modelo penal tradicional encontra respaldo na teoria de Nils Christie (1977), que denunciou o fenômeno da “expropriação do conflito” pelo sistema penal, ao transformar disputas humanas em questões técnicas apropriadas pelo Estado. Segundo o autor, ao converter o conflito em propriedade estatal, retira-se das partes diretamente envolvidas, especialmente da vítima, a possibilidade de participação significativa na resolução da controvérsia.</w:t>
      </w:r>
      <w:r>
        <w:rPr>
          <w:rFonts w:ascii="Arial" w:eastAsia="Times New Roman" w:hAnsi="Arial" w:cs="Times New Roman"/>
          <w:sz w:val="24"/>
          <w:szCs w:val="24"/>
        </w:rPr>
        <w:br/>
      </w:r>
      <w:r>
        <w:rPr>
          <w:rFonts w:ascii="Arial" w:eastAsia="Times New Roman" w:hAnsi="Arial" w:cs="Times New Roman"/>
          <w:sz w:val="24"/>
          <w:szCs w:val="24"/>
        </w:rPr>
        <w:tab/>
        <w:t xml:space="preserve">No ordenamento jurídico brasileiro, a Justiça Restaurativa recebeu reconhecimento normativo com a edição da Resolução nº 225/2016 do Conselho </w:t>
      </w:r>
      <w:r>
        <w:rPr>
          <w:rFonts w:ascii="Arial" w:eastAsia="Times New Roman" w:hAnsi="Arial" w:cs="Times New Roman"/>
          <w:sz w:val="24"/>
          <w:szCs w:val="24"/>
        </w:rPr>
        <w:lastRenderedPageBreak/>
        <w:t xml:space="preserve">Nacional de Justiça, que instituiu a Política Nacional de Justiça Restaurativa no âmbito do Poder Judiciário. </w:t>
      </w:r>
      <w:r>
        <w:rPr>
          <w:rFonts w:ascii="Arial" w:eastAsia="Times New Roman" w:hAnsi="Arial" w:cs="Times New Roman"/>
          <w:sz w:val="24"/>
          <w:szCs w:val="24"/>
        </w:rPr>
        <w:br/>
      </w:r>
      <w:r>
        <w:rPr>
          <w:rFonts w:ascii="Arial" w:eastAsia="Times New Roman" w:hAnsi="Arial" w:cs="Times New Roman"/>
          <w:sz w:val="24"/>
          <w:szCs w:val="24"/>
        </w:rPr>
        <w:tab/>
        <w:t>O referido ato define a prática como “conjunto ordenado e sistêmico de princípios, métodos, técnicas e atividades próprias, que visa à conscientização sobre os fatores relacionais, institucionais e sociais motivadores de conflitos e violência” (CNJ, 2016). Tal normatização demonstra o reconhecimento institucional da Justiça Restaurativa como instrumento legítimo de tratamento dos conflitos penais, alinhado ao princípio da dignidade da pessoa humana previsto na Constituição da República Federativa do Brasil de 1988</w:t>
      </w:r>
      <w:r>
        <w:rPr>
          <w:rFonts w:ascii="Arial" w:hAnsi="Arial"/>
          <w:sz w:val="24"/>
          <w:szCs w:val="24"/>
        </w:rPr>
        <w:t xml:space="preserve">, </w:t>
      </w:r>
      <w:r>
        <w:rPr>
          <w:rFonts w:ascii="Arial" w:eastAsia="Times New Roman" w:hAnsi="Arial" w:cs="Times New Roman"/>
          <w:sz w:val="24"/>
          <w:szCs w:val="24"/>
        </w:rPr>
        <w:t>Brasil</w:t>
      </w:r>
      <w:r>
        <w:rPr>
          <w:rFonts w:ascii="Arial" w:hAnsi="Arial"/>
          <w:sz w:val="24"/>
          <w:szCs w:val="24"/>
        </w:rPr>
        <w:t xml:space="preserve"> (</w:t>
      </w:r>
      <w:r>
        <w:rPr>
          <w:rFonts w:ascii="Arial" w:eastAsia="Times New Roman" w:hAnsi="Arial" w:cs="Times New Roman"/>
          <w:sz w:val="24"/>
          <w:szCs w:val="24"/>
        </w:rPr>
        <w:t>1988).</w:t>
      </w:r>
      <w:r>
        <w:rPr>
          <w:rFonts w:ascii="Arial" w:eastAsia="Times New Roman" w:hAnsi="Arial" w:cs="Times New Roman"/>
          <w:sz w:val="24"/>
          <w:szCs w:val="24"/>
        </w:rPr>
        <w:br/>
      </w:r>
      <w:r>
        <w:rPr>
          <w:rFonts w:ascii="Arial" w:eastAsia="Times New Roman" w:hAnsi="Arial" w:cs="Times New Roman"/>
          <w:sz w:val="24"/>
          <w:szCs w:val="24"/>
        </w:rPr>
        <w:tab/>
        <w:t xml:space="preserve">A aplicação da Justiça Restaurativa no âmbito penal brasileiro não se restringe à figura do magistrado, embora este desempenhe papel fundamental no encaminhamento dos casos e na homologação dos acordos eventualmente celebrados. Nos termos da Resolução nº 225/2016 do Conselho Nacional de Justiça, as práticas restaurativas devem ser conduzidas por facilitadores devidamente capacitados, vinculados ao Poder Judiciário ou a instituições parceiras, assegurando formação específica e observância rigorosa dos princípios da voluntariedade, confidencialidade, imparcialidade, informalidade e segurança. A participação das partes depende de consentimento livre e informado, sendo vedada qualquer forma de coerção ou imposição. </w:t>
      </w:r>
      <w:r>
        <w:rPr>
          <w:rFonts w:ascii="Arial" w:eastAsia="Times New Roman" w:hAnsi="Arial" w:cs="Times New Roman"/>
          <w:sz w:val="24"/>
          <w:szCs w:val="24"/>
        </w:rPr>
        <w:br/>
      </w:r>
      <w:r>
        <w:rPr>
          <w:rFonts w:ascii="Arial" w:eastAsia="Times New Roman" w:hAnsi="Arial" w:cs="Times New Roman"/>
          <w:sz w:val="24"/>
          <w:szCs w:val="24"/>
        </w:rPr>
        <w:tab/>
        <w:t>Ademais, a prática restaurativa deve respeitar as garantias processuais e não pode implicar renúncia automática a direitos fundamentais. Desse modo, sua implementação exige estrutura institucional adequada, equipe interdisciplinar qualificada e controle judicial quanto à legalidade e à compatibilidade dos acordos com o ordenamento jurídico, preservando-se a dignidade da pessoa humana e a autonomia dos envolvidos.</w:t>
      </w:r>
      <w:r>
        <w:rPr>
          <w:rFonts w:ascii="Arial" w:eastAsia="Times New Roman" w:hAnsi="Arial" w:cs="Times New Roman"/>
          <w:sz w:val="24"/>
          <w:szCs w:val="24"/>
        </w:rPr>
        <w:br/>
      </w:r>
      <w:r>
        <w:rPr>
          <w:rFonts w:ascii="Arial" w:eastAsia="Times New Roman" w:hAnsi="Arial" w:cs="Times New Roman"/>
          <w:sz w:val="24"/>
          <w:szCs w:val="24"/>
        </w:rPr>
        <w:tab/>
        <w:t>A distinção entre Justiça Penal tradicional e Justiça Restaurativa revela divergência estrutural quanto à compreensão do crime e ao papel da vítima. No paradigma retributivo, a resposta institucional volta-se à reafirmação da norma violada por meio da aplicação de sanção proporcional, Bittencourt</w:t>
      </w:r>
      <w:r>
        <w:rPr>
          <w:rFonts w:ascii="Arial" w:hAnsi="Arial"/>
          <w:sz w:val="24"/>
          <w:szCs w:val="24"/>
        </w:rPr>
        <w:t xml:space="preserve"> (</w:t>
      </w:r>
      <w:r>
        <w:rPr>
          <w:rFonts w:ascii="Arial" w:eastAsia="Times New Roman" w:hAnsi="Arial" w:cs="Times New Roman"/>
          <w:sz w:val="24"/>
          <w:szCs w:val="24"/>
        </w:rPr>
        <w:t xml:space="preserve">2019). </w:t>
      </w:r>
      <w:r>
        <w:rPr>
          <w:rFonts w:ascii="Arial" w:eastAsia="Times New Roman" w:hAnsi="Arial" w:cs="Times New Roman"/>
          <w:sz w:val="24"/>
          <w:szCs w:val="24"/>
        </w:rPr>
        <w:br/>
      </w:r>
      <w:r>
        <w:rPr>
          <w:rFonts w:ascii="Arial" w:eastAsia="Times New Roman" w:hAnsi="Arial" w:cs="Times New Roman"/>
          <w:sz w:val="24"/>
          <w:szCs w:val="24"/>
        </w:rPr>
        <w:tab/>
        <w:t>O processo penal organiza-se a partir da relação entre Estado, acusação e defesa, priorizando a responsabilização formal do acusado. A vítima, embora reconhecida como sujeito de direitos, não detém protagonismo processual na condução da ação penal, permanecendo frequentemente limitada à função probatória ou à assistência da acusação Capez</w:t>
      </w:r>
      <w:r>
        <w:rPr>
          <w:rFonts w:ascii="Arial" w:hAnsi="Arial"/>
          <w:sz w:val="24"/>
          <w:szCs w:val="24"/>
        </w:rPr>
        <w:t xml:space="preserve"> (</w:t>
      </w:r>
      <w:r>
        <w:rPr>
          <w:rFonts w:ascii="Arial" w:eastAsia="Times New Roman" w:hAnsi="Arial" w:cs="Times New Roman"/>
          <w:sz w:val="24"/>
          <w:szCs w:val="24"/>
        </w:rPr>
        <w:t>2021).</w:t>
      </w:r>
      <w:r>
        <w:rPr>
          <w:rFonts w:ascii="Arial" w:eastAsia="Times New Roman" w:hAnsi="Arial" w:cs="Times New Roman"/>
          <w:sz w:val="24"/>
          <w:szCs w:val="24"/>
        </w:rPr>
        <w:br/>
      </w:r>
      <w:r>
        <w:rPr>
          <w:rFonts w:ascii="Arial" w:eastAsia="Times New Roman" w:hAnsi="Arial" w:cs="Times New Roman"/>
          <w:sz w:val="24"/>
          <w:szCs w:val="24"/>
        </w:rPr>
        <w:tab/>
        <w:t xml:space="preserve">O modelo garantista do processo penal democrático, voltado à contenção do </w:t>
      </w:r>
      <w:r>
        <w:rPr>
          <w:rFonts w:ascii="Arial" w:eastAsia="Times New Roman" w:hAnsi="Arial" w:cs="Times New Roman"/>
          <w:sz w:val="24"/>
          <w:szCs w:val="24"/>
        </w:rPr>
        <w:lastRenderedPageBreak/>
        <w:t>poder punitivo estatal, priorizou historicamente a proteção das garantias do acusado. Conforme leciona Lopes Júnior. (2022), o processo penal foi concebido como instrumento de limitação do poder de punir. Embora essencial à preservação das liberdades individuais, essa estrutura contribuiu para a marginalização da vítima, que permaneceu em plano secundário.</w:t>
      </w:r>
      <w:r>
        <w:rPr>
          <w:rFonts w:ascii="Arial" w:eastAsia="Times New Roman" w:hAnsi="Arial" w:cs="Times New Roman"/>
          <w:sz w:val="24"/>
          <w:szCs w:val="24"/>
        </w:rPr>
        <w:br/>
      </w:r>
      <w:r>
        <w:rPr>
          <w:rFonts w:ascii="Arial" w:eastAsia="Times New Roman" w:hAnsi="Arial" w:cs="Times New Roman"/>
          <w:sz w:val="24"/>
          <w:szCs w:val="24"/>
        </w:rPr>
        <w:tab/>
        <w:t>Em contraste, a Justiça Restaurativa promove reconfiguração paradigmática ao reconhecer que o crime é violação de pessoas e relacionamentos (Zehr, 2012). A centralidade da vítima manifesta-se tanto simbolicamente quanto procedimentalmente, por meio da participação ativa em círculos restaurativos, conferências e encontros mediados. Pranis (2010) destaca que os círculos de construção de paz criam espaços seguros de escuta qualificada, favorecendo o reconhecimento do dano e contribuindo para a redução de processos de revitimização</w:t>
      </w:r>
      <w:r>
        <w:rPr>
          <w:rFonts w:ascii="Arial" w:hAnsi="Arial"/>
          <w:sz w:val="24"/>
          <w:szCs w:val="24"/>
        </w:rPr>
        <w:t>.</w:t>
      </w:r>
      <w:r>
        <w:rPr>
          <w:rFonts w:ascii="Arial" w:hAnsi="Arial"/>
          <w:sz w:val="24"/>
          <w:szCs w:val="24"/>
        </w:rPr>
        <w:br/>
      </w:r>
      <w:r>
        <w:rPr>
          <w:rFonts w:ascii="Arial" w:hAnsi="Arial"/>
          <w:sz w:val="24"/>
          <w:szCs w:val="24"/>
        </w:rPr>
        <w:tab/>
      </w:r>
      <w:r>
        <w:rPr>
          <w:rFonts w:ascii="Arial" w:eastAsia="Times New Roman" w:hAnsi="Arial" w:cs="Times New Roman"/>
          <w:sz w:val="24"/>
          <w:szCs w:val="24"/>
        </w:rPr>
        <w:t>No contexto judicial brasileiro, a institucionalização das práticas restaurativas foi ampliada a partir da atuação do Conselho Nacional de Justiça, que promoveu a implementação de núcleos restaurativos nos tribunais e incentivou a formação de facilitadores capacitados. Dados institucionais indicam ampla difusão da política restaurativa entre os tribunais brasileiros (CNJ, 2022).</w:t>
      </w:r>
      <w:r>
        <w:rPr>
          <w:rFonts w:ascii="Arial" w:eastAsia="Times New Roman" w:hAnsi="Arial" w:cs="Times New Roman"/>
          <w:sz w:val="24"/>
          <w:szCs w:val="24"/>
        </w:rPr>
        <w:br/>
      </w:r>
      <w:r>
        <w:rPr>
          <w:rFonts w:ascii="Arial" w:eastAsia="Times New Roman" w:hAnsi="Arial" w:cs="Times New Roman"/>
          <w:sz w:val="24"/>
          <w:szCs w:val="24"/>
        </w:rPr>
        <w:tab/>
        <w:t>As práticas restaurativas, como círculos de construção de paz, conferências vítima-ofensor e mediação penal, promovem diálogo estruturado e responsabilização consciente. Conforme Braithwaite (2002), a responsabilização restaurativa é mais eficaz quando o ofensor compreende o impacto concreto de sua conduta sobre a vítima, internalizando o dever moral de reparação.</w:t>
      </w:r>
      <w:r>
        <w:rPr>
          <w:rFonts w:ascii="Arial" w:eastAsia="Times New Roman" w:hAnsi="Arial" w:cs="Times New Roman"/>
          <w:sz w:val="24"/>
          <w:szCs w:val="24"/>
        </w:rPr>
        <w:br/>
      </w:r>
      <w:r>
        <w:rPr>
          <w:rFonts w:ascii="Arial" w:eastAsia="Times New Roman" w:hAnsi="Arial" w:cs="Times New Roman"/>
          <w:sz w:val="24"/>
          <w:szCs w:val="24"/>
        </w:rPr>
        <w:tab/>
        <w:t xml:space="preserve">Entretanto, a implementação da Justiça Restaurativa no contexto brasileiro não ocorre sem desafios relevantes. Entre os principais obstáculos destaca-se a resistência cultural do modelo penal tradicional, historicamente orientado por uma lógica retributiva e punitivista, que associa a ideia de justiça à imposição de sanção estatal. </w:t>
      </w:r>
      <w:r>
        <w:rPr>
          <w:rFonts w:ascii="Arial" w:eastAsia="Times New Roman" w:hAnsi="Arial" w:cs="Times New Roman"/>
          <w:sz w:val="24"/>
          <w:szCs w:val="24"/>
        </w:rPr>
        <w:br/>
      </w:r>
      <w:r>
        <w:rPr>
          <w:rFonts w:ascii="Arial" w:eastAsia="Times New Roman" w:hAnsi="Arial" w:cs="Times New Roman"/>
          <w:sz w:val="24"/>
          <w:szCs w:val="24"/>
        </w:rPr>
        <w:tab/>
        <w:t>Nesse cenário, práticas restaurativas podem ser equivocadamente percebidas como medidas de leniência ou despenalização indevida. Soma-se a isso o risco de burocratização das práticas restaurativas, advertido por Achutti (2014), na medida em que sua incorporação institucional pode reduzi-las a meros procedimentos formais, esvaziando sua essência dialógica, participativa e transformadora.</w:t>
      </w:r>
      <w:r>
        <w:rPr>
          <w:rFonts w:ascii="Arial" w:eastAsia="Times New Roman" w:hAnsi="Arial" w:cs="Times New Roman"/>
          <w:sz w:val="24"/>
          <w:szCs w:val="24"/>
        </w:rPr>
        <w:br/>
      </w:r>
      <w:r>
        <w:rPr>
          <w:rFonts w:ascii="Arial" w:eastAsia="Times New Roman" w:hAnsi="Arial" w:cs="Times New Roman"/>
          <w:sz w:val="24"/>
          <w:szCs w:val="24"/>
        </w:rPr>
        <w:tab/>
        <w:t xml:space="preserve">Além disso, a efetiva aplicação demanda capacitação técnica adequada de facilitadores, estrutura institucional organizada e equipes multidisciplinares aptas a conduzir os encontros restaurativos sem risco de revitimização. Outro desafio </w:t>
      </w:r>
      <w:r>
        <w:rPr>
          <w:rFonts w:ascii="Arial" w:eastAsia="Times New Roman" w:hAnsi="Arial" w:cs="Times New Roman"/>
          <w:sz w:val="24"/>
          <w:szCs w:val="24"/>
        </w:rPr>
        <w:lastRenderedPageBreak/>
        <w:t xml:space="preserve">significativo refere-se à compatibilização com as garantias constitucionais do acusado, especialmente no que concerne à voluntariedade, à confidencialidade, à presunção de inocência e à vedação à autoincriminação, sob pena de desvirtuamento do modelo. </w:t>
      </w:r>
      <w:r>
        <w:rPr>
          <w:rFonts w:ascii="Arial" w:eastAsia="Times New Roman" w:hAnsi="Arial" w:cs="Times New Roman"/>
          <w:sz w:val="24"/>
          <w:szCs w:val="24"/>
        </w:rPr>
        <w:br/>
      </w:r>
      <w:r>
        <w:rPr>
          <w:rFonts w:ascii="Arial" w:eastAsia="Times New Roman" w:hAnsi="Arial" w:cs="Times New Roman"/>
          <w:sz w:val="24"/>
          <w:szCs w:val="24"/>
        </w:rPr>
        <w:tab/>
        <w:t>Não menos importante, há o perigo de instrumentalização da Justiça Restaurativa como mero mecanismo de gestão de fluxo processual, utilizado para reduzir a sobrecarga do Judiciário, e não como verdadeira política pública de transformação do tratamento do conflito penal.</w:t>
      </w:r>
      <w:r>
        <w:rPr>
          <w:rFonts w:ascii="Arial" w:eastAsia="Times New Roman" w:hAnsi="Arial" w:cs="Times New Roman"/>
          <w:sz w:val="24"/>
          <w:szCs w:val="24"/>
        </w:rPr>
        <w:tab/>
      </w:r>
      <w:r>
        <w:rPr>
          <w:rFonts w:ascii="Arial" w:eastAsia="Times New Roman" w:hAnsi="Arial" w:cs="Times New Roman"/>
          <w:sz w:val="24"/>
          <w:szCs w:val="24"/>
        </w:rPr>
        <w:tab/>
      </w:r>
      <w:r>
        <w:rPr>
          <w:rFonts w:ascii="Arial" w:eastAsia="Times New Roman" w:hAnsi="Arial" w:cs="Times New Roman"/>
          <w:sz w:val="24"/>
          <w:szCs w:val="24"/>
        </w:rPr>
        <w:br/>
      </w:r>
      <w:r>
        <w:rPr>
          <w:rFonts w:ascii="Arial" w:eastAsia="Times New Roman" w:hAnsi="Arial" w:cs="Times New Roman"/>
          <w:sz w:val="24"/>
          <w:szCs w:val="24"/>
        </w:rPr>
        <w:tab/>
        <w:t>Sob perspectiva constitucional, a centralidade da vítima no paradigma restaurativo harmoniza-se com o princípio da dignidade da pessoa humana, fundamento do Estado Democrático de Direito (Brasil, 1988). Sarlet (2012) afirma que a dignidade representa qualidade intrínseca do ser humano, exigindo respeito e consideração por parte do Estado. Ao assegurar voz ativa, reconhecimento e possibilidade de reparação, a Justiça Restaurativa promove concretização procedimental da dignidade.</w:t>
      </w:r>
      <w:r>
        <w:rPr>
          <w:rFonts w:ascii="Arial" w:eastAsia="Times New Roman" w:hAnsi="Arial" w:cs="Times New Roman"/>
          <w:sz w:val="24"/>
          <w:szCs w:val="24"/>
        </w:rPr>
        <w:br/>
      </w:r>
      <w:r>
        <w:rPr>
          <w:rFonts w:ascii="Arial" w:eastAsia="Times New Roman" w:hAnsi="Arial" w:cs="Times New Roman"/>
          <w:sz w:val="24"/>
          <w:szCs w:val="24"/>
        </w:rPr>
        <w:tab/>
        <w:t>Do ponto de vista sociológico, Luhmann (1985) observa que o direito opera por meio de códigos normativos que simplificam a complexidade social. A Justiça Restaurativa amplia a dimensão comunicativa do sistema jurídico ao incorporar diálogo, escuta e reconstrução relacional, tornando-o mais sensível às experiências subjetivas dos envolvidos.</w:t>
      </w:r>
      <w:r>
        <w:rPr>
          <w:rFonts w:ascii="Arial" w:eastAsia="Times New Roman" w:hAnsi="Arial" w:cs="Times New Roman"/>
          <w:sz w:val="24"/>
          <w:szCs w:val="24"/>
        </w:rPr>
        <w:br/>
      </w:r>
      <w:r>
        <w:rPr>
          <w:rFonts w:ascii="Arial" w:eastAsia="Times New Roman" w:hAnsi="Arial" w:cs="Times New Roman"/>
          <w:sz w:val="24"/>
          <w:szCs w:val="24"/>
        </w:rPr>
        <w:tab/>
        <w:t>A Justiça Restaurativa consolida-se como paradigma de centralidade da vítima na resolução de conflitos penais, promovendo reparação integral, responsabilização consciente e reconstrução dos vínculos sociais. Ao substituir a lógica exclusivamente retributiva por abordagem participativa e humanizada, o modelo restaurativo contribui para a construção de sistema penal mais coerente com os fundamentos constitucionais contemporâneos e com a efetivação da dignidade da pessoa humana.</w:t>
      </w:r>
    </w:p>
    <w:p w:rsidR="009D60B7" w:rsidRPr="00AA63EC" w:rsidRDefault="00425C09" w:rsidP="00AA63EC">
      <w:pPr>
        <w:spacing w:line="360" w:lineRule="auto"/>
        <w:jc w:val="both"/>
        <w:rPr>
          <w:rFonts w:ascii="Arial" w:hAnsi="Arial"/>
          <w:sz w:val="24"/>
          <w:szCs w:val="24"/>
        </w:rPr>
      </w:pPr>
      <w:r w:rsidRPr="00AA63EC">
        <w:rPr>
          <w:rFonts w:ascii="Arial" w:eastAsia="Times New Roman" w:hAnsi="Arial" w:cs="Times New Roman"/>
          <w:bCs/>
          <w:sz w:val="24"/>
          <w:szCs w:val="24"/>
        </w:rPr>
        <w:t>CONCLUSÃO</w:t>
      </w:r>
    </w:p>
    <w:p w:rsidR="009D60B7" w:rsidRDefault="00425C09" w:rsidP="00AA63EC">
      <w:pPr>
        <w:spacing w:line="360" w:lineRule="auto"/>
        <w:ind w:firstLine="855"/>
        <w:jc w:val="both"/>
        <w:rPr>
          <w:rFonts w:ascii="Arial" w:hAnsi="Arial"/>
          <w:sz w:val="24"/>
          <w:szCs w:val="24"/>
        </w:rPr>
      </w:pPr>
      <w:r>
        <w:rPr>
          <w:rFonts w:ascii="Arial" w:eastAsia="Times New Roman" w:hAnsi="Arial" w:cs="Times New Roman"/>
          <w:sz w:val="24"/>
          <w:szCs w:val="24"/>
        </w:rPr>
        <w:t>Por todo o exposto ao longo da presente pesquisa, evidencia-se que o processo penal brasileiro foi historicamente estruturado sob uma lógica retributiva centrada na relação entre Estado e acusado, relegando a vítima a posição secundária no conflito penal. A consolidação do monopólio estatal do jus puniendi transformou o crime em violação abstrata à norma jurídica, deslocando o sofrimento concreto da vítima para plano periférico dentro da persecução penal.</w:t>
      </w:r>
      <w:r>
        <w:rPr>
          <w:rFonts w:ascii="Arial" w:eastAsia="Times New Roman" w:hAnsi="Arial" w:cs="Times New Roman"/>
          <w:sz w:val="24"/>
          <w:szCs w:val="24"/>
        </w:rPr>
        <w:br/>
      </w:r>
      <w:r>
        <w:rPr>
          <w:rFonts w:ascii="Arial" w:eastAsia="Times New Roman" w:hAnsi="Arial" w:cs="Times New Roman"/>
          <w:sz w:val="24"/>
          <w:szCs w:val="24"/>
        </w:rPr>
        <w:tab/>
        <w:t xml:space="preserve">Embora tal modelo tenha sido essencial para a afirmação das garantias fundamentais do acusado e para a contenção do poder punitivo estatal, revelou-se </w:t>
      </w:r>
      <w:r>
        <w:rPr>
          <w:rFonts w:ascii="Arial" w:eastAsia="Times New Roman" w:hAnsi="Arial" w:cs="Times New Roman"/>
          <w:sz w:val="24"/>
          <w:szCs w:val="24"/>
        </w:rPr>
        <w:lastRenderedPageBreak/>
        <w:t>insuficiente para atender às múltiplas dimensões do dano experimentado pela vítima.</w:t>
      </w:r>
      <w:r>
        <w:rPr>
          <w:rFonts w:ascii="Arial" w:eastAsia="Times New Roman" w:hAnsi="Arial" w:cs="Times New Roman"/>
          <w:sz w:val="24"/>
          <w:szCs w:val="24"/>
        </w:rPr>
        <w:br/>
      </w:r>
      <w:r>
        <w:rPr>
          <w:rFonts w:ascii="Arial" w:eastAsia="Times New Roman" w:hAnsi="Arial" w:cs="Times New Roman"/>
          <w:sz w:val="24"/>
          <w:szCs w:val="24"/>
        </w:rPr>
        <w:tab/>
        <w:t>A análise histórica e doutrinária demonstrou que a marginalização da vítima não decorre de ausência normativa absoluta, mas de uma estrutura processual orientada prioritariamente à responsabilização formal do infrator. Ainda que o ordenamento jurídico brasileiro preveja direitos específicos ao ofendido, como participação processual e possibilidade de reparação civil, tais mecanismos mostram-se limitados diante da cultura jurídica predominantemente punitiva e da insuficiente estrutura institucional para atendimento humanizado.</w:t>
      </w:r>
      <w:r>
        <w:rPr>
          <w:rFonts w:ascii="Arial" w:eastAsia="Times New Roman" w:hAnsi="Arial" w:cs="Times New Roman"/>
          <w:sz w:val="24"/>
          <w:szCs w:val="24"/>
        </w:rPr>
        <w:br/>
      </w:r>
      <w:r>
        <w:rPr>
          <w:rFonts w:ascii="Arial" w:eastAsia="Times New Roman" w:hAnsi="Arial" w:cs="Times New Roman"/>
          <w:sz w:val="24"/>
          <w:szCs w:val="24"/>
        </w:rPr>
        <w:tab/>
        <w:t>Nesse contexto, a Justiça Restaurativa apresenta-se como proposta de reconfiguração paradigmática do tratamento do conflito penal. Ao deslocar o foco da punição abstrata para a reparação concreta do dano e para a reconstrução das relações sociais afetadas, o modelo restaurativo reposiciona a vítima como sujeito de direitos dotado de voz ativa, protagonismo e capacidade de influenciar a solução construída. A centralidade da vítima, nesse paradigma, não se limita ao reconhecimento simbólico, mas concretiza-se por meio da escuta qualificada, da participação voluntária e da construção dialógica de medidas reparatórias.</w:t>
      </w:r>
      <w:r>
        <w:rPr>
          <w:rFonts w:ascii="Arial" w:eastAsia="Times New Roman" w:hAnsi="Arial" w:cs="Times New Roman"/>
          <w:sz w:val="24"/>
          <w:szCs w:val="24"/>
        </w:rPr>
        <w:br/>
      </w:r>
      <w:r>
        <w:rPr>
          <w:rFonts w:ascii="Arial" w:eastAsia="Times New Roman" w:hAnsi="Arial" w:cs="Times New Roman"/>
          <w:sz w:val="24"/>
          <w:szCs w:val="24"/>
        </w:rPr>
        <w:tab/>
        <w:t xml:space="preserve">A institucionalização da Justiça Restaurativa no Brasil ocorreu com a edição da Resolução nº 225/2016 do Conselho Nacional de Justiça, que estabeleceu diretrizes para sua implementação no âmbito do Poder Judiciário. Em termos práticos, essa normativa transformou a Justiça Restaurativa em política pública, deixando de ser uma prática isolada para se tornar um modelo estruturado de tratamento de conflitos. </w:t>
      </w:r>
      <w:r>
        <w:rPr>
          <w:rFonts w:ascii="Arial" w:hAnsi="Arial"/>
          <w:sz w:val="24"/>
          <w:szCs w:val="24"/>
        </w:rPr>
        <w:br/>
      </w:r>
      <w:r>
        <w:rPr>
          <w:rFonts w:ascii="Arial" w:hAnsi="Arial"/>
          <w:sz w:val="24"/>
          <w:szCs w:val="24"/>
        </w:rPr>
        <w:tab/>
      </w:r>
      <w:r>
        <w:rPr>
          <w:rFonts w:ascii="Arial" w:eastAsia="Times New Roman" w:hAnsi="Arial" w:cs="Times New Roman"/>
          <w:sz w:val="24"/>
          <w:szCs w:val="24"/>
        </w:rPr>
        <w:t>A partir d</w:t>
      </w:r>
      <w:r>
        <w:rPr>
          <w:rFonts w:ascii="Arial" w:hAnsi="Arial"/>
          <w:sz w:val="24"/>
          <w:szCs w:val="24"/>
        </w:rPr>
        <w:t>a</w:t>
      </w:r>
      <w:r>
        <w:rPr>
          <w:rFonts w:ascii="Arial" w:eastAsia="Times New Roman" w:hAnsi="Arial" w:cs="Times New Roman"/>
          <w:sz w:val="24"/>
          <w:szCs w:val="24"/>
        </w:rPr>
        <w:t xml:space="preserve"> </w:t>
      </w:r>
      <w:r>
        <w:rPr>
          <w:rFonts w:ascii="Arial" w:hAnsi="Arial"/>
          <w:sz w:val="24"/>
          <w:szCs w:val="24"/>
        </w:rPr>
        <w:t>edição da Resolução nº 225/2016 do Conselho Nacional de Justiça</w:t>
      </w:r>
      <w:r>
        <w:rPr>
          <w:rFonts w:ascii="Arial" w:eastAsia="Times New Roman" w:hAnsi="Arial" w:cs="Times New Roman"/>
          <w:sz w:val="24"/>
          <w:szCs w:val="24"/>
        </w:rPr>
        <w:t>, os tribunais passaram a criar núcleos especializados, promover a capacitação de facilitadores e ampliar a participação das vítimas nos procedimentos restaurativos. Dessa forma, a resolução contribuiu para a construção de um sistema de justiça mais humanizado, voltado não apenas à punição do infrator, mas também à escuta, à reparação dos danos e ao reconhecimento das necessidades das pessoas envolvidas no conflito.</w:t>
      </w:r>
      <w:r>
        <w:rPr>
          <w:rFonts w:ascii="Arial" w:eastAsia="Times New Roman" w:hAnsi="Arial" w:cs="Times New Roman"/>
          <w:sz w:val="24"/>
          <w:szCs w:val="24"/>
        </w:rPr>
        <w:br/>
      </w:r>
      <w:r>
        <w:rPr>
          <w:rFonts w:ascii="Arial" w:eastAsia="Times New Roman" w:hAnsi="Arial" w:cs="Times New Roman"/>
          <w:sz w:val="24"/>
          <w:szCs w:val="24"/>
        </w:rPr>
        <w:tab/>
        <w:t xml:space="preserve">Entretanto, a pesquisa também evidenciou que a implementação da Justiça Restaurativa enfrenta limites estruturais e metodológicos. A insuficiência de capacitação contínua, a resistência cultural de operadores do Direito, a desigualdade regional na aplicação das práticas e a ausência de estudos empíricos de longo prazo sobre reincidência e satisfação das vítimas constituem desafios relevantes para sua consolidação definitiva. Além disso, a centralidade da vítima deve ser sempre </w:t>
      </w:r>
      <w:r>
        <w:rPr>
          <w:rFonts w:ascii="Arial" w:eastAsia="Times New Roman" w:hAnsi="Arial" w:cs="Times New Roman"/>
          <w:sz w:val="24"/>
          <w:szCs w:val="24"/>
        </w:rPr>
        <w:lastRenderedPageBreak/>
        <w:t>compatibilizada com as garantias fundamentais do acusado, preservando-se o devido processo legal e a imparcialidade judicial.</w:t>
      </w:r>
      <w:r>
        <w:rPr>
          <w:rFonts w:ascii="Arial" w:eastAsia="Times New Roman" w:hAnsi="Arial" w:cs="Times New Roman"/>
          <w:sz w:val="24"/>
          <w:szCs w:val="24"/>
        </w:rPr>
        <w:br/>
      </w:r>
      <w:r>
        <w:rPr>
          <w:rFonts w:ascii="Arial" w:eastAsia="Times New Roman" w:hAnsi="Arial" w:cs="Times New Roman"/>
          <w:sz w:val="24"/>
          <w:szCs w:val="24"/>
        </w:rPr>
        <w:tab/>
        <w:t>Sob a perspectiva constitucional, a Justiça Restaurativa revela-se instrumento relevante de efetivação do princípio da dignidade da pessoa humana. Ao reconhecer a vítima como sujeito ativo no processo de resolução do conflito, o modelo restaurativo concretiza valores fundamentais do Estado Democrático de Direito, promovendo participação, reconhecimento e reparação integral. Trata-se não de substituição absoluta do sistema penal tradicional, mas de mecanismo complementar capaz de ampliar suas respostas e torná-las mais sensíveis às dimensões humanas do delito.</w:t>
      </w:r>
      <w:r>
        <w:rPr>
          <w:rFonts w:ascii="Arial" w:hAnsi="Arial"/>
          <w:sz w:val="24"/>
          <w:szCs w:val="24"/>
        </w:rPr>
        <w:br/>
      </w:r>
      <w:r>
        <w:rPr>
          <w:rFonts w:ascii="Arial" w:hAnsi="Arial"/>
          <w:sz w:val="24"/>
          <w:szCs w:val="24"/>
        </w:rPr>
        <w:tab/>
      </w:r>
      <w:r>
        <w:rPr>
          <w:rFonts w:ascii="Arial" w:eastAsia="Times New Roman" w:hAnsi="Arial" w:cs="Times New Roman"/>
          <w:sz w:val="24"/>
          <w:szCs w:val="24"/>
        </w:rPr>
        <w:t xml:space="preserve">Conclui-se, portanto, que a Justiça Restaurativa representa avanço significativo na construção de um sistema penal mais inclusivo, participativo e orientado à pacificação social. Sua consolidação, contudo, depende de compromisso institucional contínuo, investimento em formação especializada e fortalecimento de políticas públicas que assegurem sua aplicação responsável e metodologicamente adequada. </w:t>
      </w:r>
      <w:r>
        <w:rPr>
          <w:rFonts w:ascii="Arial" w:eastAsia="Times New Roman" w:hAnsi="Arial" w:cs="Times New Roman"/>
          <w:sz w:val="24"/>
          <w:szCs w:val="24"/>
        </w:rPr>
        <w:br/>
      </w:r>
      <w:r>
        <w:rPr>
          <w:rFonts w:ascii="Arial" w:eastAsia="Times New Roman" w:hAnsi="Arial" w:cs="Times New Roman"/>
          <w:sz w:val="24"/>
          <w:szCs w:val="24"/>
        </w:rPr>
        <w:tab/>
        <w:t>A centralidade da vítima no processo penal brasileiro não se efetiva apenas por meio de previsão normativa, mas pela transformação concreta das práticas jurídicas e pela incorporação de uma cultura de diálogo, responsabilização consciente e reconstrução relacional.</w:t>
      </w:r>
      <w:r>
        <w:rPr>
          <w:rFonts w:ascii="Arial" w:eastAsia="Times New Roman" w:hAnsi="Arial" w:cs="Times New Roman"/>
          <w:sz w:val="24"/>
          <w:szCs w:val="24"/>
        </w:rPr>
        <w:br/>
      </w:r>
      <w:r>
        <w:rPr>
          <w:rFonts w:ascii="Arial" w:eastAsia="Times New Roman" w:hAnsi="Arial" w:cs="Times New Roman"/>
          <w:sz w:val="24"/>
          <w:szCs w:val="24"/>
        </w:rPr>
        <w:tab/>
        <w:t>Assim, a Justiça Restaurativa configura-se como instrumento relevante de efetivação de direitos, contribuindo para a superação da marginalização histórica da vítima e para a construção de um modelo de justiça criminal mais humano, equilibrado e coerente com os fundamentos constitucionais contemporâneos.</w:t>
      </w:r>
      <w:r>
        <w:rPr>
          <w:rFonts w:ascii="Arial" w:eastAsia="Times New Roman" w:hAnsi="Arial" w:cs="Times New Roman"/>
          <w:sz w:val="24"/>
          <w:szCs w:val="24"/>
        </w:rPr>
        <w:br/>
      </w:r>
      <w:r>
        <w:rPr>
          <w:rFonts w:ascii="Arial" w:eastAsia="Times New Roman" w:hAnsi="Arial" w:cs="Times New Roman"/>
          <w:sz w:val="24"/>
          <w:szCs w:val="24"/>
        </w:rPr>
        <w:tab/>
        <w:t>A partir da análise realizada, verifica-se que a Justiça Restaurativa representa importante avanço na forma de tratamento dos conflitos penais, ao deslocar o foco exclusivamente punitivo para uma abordagem voltada à reparação dos danos e à participação ativa das partes envolvidas. Ao reconhecer a vítima como sujeito central no processo de resolução do conflito, o paradigma restaurativo contribui para a construção de respostas mais humanas, dialógicas e socialmente eficazes.</w:t>
      </w:r>
      <w:r>
        <w:rPr>
          <w:rFonts w:ascii="Arial" w:eastAsia="Times New Roman" w:hAnsi="Arial" w:cs="Times New Roman"/>
          <w:sz w:val="24"/>
          <w:szCs w:val="24"/>
        </w:rPr>
        <w:br/>
      </w:r>
      <w:r>
        <w:rPr>
          <w:rFonts w:ascii="Arial" w:eastAsia="Times New Roman" w:hAnsi="Arial" w:cs="Times New Roman"/>
          <w:sz w:val="24"/>
          <w:szCs w:val="24"/>
        </w:rPr>
        <w:tab/>
        <w:t>Dessa forma, a Justiça Restaurativa revela-se não apenas como alternativa ao modelo punitivo tradicional, mas como instrumento de humanização do sistema penal, capaz de promover reparação, responsabilização consciente e efetivação da dignidade da pessoa humana no tratamento dos conflitos penais.</w:t>
      </w:r>
    </w:p>
    <w:p w:rsidR="009D60B7" w:rsidRPr="00AA63EC" w:rsidRDefault="00425C09">
      <w:pPr>
        <w:spacing w:before="240" w:after="240" w:line="360" w:lineRule="auto"/>
        <w:jc w:val="both"/>
        <w:rPr>
          <w:rFonts w:ascii="Arial" w:hAnsi="Arial"/>
          <w:sz w:val="24"/>
          <w:szCs w:val="24"/>
        </w:rPr>
      </w:pPr>
      <w:r w:rsidRPr="00AA63EC">
        <w:rPr>
          <w:rFonts w:ascii="Arial" w:eastAsia="Times New Roman" w:hAnsi="Arial" w:cs="Times New Roman"/>
          <w:bCs/>
          <w:sz w:val="24"/>
          <w:szCs w:val="24"/>
        </w:rPr>
        <w:t>REFERÊNCIAS</w:t>
      </w:r>
    </w:p>
    <w:p w:rsidR="009D60B7" w:rsidRDefault="00425C09">
      <w:pPr>
        <w:rPr>
          <w:rFonts w:ascii="Arial" w:eastAsia="Times New Roman" w:hAnsi="Arial" w:cs="Times New Roman"/>
          <w:sz w:val="24"/>
          <w:szCs w:val="24"/>
        </w:rPr>
      </w:pPr>
      <w:r>
        <w:rPr>
          <w:rFonts w:ascii="Arial" w:eastAsia="Times New Roman" w:hAnsi="Arial" w:cs="Times New Roman"/>
          <w:sz w:val="24"/>
          <w:szCs w:val="24"/>
        </w:rPr>
        <w:lastRenderedPageBreak/>
        <w:t>ACHUTTI, Valdir.</w:t>
      </w:r>
      <w:r>
        <w:rPr>
          <w:rFonts w:ascii="Arial" w:eastAsia="Times New Roman" w:hAnsi="Arial" w:cs="Times New Roman"/>
          <w:b/>
          <w:bCs/>
          <w:sz w:val="24"/>
          <w:szCs w:val="24"/>
        </w:rPr>
        <w:t xml:space="preserve"> Justiça Restaurativa: fundamentos e prática</w:t>
      </w:r>
      <w:r>
        <w:rPr>
          <w:rFonts w:ascii="Arial" w:eastAsia="Times New Roman" w:hAnsi="Arial" w:cs="Times New Roman"/>
          <w:sz w:val="24"/>
          <w:szCs w:val="24"/>
        </w:rPr>
        <w:t>. 2. ed. São Paulo: Atlas, 2014.</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ANDRADE, Antônio Carlos. </w:t>
      </w:r>
      <w:r>
        <w:rPr>
          <w:rFonts w:ascii="Arial" w:eastAsia="Times New Roman" w:hAnsi="Arial" w:cs="Times New Roman"/>
          <w:b/>
          <w:bCs/>
          <w:sz w:val="24"/>
          <w:szCs w:val="24"/>
        </w:rPr>
        <w:t>Vitimologia: estudo da vítima no contexto criminal</w:t>
      </w:r>
      <w:r>
        <w:rPr>
          <w:rFonts w:ascii="Arial" w:eastAsia="Times New Roman" w:hAnsi="Arial" w:cs="Times New Roman"/>
          <w:sz w:val="24"/>
          <w:szCs w:val="24"/>
        </w:rPr>
        <w:t>. 3. ed. Rio de Janeiro: Forense, 2003.</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BADARÓ, Gustavo. </w:t>
      </w:r>
      <w:r>
        <w:rPr>
          <w:rFonts w:ascii="Arial" w:eastAsia="Times New Roman" w:hAnsi="Arial" w:cs="Times New Roman"/>
          <w:b/>
          <w:bCs/>
          <w:sz w:val="24"/>
          <w:szCs w:val="24"/>
        </w:rPr>
        <w:t>Direitos da vítima e garantias do acusado: limites e desafios</w:t>
      </w:r>
      <w:r>
        <w:rPr>
          <w:rFonts w:ascii="Arial" w:eastAsia="Times New Roman" w:hAnsi="Arial" w:cs="Times New Roman"/>
          <w:sz w:val="24"/>
          <w:szCs w:val="24"/>
        </w:rPr>
        <w:t>. Revista Brasileira de Direito Penal, v. 15, n. 2, p. 140-160, 2022.</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BITTENCOURT, Cezar. </w:t>
      </w:r>
      <w:r>
        <w:rPr>
          <w:rFonts w:ascii="Arial" w:eastAsia="Times New Roman" w:hAnsi="Arial" w:cs="Times New Roman"/>
          <w:b/>
          <w:bCs/>
          <w:sz w:val="24"/>
          <w:szCs w:val="24"/>
        </w:rPr>
        <w:t>Tratado de Direito Penal</w:t>
      </w:r>
      <w:r>
        <w:rPr>
          <w:rFonts w:ascii="Arial" w:eastAsia="Times New Roman" w:hAnsi="Arial" w:cs="Times New Roman"/>
          <w:sz w:val="24"/>
          <w:szCs w:val="24"/>
        </w:rPr>
        <w:t>. Parte Geral. 25. ed. São Paulo: Saraiva, 2019.</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BRAITHWAITE, John.</w:t>
      </w:r>
      <w:r>
        <w:rPr>
          <w:rFonts w:ascii="Arial" w:eastAsia="Times New Roman" w:hAnsi="Arial" w:cs="Times New Roman"/>
          <w:b/>
          <w:bCs/>
          <w:sz w:val="24"/>
          <w:szCs w:val="24"/>
        </w:rPr>
        <w:t xml:space="preserve"> </w:t>
      </w:r>
      <w:r>
        <w:rPr>
          <w:rFonts w:ascii="Arial" w:eastAsia="Times New Roman" w:hAnsi="Arial" w:cs="Times New Roman"/>
          <w:b/>
          <w:bCs/>
          <w:sz w:val="24"/>
          <w:szCs w:val="24"/>
          <w:lang w:val="en-US"/>
        </w:rPr>
        <w:t>Restorative justice and responsive regulation</w:t>
      </w:r>
      <w:r>
        <w:rPr>
          <w:rFonts w:ascii="Arial" w:eastAsia="Times New Roman" w:hAnsi="Arial" w:cs="Times New Roman"/>
          <w:sz w:val="24"/>
          <w:szCs w:val="24"/>
          <w:lang w:val="en-US"/>
        </w:rPr>
        <w:t xml:space="preserve">. </w:t>
      </w:r>
      <w:r>
        <w:rPr>
          <w:rFonts w:ascii="Arial" w:eastAsia="Times New Roman" w:hAnsi="Arial" w:cs="Times New Roman"/>
          <w:sz w:val="24"/>
          <w:szCs w:val="24"/>
        </w:rPr>
        <w:t>Oxford: Oxford University Press, 2002.</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BRASIL. </w:t>
      </w:r>
      <w:r>
        <w:rPr>
          <w:rFonts w:ascii="Arial" w:eastAsia="Times New Roman" w:hAnsi="Arial" w:cs="Times New Roman"/>
          <w:b/>
          <w:bCs/>
          <w:sz w:val="24"/>
          <w:szCs w:val="24"/>
        </w:rPr>
        <w:t>Constituição da República Federativa do Brasil de 1988</w:t>
      </w:r>
      <w:r>
        <w:rPr>
          <w:rFonts w:ascii="Arial" w:eastAsia="Times New Roman" w:hAnsi="Arial" w:cs="Times New Roman"/>
          <w:sz w:val="24"/>
          <w:szCs w:val="24"/>
        </w:rPr>
        <w:t>. Diário Oficial da União, Brasília, 5 out. 1988.</w:t>
      </w:r>
    </w:p>
    <w:p w:rsidR="009D60B7" w:rsidRDefault="009D60B7">
      <w:pPr>
        <w:rPr>
          <w:rFonts w:ascii="Arial" w:eastAsia="Times New Roman" w:hAnsi="Arial" w:cs="Times New Roman"/>
          <w:sz w:val="24"/>
          <w:szCs w:val="24"/>
        </w:rPr>
      </w:pPr>
    </w:p>
    <w:p w:rsidR="009D60B7" w:rsidRDefault="00425C09">
      <w:pPr>
        <w:rPr>
          <w:rFonts w:ascii="Arial" w:hAnsi="Arial"/>
          <w:sz w:val="24"/>
          <w:szCs w:val="24"/>
        </w:rPr>
      </w:pPr>
      <w:r>
        <w:rPr>
          <w:rFonts w:ascii="Arial" w:hAnsi="Arial"/>
          <w:sz w:val="24"/>
          <w:szCs w:val="24"/>
        </w:rPr>
        <w:t xml:space="preserve">BRASIL. </w:t>
      </w:r>
      <w:r>
        <w:rPr>
          <w:rFonts w:ascii="Arial" w:hAnsi="Arial"/>
          <w:b/>
          <w:bCs/>
          <w:sz w:val="24"/>
          <w:szCs w:val="24"/>
        </w:rPr>
        <w:t>Código de Processo Penal, Decreto-Lei nº 3.689, de 3 de outubro de 1941</w:t>
      </w:r>
      <w:r>
        <w:rPr>
          <w:rFonts w:ascii="Arial" w:hAnsi="Arial"/>
          <w:sz w:val="24"/>
          <w:szCs w:val="24"/>
        </w:rPr>
        <w:t>. Disponível em:</w:t>
      </w:r>
      <w:hyperlink r:id="rId72">
        <w:r>
          <w:rPr>
            <w:rFonts w:ascii="Arial" w:hAnsi="Arial"/>
            <w:color w:val="0000FF"/>
            <w:sz w:val="24"/>
            <w:szCs w:val="24"/>
          </w:rPr>
          <w:t xml:space="preserve"> </w:t>
        </w:r>
      </w:hyperlink>
      <w:hyperlink r:id="rId73">
        <w:r>
          <w:rPr>
            <w:rFonts w:ascii="Arial" w:hAnsi="Arial"/>
            <w:color w:val="0000FF"/>
            <w:sz w:val="24"/>
            <w:szCs w:val="24"/>
            <w:u w:val="single"/>
          </w:rPr>
          <w:t>http://www.planalto.gov.br/ccivil_03/decreto-lei/Del3689.htm</w:t>
        </w:r>
      </w:hyperlink>
      <w:r>
        <w:rPr>
          <w:rFonts w:ascii="Arial" w:hAnsi="Arial"/>
          <w:color w:val="0000FF"/>
          <w:sz w:val="24"/>
          <w:szCs w:val="24"/>
        </w:rPr>
        <w:t>.</w:t>
      </w:r>
      <w:r>
        <w:rPr>
          <w:rFonts w:ascii="Arial" w:hAnsi="Arial"/>
          <w:sz w:val="24"/>
          <w:szCs w:val="24"/>
        </w:rPr>
        <w:t xml:space="preserve"> Acesso em: 19 fev. 2026.</w:t>
      </w:r>
    </w:p>
    <w:p w:rsidR="009D60B7" w:rsidRDefault="009D60B7">
      <w:pPr>
        <w:rPr>
          <w:rFonts w:ascii="Arial" w:hAnsi="Arial"/>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BRASIL.</w:t>
      </w:r>
      <w:r>
        <w:rPr>
          <w:rFonts w:ascii="Arial" w:eastAsia="Times New Roman" w:hAnsi="Arial" w:cs="Times New Roman"/>
          <w:b/>
          <w:bCs/>
          <w:sz w:val="24"/>
          <w:szCs w:val="24"/>
        </w:rPr>
        <w:t xml:space="preserve"> Código Penal, Decreto-Lei nº 2.848, de 7 de dezembro de 1940</w:t>
      </w:r>
      <w:r>
        <w:rPr>
          <w:rFonts w:ascii="Arial" w:eastAsia="Times New Roman" w:hAnsi="Arial" w:cs="Times New Roman"/>
          <w:sz w:val="24"/>
          <w:szCs w:val="24"/>
        </w:rPr>
        <w:t>. Disponível em:</w:t>
      </w:r>
      <w:hyperlink r:id="rId74">
        <w:r>
          <w:rPr>
            <w:rFonts w:ascii="Arial" w:eastAsia="Times New Roman" w:hAnsi="Arial" w:cs="Times New Roman"/>
            <w:sz w:val="24"/>
            <w:szCs w:val="24"/>
          </w:rPr>
          <w:t xml:space="preserve"> </w:t>
        </w:r>
      </w:hyperlink>
      <w:hyperlink r:id="rId75">
        <w:r>
          <w:rPr>
            <w:rFonts w:ascii="Arial" w:eastAsia="Times New Roman" w:hAnsi="Arial" w:cs="Times New Roman"/>
            <w:color w:val="0000FF"/>
            <w:sz w:val="24"/>
            <w:szCs w:val="24"/>
            <w:u w:val="single"/>
          </w:rPr>
          <w:t>http://www.planalto.gov.br/ccivil_03/decreto-lei/Del2848.htm</w:t>
        </w:r>
      </w:hyperlink>
      <w:r>
        <w:rPr>
          <w:rFonts w:ascii="Arial" w:eastAsia="Times New Roman" w:hAnsi="Arial" w:cs="Times New Roman"/>
          <w:color w:val="0000FF"/>
          <w:sz w:val="24"/>
          <w:szCs w:val="24"/>
        </w:rPr>
        <w:t>.</w:t>
      </w:r>
      <w:r>
        <w:rPr>
          <w:rFonts w:ascii="Arial" w:eastAsia="Times New Roman" w:hAnsi="Arial" w:cs="Times New Roman"/>
          <w:sz w:val="24"/>
          <w:szCs w:val="24"/>
        </w:rPr>
        <w:t xml:space="preserve"> Acesso em: 19 fev.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BRASIL. Conselho Nacional de Justiça. </w:t>
      </w:r>
      <w:r>
        <w:rPr>
          <w:rFonts w:ascii="Arial" w:eastAsia="Times New Roman" w:hAnsi="Arial" w:cs="Times New Roman"/>
          <w:b/>
          <w:bCs/>
          <w:sz w:val="24"/>
          <w:szCs w:val="24"/>
        </w:rPr>
        <w:t xml:space="preserve">Resolução nº 225, de 28 de abril de 2016. </w:t>
      </w:r>
      <w:r>
        <w:rPr>
          <w:rFonts w:ascii="Arial" w:eastAsia="Times New Roman" w:hAnsi="Arial" w:cs="Times New Roman"/>
          <w:sz w:val="24"/>
          <w:szCs w:val="24"/>
        </w:rPr>
        <w:t>Institui a Política Nacional de Justiça Restaurativa no âmbito do Poder Judiciário. Disponível em:</w:t>
      </w:r>
      <w:hyperlink r:id="rId76">
        <w:r>
          <w:rPr>
            <w:rFonts w:ascii="Arial" w:eastAsia="Times New Roman" w:hAnsi="Arial" w:cs="Times New Roman"/>
            <w:sz w:val="24"/>
            <w:szCs w:val="24"/>
          </w:rPr>
          <w:t xml:space="preserve"> </w:t>
        </w:r>
      </w:hyperlink>
      <w:hyperlink r:id="rId77">
        <w:r>
          <w:rPr>
            <w:rFonts w:ascii="Arial" w:eastAsia="Times New Roman" w:hAnsi="Arial" w:cs="Times New Roman"/>
            <w:color w:val="0000FF"/>
            <w:sz w:val="24"/>
            <w:szCs w:val="24"/>
            <w:u w:val="single"/>
          </w:rPr>
          <w:t>https://www.cnj.jus.br/wp-content/uploads/2016/05/resolucao225.pdf</w:t>
        </w:r>
      </w:hyperlink>
      <w:r>
        <w:rPr>
          <w:rFonts w:ascii="Arial" w:eastAsia="Times New Roman" w:hAnsi="Arial" w:cs="Times New Roman"/>
          <w:color w:val="0000FF"/>
          <w:sz w:val="24"/>
          <w:szCs w:val="24"/>
        </w:rPr>
        <w:t>.</w:t>
      </w:r>
      <w:r>
        <w:rPr>
          <w:rFonts w:ascii="Arial" w:eastAsia="Times New Roman" w:hAnsi="Arial" w:cs="Times New Roman"/>
          <w:sz w:val="24"/>
          <w:szCs w:val="24"/>
        </w:rPr>
        <w:t xml:space="preserve"> Acesso em: 19 fev.</w:t>
      </w: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BRASIL. </w:t>
      </w:r>
      <w:r>
        <w:rPr>
          <w:rFonts w:ascii="Arial" w:eastAsia="Times New Roman" w:hAnsi="Arial" w:cs="Times New Roman"/>
          <w:b/>
          <w:bCs/>
          <w:sz w:val="24"/>
          <w:szCs w:val="24"/>
        </w:rPr>
        <w:t>Lei de Execução Penal, Lei nº 7.210, de 11 de julho de 1984.</w:t>
      </w:r>
      <w:r>
        <w:rPr>
          <w:rFonts w:ascii="Arial" w:eastAsia="Times New Roman" w:hAnsi="Arial" w:cs="Times New Roman"/>
          <w:sz w:val="24"/>
          <w:szCs w:val="24"/>
        </w:rPr>
        <w:t xml:space="preserve"> Disponível em:</w:t>
      </w:r>
      <w:hyperlink r:id="rId78">
        <w:r>
          <w:rPr>
            <w:rFonts w:ascii="Arial" w:eastAsia="Times New Roman" w:hAnsi="Arial" w:cs="Times New Roman"/>
            <w:sz w:val="24"/>
            <w:szCs w:val="24"/>
          </w:rPr>
          <w:t xml:space="preserve"> </w:t>
        </w:r>
      </w:hyperlink>
      <w:hyperlink r:id="rId79">
        <w:r>
          <w:rPr>
            <w:rFonts w:ascii="Arial" w:eastAsia="Times New Roman" w:hAnsi="Arial" w:cs="Times New Roman"/>
            <w:color w:val="0000FF"/>
            <w:sz w:val="24"/>
            <w:szCs w:val="24"/>
            <w:u w:val="single"/>
          </w:rPr>
          <w:t>http://www.planalto.gov.br/ccivil_03/leis/L7210.htm</w:t>
        </w:r>
      </w:hyperlink>
      <w:r>
        <w:rPr>
          <w:rFonts w:ascii="Arial" w:eastAsia="Times New Roman" w:hAnsi="Arial" w:cs="Times New Roman"/>
          <w:color w:val="0000FF"/>
          <w:sz w:val="24"/>
          <w:szCs w:val="24"/>
        </w:rPr>
        <w:t>.</w:t>
      </w:r>
      <w:r>
        <w:rPr>
          <w:rFonts w:ascii="Arial" w:eastAsia="Times New Roman" w:hAnsi="Arial" w:cs="Times New Roman"/>
          <w:sz w:val="24"/>
          <w:szCs w:val="24"/>
        </w:rPr>
        <w:t xml:space="preserve"> Acesso em: 19 fev.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BRASIL. Ministério da Justiça e Segurança Pública. Secretaria Nacional de Políticas Penais. </w:t>
      </w:r>
      <w:r>
        <w:rPr>
          <w:rFonts w:ascii="Arial" w:eastAsia="Times New Roman" w:hAnsi="Arial" w:cs="Times New Roman"/>
          <w:b/>
          <w:bCs/>
          <w:sz w:val="24"/>
          <w:szCs w:val="24"/>
        </w:rPr>
        <w:t>Sistema Nacional de Informações Penais (SISDEPEN): 18º ciclo – 1º semestre de 2025</w:t>
      </w:r>
      <w:r>
        <w:rPr>
          <w:rFonts w:ascii="Arial" w:eastAsia="Times New Roman" w:hAnsi="Arial" w:cs="Times New Roman"/>
          <w:sz w:val="24"/>
          <w:szCs w:val="24"/>
        </w:rPr>
        <w:t>. Brasília: SENAPPEN, 2025. Disponível em:</w:t>
      </w:r>
      <w:hyperlink r:id="rId80">
        <w:r>
          <w:rPr>
            <w:rFonts w:ascii="Arial" w:eastAsia="Times New Roman" w:hAnsi="Arial" w:cs="Times New Roman"/>
            <w:sz w:val="24"/>
            <w:szCs w:val="24"/>
          </w:rPr>
          <w:t xml:space="preserve"> </w:t>
        </w:r>
      </w:hyperlink>
      <w:hyperlink r:id="rId81">
        <w:r>
          <w:rPr>
            <w:rFonts w:ascii="Arial" w:eastAsia="Times New Roman" w:hAnsi="Arial" w:cs="Times New Roman"/>
            <w:color w:val="0000FF"/>
            <w:sz w:val="24"/>
            <w:szCs w:val="24"/>
            <w:u w:val="single"/>
          </w:rPr>
          <w:t>https://www.gov.br/senappen</w:t>
        </w:r>
      </w:hyperlink>
      <w:r>
        <w:rPr>
          <w:rFonts w:ascii="Arial" w:eastAsia="Times New Roman" w:hAnsi="Arial" w:cs="Times New Roman"/>
          <w:color w:val="0000FF"/>
          <w:sz w:val="24"/>
          <w:szCs w:val="24"/>
        </w:rPr>
        <w:t>.</w:t>
      </w:r>
      <w:r>
        <w:rPr>
          <w:rFonts w:ascii="Arial" w:eastAsia="Times New Roman" w:hAnsi="Arial" w:cs="Times New Roman"/>
          <w:sz w:val="24"/>
          <w:szCs w:val="24"/>
        </w:rPr>
        <w:t xml:space="preserve"> Acesso em: 04 mar.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CAPEZ, Fernando.</w:t>
      </w:r>
      <w:r>
        <w:rPr>
          <w:rFonts w:ascii="Arial" w:eastAsia="Times New Roman" w:hAnsi="Arial" w:cs="Times New Roman"/>
          <w:b/>
          <w:bCs/>
          <w:sz w:val="24"/>
          <w:szCs w:val="24"/>
        </w:rPr>
        <w:t xml:space="preserve"> Curso de Direito Penal</w:t>
      </w:r>
      <w:r>
        <w:rPr>
          <w:rFonts w:ascii="Arial" w:eastAsia="Times New Roman" w:hAnsi="Arial" w:cs="Times New Roman"/>
          <w:sz w:val="24"/>
          <w:szCs w:val="24"/>
        </w:rPr>
        <w:t>. 13. ed. São Paulo: Saraiva, 2021.</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lang w:val="en-US"/>
        </w:rPr>
      </w:pPr>
      <w:r>
        <w:rPr>
          <w:rFonts w:ascii="Arial" w:eastAsia="Times New Roman" w:hAnsi="Arial" w:cs="Times New Roman"/>
          <w:sz w:val="24"/>
          <w:szCs w:val="24"/>
        </w:rPr>
        <w:t>CHRISTIE, Nils</w:t>
      </w:r>
      <w:r>
        <w:rPr>
          <w:rFonts w:ascii="Arial" w:eastAsia="Times New Roman" w:hAnsi="Arial" w:cs="Times New Roman"/>
          <w:b/>
          <w:bCs/>
          <w:sz w:val="24"/>
          <w:szCs w:val="24"/>
        </w:rPr>
        <w:t xml:space="preserve">. </w:t>
      </w:r>
      <w:r>
        <w:rPr>
          <w:rFonts w:ascii="Arial" w:eastAsia="Times New Roman" w:hAnsi="Arial" w:cs="Times New Roman"/>
          <w:b/>
          <w:bCs/>
          <w:sz w:val="24"/>
          <w:szCs w:val="24"/>
          <w:lang w:val="en-US"/>
        </w:rPr>
        <w:t>Conflicts as property</w:t>
      </w:r>
      <w:r>
        <w:rPr>
          <w:rFonts w:ascii="Arial" w:eastAsia="Times New Roman" w:hAnsi="Arial" w:cs="Times New Roman"/>
          <w:sz w:val="24"/>
          <w:szCs w:val="24"/>
          <w:lang w:val="en-US"/>
        </w:rPr>
        <w:t>. British Journal of Criminology, v. 17, n. 1, p. 1-15, 1977.</w:t>
      </w:r>
    </w:p>
    <w:p w:rsidR="009D60B7" w:rsidRDefault="009D60B7">
      <w:pPr>
        <w:rPr>
          <w:rFonts w:ascii="Arial" w:eastAsia="Times New Roman" w:hAnsi="Arial" w:cs="Times New Roman"/>
          <w:sz w:val="24"/>
          <w:szCs w:val="24"/>
          <w:lang w:val="en-US"/>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CONSELHO NACIONAL DE JUSTIÇA (CNJ).</w:t>
      </w:r>
      <w:r>
        <w:rPr>
          <w:rFonts w:ascii="Arial" w:eastAsia="Times New Roman" w:hAnsi="Arial" w:cs="Times New Roman"/>
          <w:b/>
          <w:bCs/>
          <w:sz w:val="24"/>
          <w:szCs w:val="24"/>
        </w:rPr>
        <w:t xml:space="preserve"> II Mapeamento Nacional da Justiça Restaurativa.</w:t>
      </w:r>
      <w:r>
        <w:rPr>
          <w:rFonts w:ascii="Arial" w:eastAsia="Times New Roman" w:hAnsi="Arial" w:cs="Times New Roman"/>
          <w:sz w:val="24"/>
          <w:szCs w:val="24"/>
        </w:rPr>
        <w:t xml:space="preserve"> Brasília: CNJ, 2022. Disponível em:</w:t>
      </w:r>
      <w:hyperlink r:id="rId82">
        <w:r>
          <w:rPr>
            <w:rFonts w:ascii="Arial" w:eastAsia="Times New Roman" w:hAnsi="Arial" w:cs="Times New Roman"/>
            <w:sz w:val="24"/>
            <w:szCs w:val="24"/>
          </w:rPr>
          <w:t xml:space="preserve"> </w:t>
        </w:r>
      </w:hyperlink>
      <w:hyperlink r:id="rId83">
        <w:r>
          <w:rPr>
            <w:rFonts w:ascii="Arial" w:eastAsia="Times New Roman" w:hAnsi="Arial" w:cs="Times New Roman"/>
            <w:color w:val="0000FF"/>
            <w:sz w:val="24"/>
            <w:szCs w:val="24"/>
            <w:u w:val="single"/>
          </w:rPr>
          <w:t>https://www.cnj.jus.br/programas-e-acoes/justica-restaurativa/</w:t>
        </w:r>
      </w:hyperlink>
      <w:r>
        <w:rPr>
          <w:rFonts w:ascii="Arial" w:eastAsia="Times New Roman" w:hAnsi="Arial" w:cs="Times New Roman"/>
          <w:color w:val="0000FF"/>
          <w:sz w:val="24"/>
          <w:szCs w:val="24"/>
        </w:rPr>
        <w:t xml:space="preserve">. </w:t>
      </w:r>
      <w:r>
        <w:rPr>
          <w:rFonts w:ascii="Arial" w:eastAsia="Times New Roman" w:hAnsi="Arial" w:cs="Times New Roman"/>
          <w:sz w:val="24"/>
          <w:szCs w:val="24"/>
        </w:rPr>
        <w:t>Acesso em: 19 fev.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FERRAJOLI, Luigi. </w:t>
      </w:r>
      <w:r>
        <w:rPr>
          <w:rFonts w:ascii="Arial" w:eastAsia="Times New Roman" w:hAnsi="Arial" w:cs="Times New Roman"/>
          <w:b/>
          <w:bCs/>
          <w:sz w:val="24"/>
          <w:szCs w:val="24"/>
        </w:rPr>
        <w:t>Direitos e garantias fundamentais.</w:t>
      </w:r>
      <w:r>
        <w:rPr>
          <w:rFonts w:ascii="Arial" w:eastAsia="Times New Roman" w:hAnsi="Arial" w:cs="Times New Roman"/>
          <w:sz w:val="24"/>
          <w:szCs w:val="24"/>
        </w:rPr>
        <w:t xml:space="preserve"> Tradução de Pedro Ivo Pinho. </w:t>
      </w:r>
      <w:r>
        <w:rPr>
          <w:rFonts w:ascii="Arial" w:eastAsia="Times New Roman" w:hAnsi="Arial" w:cs="Times New Roman"/>
          <w:sz w:val="24"/>
          <w:szCs w:val="24"/>
        </w:rPr>
        <w:lastRenderedPageBreak/>
        <w:t>São Paulo: Martins Fontes, 2014.</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GRECO, Rogério. </w:t>
      </w:r>
      <w:r>
        <w:rPr>
          <w:rFonts w:ascii="Arial" w:eastAsia="Times New Roman" w:hAnsi="Arial" w:cs="Times New Roman"/>
          <w:b/>
          <w:bCs/>
          <w:sz w:val="24"/>
          <w:szCs w:val="24"/>
        </w:rPr>
        <w:t>Sistema penitenciário brasileiro: desafios e perspectivas</w:t>
      </w:r>
      <w:r>
        <w:rPr>
          <w:rFonts w:ascii="Arial" w:eastAsia="Times New Roman" w:hAnsi="Arial" w:cs="Times New Roman"/>
          <w:sz w:val="24"/>
          <w:szCs w:val="24"/>
        </w:rPr>
        <w:t>. Revista de Ciências Criminais, v. 12, n. 1, p. 30-50, 2020.</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LUHMANN, Niklas. </w:t>
      </w:r>
      <w:r>
        <w:rPr>
          <w:rFonts w:ascii="Arial" w:eastAsia="Times New Roman" w:hAnsi="Arial" w:cs="Times New Roman"/>
          <w:b/>
          <w:bCs/>
          <w:sz w:val="24"/>
          <w:szCs w:val="24"/>
        </w:rPr>
        <w:t>Direito e sociedade</w:t>
      </w:r>
      <w:r>
        <w:rPr>
          <w:rFonts w:ascii="Arial" w:eastAsia="Times New Roman" w:hAnsi="Arial" w:cs="Times New Roman"/>
          <w:sz w:val="24"/>
          <w:szCs w:val="24"/>
        </w:rPr>
        <w:t>. Tradução de Reinaldo Gonçalves. Rio de Janeiro: Editora UFRJ, 1985.</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NUCCI, Guilherme de Souza. </w:t>
      </w:r>
      <w:r>
        <w:rPr>
          <w:rFonts w:ascii="Arial" w:eastAsia="Times New Roman" w:hAnsi="Arial" w:cs="Times New Roman"/>
          <w:b/>
          <w:bCs/>
          <w:sz w:val="24"/>
          <w:szCs w:val="24"/>
        </w:rPr>
        <w:t>Código Penal Comentado</w:t>
      </w:r>
      <w:r>
        <w:rPr>
          <w:rFonts w:ascii="Arial" w:eastAsia="Times New Roman" w:hAnsi="Arial" w:cs="Times New Roman"/>
          <w:sz w:val="24"/>
          <w:szCs w:val="24"/>
        </w:rPr>
        <w:t>. 15. ed. Rio de Janeiro: Forense, 2021.</w:t>
      </w:r>
    </w:p>
    <w:p w:rsidR="009D60B7" w:rsidRDefault="009D60B7">
      <w:pPr>
        <w:rPr>
          <w:rFonts w:ascii="Arial" w:eastAsia="Times New Roman" w:hAnsi="Arial" w:cs="Times New Roman"/>
          <w:sz w:val="24"/>
          <w:szCs w:val="24"/>
        </w:rPr>
      </w:pPr>
    </w:p>
    <w:p w:rsidR="009D60B7" w:rsidRDefault="00425C09">
      <w:pPr>
        <w:rPr>
          <w:rFonts w:ascii="Arial" w:hAnsi="Arial"/>
          <w:sz w:val="24"/>
          <w:szCs w:val="24"/>
        </w:rPr>
      </w:pPr>
      <w:r>
        <w:rPr>
          <w:rFonts w:ascii="Arial" w:hAnsi="Arial"/>
          <w:sz w:val="24"/>
          <w:szCs w:val="24"/>
        </w:rPr>
        <w:t>ONU.</w:t>
      </w:r>
      <w:r>
        <w:rPr>
          <w:rFonts w:ascii="Arial" w:hAnsi="Arial"/>
          <w:b/>
          <w:bCs/>
          <w:sz w:val="24"/>
          <w:szCs w:val="24"/>
        </w:rPr>
        <w:t xml:space="preserve"> Declaração dos Princípios Básicos de Justiça Relativos às Vítimas da Criminalidade e do Abuso de Poder. </w:t>
      </w:r>
      <w:r>
        <w:rPr>
          <w:rFonts w:ascii="Arial" w:hAnsi="Arial"/>
          <w:sz w:val="24"/>
          <w:szCs w:val="24"/>
        </w:rPr>
        <w:t>Nova York, 1985. Disponível em:</w:t>
      </w:r>
      <w:hyperlink r:id="rId84">
        <w:r>
          <w:rPr>
            <w:rFonts w:ascii="Arial" w:hAnsi="Arial"/>
            <w:sz w:val="24"/>
            <w:szCs w:val="24"/>
          </w:rPr>
          <w:t xml:space="preserve"> </w:t>
        </w:r>
      </w:hyperlink>
      <w:hyperlink r:id="rId85">
        <w:r>
          <w:rPr>
            <w:rFonts w:ascii="Arial" w:hAnsi="Arial"/>
            <w:color w:val="0000FF"/>
            <w:sz w:val="24"/>
            <w:szCs w:val="24"/>
            <w:u w:val="single"/>
          </w:rPr>
          <w:t>https://dcjri.ministeriopublico.pt//sites/default/files/decl-princjusticavitimas.pdf</w:t>
        </w:r>
      </w:hyperlink>
      <w:r>
        <w:rPr>
          <w:rFonts w:ascii="Arial" w:hAnsi="Arial"/>
          <w:color w:val="0000FF"/>
          <w:sz w:val="24"/>
          <w:szCs w:val="24"/>
        </w:rPr>
        <w:t xml:space="preserve"> </w:t>
      </w:r>
      <w:r>
        <w:rPr>
          <w:rFonts w:ascii="Arial" w:hAnsi="Arial"/>
          <w:sz w:val="24"/>
          <w:szCs w:val="24"/>
        </w:rPr>
        <w:t xml:space="preserve"> Acesso em: 19 fev.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ONU. </w:t>
      </w:r>
      <w:r>
        <w:rPr>
          <w:rFonts w:ascii="Arial" w:hAnsi="Arial"/>
          <w:b/>
          <w:bCs/>
          <w:sz w:val="24"/>
          <w:szCs w:val="24"/>
        </w:rPr>
        <w:t xml:space="preserve">Declaração dos Princípios Básicos de Justiça Relativos às Vítimas da Criminalidade e de Abuso de Poder. </w:t>
      </w:r>
      <w:r>
        <w:rPr>
          <w:rFonts w:ascii="Arial" w:hAnsi="Arial"/>
          <w:sz w:val="24"/>
          <w:szCs w:val="24"/>
        </w:rPr>
        <w:t>Assembleia Geral das Nações Unidas, Resolução 40/34, de 29 de novembro de 1985. Disponível em:</w:t>
      </w:r>
      <w:hyperlink r:id="rId86">
        <w:r>
          <w:rPr>
            <w:rFonts w:ascii="Arial" w:hAnsi="Arial"/>
            <w:sz w:val="24"/>
            <w:szCs w:val="24"/>
          </w:rPr>
          <w:t xml:space="preserve"> </w:t>
        </w:r>
      </w:hyperlink>
      <w:hyperlink r:id="rId87">
        <w:r>
          <w:rPr>
            <w:rFonts w:ascii="Arial" w:hAnsi="Arial"/>
            <w:color w:val="1155CC"/>
            <w:sz w:val="24"/>
            <w:szCs w:val="24"/>
            <w:u w:val="single"/>
          </w:rPr>
          <w:t>https://legal.un.org/avl/ha/dbpjvcap/dbpjvcap.html</w:t>
        </w:r>
      </w:hyperlink>
      <w:r>
        <w:rPr>
          <w:rFonts w:ascii="Arial" w:hAnsi="Arial"/>
          <w:sz w:val="24"/>
          <w:szCs w:val="24"/>
        </w:rPr>
        <w:t xml:space="preserve">. Acesso em: 7 maio 2026. </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ONU. </w:t>
      </w:r>
      <w:r>
        <w:rPr>
          <w:rFonts w:ascii="Arial" w:hAnsi="Arial"/>
          <w:b/>
          <w:bCs/>
          <w:sz w:val="24"/>
          <w:szCs w:val="24"/>
        </w:rPr>
        <w:t xml:space="preserve">Conselho Econômico e Social (ECOSOC). </w:t>
      </w:r>
      <w:r>
        <w:rPr>
          <w:rFonts w:ascii="Arial" w:hAnsi="Arial"/>
          <w:sz w:val="24"/>
          <w:szCs w:val="24"/>
        </w:rPr>
        <w:t>Resolution 2002/12. United Nations, 2002. Disponível em:</w:t>
      </w:r>
      <w:hyperlink r:id="rId88">
        <w:r>
          <w:rPr>
            <w:rFonts w:ascii="Arial" w:hAnsi="Arial"/>
            <w:sz w:val="24"/>
            <w:szCs w:val="24"/>
          </w:rPr>
          <w:t xml:space="preserve"> </w:t>
        </w:r>
      </w:hyperlink>
      <w:hyperlink r:id="rId89">
        <w:r>
          <w:rPr>
            <w:rFonts w:ascii="Arial" w:hAnsi="Arial"/>
            <w:color w:val="0000FF"/>
            <w:sz w:val="24"/>
            <w:szCs w:val="24"/>
            <w:u w:val="single"/>
          </w:rPr>
          <w:t>https://www.mpba.mp.br/sites/default/files/biblioteca/nupia/resolucao_onu_2002.pdf</w:t>
        </w:r>
      </w:hyperlink>
      <w:r>
        <w:rPr>
          <w:rFonts w:ascii="Arial" w:hAnsi="Arial"/>
          <w:sz w:val="24"/>
          <w:szCs w:val="24"/>
        </w:rPr>
        <w:t xml:space="preserve"> .Acesso em: 19 fev. 2026.</w:t>
      </w:r>
    </w:p>
    <w:p w:rsidR="009D60B7" w:rsidRDefault="009D60B7">
      <w:pPr>
        <w:rPr>
          <w:rFonts w:ascii="Arial" w:hAnsi="Arial"/>
          <w:sz w:val="24"/>
          <w:szCs w:val="24"/>
        </w:rPr>
      </w:pPr>
    </w:p>
    <w:p w:rsidR="009D60B7" w:rsidRDefault="00425C09">
      <w:pPr>
        <w:rPr>
          <w:rFonts w:ascii="Arial" w:eastAsia="Times New Roman" w:hAnsi="Arial" w:cs="Times New Roman"/>
          <w:sz w:val="24"/>
          <w:szCs w:val="24"/>
          <w:lang w:val="en-US"/>
        </w:rPr>
      </w:pPr>
      <w:r>
        <w:rPr>
          <w:rFonts w:ascii="Arial" w:eastAsia="Times New Roman" w:hAnsi="Arial" w:cs="Times New Roman"/>
          <w:sz w:val="24"/>
          <w:szCs w:val="24"/>
          <w:lang w:val="en-US"/>
        </w:rPr>
        <w:t xml:space="preserve">PRANIS, Kay. </w:t>
      </w:r>
      <w:r>
        <w:rPr>
          <w:rFonts w:ascii="Arial" w:eastAsia="Times New Roman" w:hAnsi="Arial" w:cs="Times New Roman"/>
          <w:b/>
          <w:bCs/>
          <w:sz w:val="24"/>
          <w:szCs w:val="24"/>
          <w:lang w:val="en-US"/>
        </w:rPr>
        <w:t>Peacemaking circles: from crime to community.</w:t>
      </w:r>
      <w:r>
        <w:rPr>
          <w:rFonts w:ascii="Arial" w:eastAsia="Times New Roman" w:hAnsi="Arial" w:cs="Times New Roman"/>
          <w:sz w:val="24"/>
          <w:szCs w:val="24"/>
          <w:lang w:val="en-US"/>
        </w:rPr>
        <w:t xml:space="preserve"> St. Paul: Living Justice Press, 2010.</w:t>
      </w:r>
    </w:p>
    <w:p w:rsidR="009D60B7" w:rsidRDefault="009D60B7">
      <w:pPr>
        <w:rPr>
          <w:rFonts w:ascii="Arial" w:eastAsia="Times New Roman" w:hAnsi="Arial" w:cs="Times New Roman"/>
          <w:sz w:val="24"/>
          <w:szCs w:val="24"/>
          <w:lang w:val="en-US"/>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REIS, Gabriel de Castro Borges. </w:t>
      </w:r>
      <w:r>
        <w:rPr>
          <w:rFonts w:ascii="Arial" w:eastAsia="Times New Roman" w:hAnsi="Arial" w:cs="Times New Roman"/>
          <w:b/>
          <w:bCs/>
          <w:sz w:val="24"/>
          <w:szCs w:val="24"/>
        </w:rPr>
        <w:t>Estado e população carcerária</w:t>
      </w:r>
      <w:r>
        <w:rPr>
          <w:rFonts w:ascii="Arial" w:eastAsia="Times New Roman" w:hAnsi="Arial" w:cs="Times New Roman"/>
          <w:sz w:val="24"/>
          <w:szCs w:val="24"/>
        </w:rPr>
        <w:t xml:space="preserve">: conflito em torno de uma soberania precária. 2019. 131 f. Dissertação (Mestrado em Direitos Humanos) – Universidade Federal de Goiás, Goiânia, 2019. </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SARLET, Ingo Wolfgang.</w:t>
      </w:r>
      <w:r>
        <w:rPr>
          <w:rFonts w:ascii="Arial" w:eastAsia="Times New Roman" w:hAnsi="Arial" w:cs="Times New Roman"/>
          <w:b/>
          <w:bCs/>
          <w:sz w:val="24"/>
          <w:szCs w:val="24"/>
        </w:rPr>
        <w:t xml:space="preserve"> A eficácia dos direitos fundamentais</w:t>
      </w:r>
      <w:r>
        <w:rPr>
          <w:rFonts w:ascii="Arial" w:eastAsia="Times New Roman" w:hAnsi="Arial" w:cs="Times New Roman"/>
          <w:sz w:val="24"/>
          <w:szCs w:val="24"/>
        </w:rPr>
        <w:t>. Porto Alegre: Livraria do Advogado, 2012.</w:t>
      </w:r>
    </w:p>
    <w:p w:rsidR="009D60B7" w:rsidRDefault="009D60B7">
      <w:pPr>
        <w:rPr>
          <w:rFonts w:ascii="Arial" w:eastAsia="Times New Roman" w:hAnsi="Arial" w:cs="Times New Roman"/>
          <w:sz w:val="24"/>
          <w:szCs w:val="24"/>
        </w:rPr>
      </w:pPr>
    </w:p>
    <w:p w:rsidR="009D60B7" w:rsidRDefault="00425C09">
      <w:pPr>
        <w:rPr>
          <w:rFonts w:ascii="Arial" w:hAnsi="Arial"/>
          <w:sz w:val="24"/>
          <w:szCs w:val="24"/>
        </w:rPr>
      </w:pPr>
      <w:r>
        <w:rPr>
          <w:rFonts w:ascii="Arial" w:eastAsia="Times New Roman" w:hAnsi="Arial" w:cs="Times New Roman"/>
          <w:sz w:val="24"/>
          <w:szCs w:val="24"/>
        </w:rPr>
        <w:t xml:space="preserve">SHECAIRA, Sérgio Salomão (2020). </w:t>
      </w:r>
      <w:r>
        <w:rPr>
          <w:rFonts w:ascii="Arial" w:eastAsia="Times New Roman" w:hAnsi="Arial" w:cs="Times New Roman"/>
          <w:b/>
          <w:bCs/>
          <w:sz w:val="24"/>
          <w:szCs w:val="24"/>
        </w:rPr>
        <w:t>Criminologia</w:t>
      </w:r>
      <w:r>
        <w:rPr>
          <w:rFonts w:ascii="Arial" w:eastAsia="Times New Roman" w:hAnsi="Arial" w:cs="Times New Roman"/>
          <w:sz w:val="24"/>
          <w:szCs w:val="24"/>
        </w:rPr>
        <w:t xml:space="preserve">. 8ª ed. ver. atual e ampl. São Paulo: Revista dos Tribunais/Thomson Reuters. </w:t>
      </w:r>
      <w:r>
        <w:rPr>
          <w:rFonts w:ascii="Arial" w:hAnsi="Arial"/>
          <w:sz w:val="24"/>
          <w:szCs w:val="24"/>
        </w:rPr>
        <w:t>Disponível em:</w:t>
      </w:r>
      <w:hyperlink r:id="rId90">
        <w:r>
          <w:rPr>
            <w:rFonts w:ascii="Arial" w:hAnsi="Arial"/>
            <w:sz w:val="24"/>
            <w:szCs w:val="24"/>
          </w:rPr>
          <w:t xml:space="preserve"> </w:t>
        </w:r>
      </w:hyperlink>
      <w:hyperlink r:id="rId91">
        <w:r>
          <w:rPr>
            <w:rFonts w:ascii="Arial" w:hAnsi="Arial"/>
            <w:color w:val="1155CC"/>
            <w:sz w:val="24"/>
            <w:szCs w:val="24"/>
            <w:u w:val="single"/>
          </w:rPr>
          <w:t>https://bdjur.stj.jus.br/</w:t>
        </w:r>
      </w:hyperlink>
      <w:r>
        <w:rPr>
          <w:rFonts w:ascii="Arial" w:hAnsi="Arial"/>
          <w:sz w:val="24"/>
          <w:szCs w:val="24"/>
        </w:rPr>
        <w:t xml:space="preserve"> Acesso em: 22 abr. 2026.</w:t>
      </w:r>
    </w:p>
    <w:p w:rsidR="009D60B7" w:rsidRDefault="009D60B7">
      <w:pPr>
        <w:rPr>
          <w:rFonts w:ascii="Arial" w:hAnsi="Arial"/>
          <w:sz w:val="24"/>
          <w:szCs w:val="24"/>
        </w:rPr>
      </w:pPr>
    </w:p>
    <w:p w:rsidR="009D60B7" w:rsidRDefault="00425C09">
      <w:pPr>
        <w:rPr>
          <w:rFonts w:ascii="Arial" w:eastAsia="Times New Roman" w:hAnsi="Arial" w:cs="Times New Roman"/>
          <w:sz w:val="24"/>
          <w:szCs w:val="24"/>
          <w:lang w:val="en-US"/>
        </w:rPr>
      </w:pPr>
      <w:r>
        <w:rPr>
          <w:rFonts w:ascii="Arial" w:eastAsia="Times New Roman" w:hAnsi="Arial" w:cs="Times New Roman"/>
          <w:sz w:val="24"/>
          <w:szCs w:val="24"/>
          <w:lang w:val="en-US"/>
        </w:rPr>
        <w:t xml:space="preserve">ZEHR, Howard. </w:t>
      </w:r>
      <w:r>
        <w:rPr>
          <w:rFonts w:ascii="Arial" w:eastAsia="Times New Roman" w:hAnsi="Arial" w:cs="Times New Roman"/>
          <w:b/>
          <w:bCs/>
          <w:sz w:val="24"/>
          <w:szCs w:val="24"/>
          <w:lang w:val="en-US"/>
        </w:rPr>
        <w:t>The little book of restorative justice</w:t>
      </w:r>
      <w:r>
        <w:rPr>
          <w:rFonts w:ascii="Arial" w:eastAsia="Times New Roman" w:hAnsi="Arial" w:cs="Times New Roman"/>
          <w:sz w:val="24"/>
          <w:szCs w:val="24"/>
          <w:lang w:val="en-US"/>
        </w:rPr>
        <w:t>. 2. ed. Intercourse: Good Books, 2008.</w:t>
      </w:r>
    </w:p>
    <w:p w:rsidR="009D60B7" w:rsidRDefault="009D60B7">
      <w:pPr>
        <w:rPr>
          <w:rFonts w:ascii="Arial" w:eastAsia="Times New Roman" w:hAnsi="Arial" w:cs="Times New Roman"/>
          <w:sz w:val="24"/>
          <w:szCs w:val="24"/>
          <w:lang w:val="en-US"/>
        </w:rPr>
      </w:pPr>
    </w:p>
    <w:p w:rsidR="009D60B7" w:rsidRDefault="00425C09">
      <w:pPr>
        <w:rPr>
          <w:rFonts w:ascii="Arial" w:hAnsi="Arial"/>
          <w:sz w:val="24"/>
          <w:szCs w:val="24"/>
        </w:rPr>
        <w:sectPr w:rsidR="009D60B7">
          <w:headerReference w:type="even" r:id="rId92"/>
          <w:headerReference w:type="default" r:id="rId93"/>
          <w:footerReference w:type="even" r:id="rId94"/>
          <w:footerReference w:type="default" r:id="rId95"/>
          <w:headerReference w:type="first" r:id="rId96"/>
          <w:footerReference w:type="first" r:id="rId97"/>
          <w:type w:val="continuous"/>
          <w:pgSz w:w="11906" w:h="16838"/>
          <w:pgMar w:top="1454" w:right="1282" w:bottom="1080" w:left="1282" w:header="725" w:footer="896" w:gutter="0"/>
          <w:pgNumType w:start="1"/>
          <w:cols w:space="720"/>
          <w:formProt w:val="0"/>
          <w:docGrid w:linePitch="312" w:charSpace="-2254"/>
        </w:sectPr>
      </w:pPr>
      <w:r>
        <w:rPr>
          <w:rFonts w:ascii="Arial" w:eastAsia="Times New Roman" w:hAnsi="Arial" w:cs="Times New Roman"/>
          <w:sz w:val="24"/>
          <w:szCs w:val="24"/>
          <w:lang w:val="en-US"/>
        </w:rPr>
        <w:t xml:space="preserve">ZEHR, Howard. </w:t>
      </w:r>
      <w:r>
        <w:rPr>
          <w:rFonts w:ascii="Arial" w:eastAsia="Times New Roman" w:hAnsi="Arial" w:cs="Times New Roman"/>
          <w:b/>
          <w:bCs/>
          <w:sz w:val="24"/>
          <w:szCs w:val="24"/>
          <w:lang w:val="en-US"/>
        </w:rPr>
        <w:t>Changing lenses: a new focus for crime and justice</w:t>
      </w:r>
      <w:r>
        <w:rPr>
          <w:rFonts w:ascii="Arial" w:eastAsia="Times New Roman" w:hAnsi="Arial" w:cs="Times New Roman"/>
          <w:sz w:val="24"/>
          <w:szCs w:val="24"/>
          <w:lang w:val="en-US"/>
        </w:rPr>
        <w:t xml:space="preserve">. </w:t>
      </w:r>
      <w:r>
        <w:rPr>
          <w:rFonts w:ascii="Arial" w:eastAsia="Times New Roman" w:hAnsi="Arial" w:cs="Times New Roman"/>
          <w:sz w:val="24"/>
          <w:szCs w:val="24"/>
        </w:rPr>
        <w:t>3. ed. Scottdale: Herald Press, 2012.</w:t>
      </w: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4"/>
          <w:szCs w:val="24"/>
        </w:rPr>
      </w:pPr>
    </w:p>
    <w:p w:rsidR="009D60B7" w:rsidRDefault="009D60B7">
      <w:pPr>
        <w:ind w:right="142"/>
        <w:rPr>
          <w:rFonts w:ascii="Arial" w:hAnsi="Arial" w:cs="Times New Roman"/>
          <w:sz w:val="24"/>
          <w:szCs w:val="24"/>
        </w:rPr>
      </w:pPr>
    </w:p>
    <w:p w:rsidR="00DC254B" w:rsidRDefault="00DC254B">
      <w:pPr>
        <w:ind w:right="142"/>
        <w:rPr>
          <w:rFonts w:ascii="Arial" w:hAnsi="Arial" w:cs="Times New Roman"/>
          <w:sz w:val="24"/>
          <w:szCs w:val="24"/>
          <w:highlight w:val="yellow"/>
        </w:rPr>
      </w:pPr>
    </w:p>
    <w:p w:rsidR="009D60B7" w:rsidRPr="00AA63EC" w:rsidRDefault="00425C09" w:rsidP="00AA63EC">
      <w:pPr>
        <w:ind w:rightChars="245" w:right="539"/>
        <w:jc w:val="center"/>
        <w:rPr>
          <w:rFonts w:ascii="Arial" w:hAnsi="Arial"/>
          <w:sz w:val="28"/>
          <w:szCs w:val="28"/>
        </w:rPr>
      </w:pPr>
      <w:sdt>
        <w:sdtPr>
          <w:rPr>
            <w:sz w:val="28"/>
            <w:szCs w:val="28"/>
          </w:rPr>
          <w:tag w:val="goog_rdk_0"/>
          <w:id w:val="147469003"/>
          <w:text/>
        </w:sdtPr>
        <w:sdtContent>
          <w:r w:rsidRPr="00AA63EC">
            <w:rPr>
              <w:rFonts w:ascii="Arial" w:hAnsi="Arial" w:cs="Arial"/>
              <w:b/>
              <w:bCs/>
              <w:sz w:val="28"/>
              <w:szCs w:val="28"/>
            </w:rPr>
            <w:t>A (IM)POSSIBILIDADE DA PRISÃO PREVENTIVA DE OFÍCIO NO ÂMBITO DA LEI MARIA DA PENHA APÓS O PACOTE ANTICRIME</w:t>
          </w:r>
        </w:sdtContent>
      </w:sdt>
    </w:p>
    <w:p w:rsidR="009D60B7" w:rsidRDefault="009D60B7">
      <w:pPr>
        <w:pStyle w:val="Corpodetexto"/>
        <w:spacing w:before="47" w:line="360" w:lineRule="auto"/>
        <w:rPr>
          <w:rFonts w:ascii="Arial" w:hAnsi="Arial"/>
          <w:b/>
          <w:sz w:val="24"/>
          <w:szCs w:val="24"/>
        </w:rPr>
      </w:pPr>
    </w:p>
    <w:p w:rsidR="009D60B7" w:rsidRDefault="00425C09">
      <w:pPr>
        <w:ind w:right="144"/>
        <w:jc w:val="center"/>
        <w:rPr>
          <w:rFonts w:ascii="Arial" w:hAnsi="Arial"/>
          <w:sz w:val="24"/>
          <w:szCs w:val="24"/>
        </w:rPr>
      </w:pPr>
      <w:r>
        <w:rPr>
          <w:rFonts w:ascii="Arial" w:hAnsi="Arial" w:cs="Arial"/>
          <w:sz w:val="24"/>
          <w:szCs w:val="24"/>
        </w:rPr>
        <w:t>Maria Roseana da Silva Soares</w:t>
      </w:r>
      <w:r>
        <w:rPr>
          <w:rStyle w:val="Refdenotaderodap"/>
          <w:rFonts w:ascii="Arial" w:hAnsi="Arial" w:cs="Arial"/>
          <w:sz w:val="24"/>
          <w:szCs w:val="24"/>
        </w:rPr>
        <w:footnoteReference w:id="16"/>
      </w:r>
    </w:p>
    <w:p w:rsidR="009D60B7" w:rsidRPr="00060C32" w:rsidRDefault="00425C09" w:rsidP="00060C32">
      <w:pPr>
        <w:ind w:right="144"/>
        <w:jc w:val="center"/>
        <w:rPr>
          <w:rFonts w:ascii="Arial" w:hAnsi="Arial" w:cs="Arial"/>
          <w:sz w:val="24"/>
          <w:szCs w:val="24"/>
        </w:rPr>
      </w:pPr>
      <w:r>
        <w:rPr>
          <w:rFonts w:ascii="Arial" w:hAnsi="Arial" w:cs="Arial"/>
          <w:sz w:val="24"/>
          <w:szCs w:val="24"/>
        </w:rPr>
        <w:t>Maxilene</w:t>
      </w:r>
      <w:r>
        <w:rPr>
          <w:rFonts w:ascii="Arial" w:hAnsi="Arial" w:cs="Arial"/>
          <w:spacing w:val="-14"/>
          <w:sz w:val="24"/>
          <w:szCs w:val="24"/>
        </w:rPr>
        <w:t xml:space="preserve"> </w:t>
      </w:r>
      <w:r>
        <w:rPr>
          <w:rFonts w:ascii="Arial" w:hAnsi="Arial" w:cs="Arial"/>
          <w:sz w:val="24"/>
          <w:szCs w:val="24"/>
        </w:rPr>
        <w:t>Soares</w:t>
      </w:r>
      <w:r>
        <w:rPr>
          <w:rFonts w:ascii="Arial" w:hAnsi="Arial" w:cs="Arial"/>
          <w:spacing w:val="-14"/>
          <w:sz w:val="24"/>
          <w:szCs w:val="24"/>
        </w:rPr>
        <w:t xml:space="preserve"> </w:t>
      </w:r>
      <w:r>
        <w:rPr>
          <w:rFonts w:ascii="Arial" w:hAnsi="Arial" w:cs="Arial"/>
          <w:sz w:val="24"/>
          <w:szCs w:val="24"/>
        </w:rPr>
        <w:t>Corr</w:t>
      </w:r>
      <w:r w:rsidR="00060C32">
        <w:rPr>
          <w:rFonts w:ascii="Arial" w:hAnsi="Arial" w:cs="Arial"/>
          <w:sz w:val="24"/>
          <w:szCs w:val="24"/>
        </w:rPr>
        <w:t>ê</w:t>
      </w:r>
      <w:r>
        <w:rPr>
          <w:rFonts w:ascii="Arial" w:hAnsi="Arial" w:cs="Arial"/>
          <w:sz w:val="24"/>
          <w:szCs w:val="24"/>
        </w:rPr>
        <w:t>a</w:t>
      </w:r>
      <w:r>
        <w:rPr>
          <w:rStyle w:val="Refdenotaderodap"/>
          <w:rFonts w:ascii="Arial" w:hAnsi="Arial" w:cs="Arial"/>
          <w:sz w:val="24"/>
          <w:szCs w:val="24"/>
        </w:rPr>
        <w:footnoteReference w:id="17"/>
      </w:r>
    </w:p>
    <w:p w:rsidR="009D60B7" w:rsidRDefault="009D60B7">
      <w:pPr>
        <w:spacing w:line="360" w:lineRule="auto"/>
        <w:ind w:right="142"/>
        <w:jc w:val="both"/>
        <w:rPr>
          <w:rFonts w:ascii="Arial" w:hAnsi="Arial" w:cs="Arial"/>
          <w:spacing w:val="-2"/>
          <w:sz w:val="24"/>
          <w:szCs w:val="24"/>
        </w:rPr>
      </w:pPr>
    </w:p>
    <w:p w:rsidR="009D60B7" w:rsidRDefault="00425C09">
      <w:pPr>
        <w:pStyle w:val="Ttulo1"/>
        <w:spacing w:line="360" w:lineRule="auto"/>
        <w:rPr>
          <w:rFonts w:ascii="Arial" w:hAnsi="Arial" w:cs="Arial"/>
          <w:b/>
          <w:bCs/>
          <w:spacing w:val="-2"/>
          <w:sz w:val="24"/>
          <w:szCs w:val="24"/>
          <w:lang w:val="pt-BR"/>
        </w:rPr>
      </w:pPr>
      <w:r>
        <w:rPr>
          <w:rFonts w:ascii="Arial" w:hAnsi="Arial" w:cs="Arial"/>
          <w:b/>
          <w:bCs/>
          <w:spacing w:val="-2"/>
          <w:sz w:val="24"/>
          <w:szCs w:val="24"/>
        </w:rPr>
        <w:t>RESU</w:t>
      </w:r>
      <w:r>
        <w:rPr>
          <w:rFonts w:ascii="Arial" w:hAnsi="Arial" w:cs="Arial"/>
          <w:b/>
          <w:bCs/>
          <w:spacing w:val="-2"/>
          <w:sz w:val="24"/>
          <w:szCs w:val="24"/>
          <w:lang w:val="pt-BR"/>
        </w:rPr>
        <w:t>MO</w:t>
      </w:r>
    </w:p>
    <w:p w:rsidR="009D60B7" w:rsidRDefault="00425C09">
      <w:pPr>
        <w:ind w:right="-6"/>
        <w:jc w:val="both"/>
        <w:rPr>
          <w:rFonts w:ascii="Arial" w:hAnsi="Arial"/>
          <w:sz w:val="20"/>
          <w:szCs w:val="20"/>
        </w:rPr>
      </w:pPr>
      <w:r>
        <w:rPr>
          <w:rFonts w:ascii="Arial" w:hAnsi="Arial"/>
          <w:color w:val="000000" w:themeColor="dark1"/>
          <w:sz w:val="20"/>
          <w:szCs w:val="20"/>
        </w:rPr>
        <w:t>Esta pesquisa busca analisar a possibilidade da decretação da prisão preventiva de ofício no contexto da Lei Maria da Penha, após as alterações promovidas pelo Pacote Anticrime (Lei nº 13.964/2019). A pesquisa parte do conflito existente entre o artigo 311 do Código de Processo Penal (1941), que passou a vedar a atuação de ofício do magistrado, e o artigo 20 da Lei nº 11.340/2006, que ainda prevê essa possibilidade, objetivando verificar qual deve prevalecer. Ainda, examina fundamentos para a prevalência da Lei Maria da Penha, que encontram respaldo no princípio da especialidade. Bem como, analisa se há prevalência ou não das normas advindas do Pacote Anticrime, com base no princípio de que lei nova revoga lei anterior e da primazia do princípio do sistema acusatório. A metodologia da pesquisa está baseada em pesquisa bibliográfica, utilizando-se de materiais acadêmicos e bibliográficos, jurisprudência e legislação vigente, doutrina e decisões dos tribunais superiores e estatísticas atuais sobre a violência de gênero. Ao final, conclui-se que as alterações introduzidas pelo Pacote Anticrime afastam a possibilidade de decretação da prisão preventiva de ofício, em razão da consolidação do sistema acusatório no ordenamento jurídico brasileiro. Assim, entende-se pela ocorrência de revogação tácita do artigo 20 da Lei Maria da Penha (2006) nesse ponto específico, sem que isso implique desproteção à vítima, uma vez que permanecem disponíveis mecanismos eficazes mediante provocação das partes legitimadas.</w:t>
      </w:r>
    </w:p>
    <w:p w:rsidR="009D60B7" w:rsidRDefault="009D60B7">
      <w:pPr>
        <w:ind w:right="-6"/>
        <w:jc w:val="both"/>
        <w:rPr>
          <w:rFonts w:ascii="Arial" w:hAnsi="Arial"/>
          <w:color w:val="000000" w:themeColor="dark1"/>
          <w:sz w:val="20"/>
          <w:szCs w:val="20"/>
        </w:rPr>
      </w:pPr>
    </w:p>
    <w:p w:rsidR="009D60B7" w:rsidRDefault="00425C09">
      <w:pPr>
        <w:spacing w:line="276" w:lineRule="auto"/>
        <w:ind w:right="-6"/>
        <w:jc w:val="both"/>
        <w:rPr>
          <w:rFonts w:ascii="Arial" w:hAnsi="Arial"/>
          <w:sz w:val="20"/>
          <w:szCs w:val="20"/>
        </w:rPr>
      </w:pPr>
      <w:r>
        <w:rPr>
          <w:rFonts w:ascii="Arial" w:hAnsi="Arial"/>
          <w:b/>
          <w:bCs/>
          <w:sz w:val="20"/>
          <w:szCs w:val="20"/>
        </w:rPr>
        <w:t xml:space="preserve">PALAVRAS-CHAVE: </w:t>
      </w:r>
      <w:r>
        <w:rPr>
          <w:rFonts w:ascii="Arial" w:hAnsi="Arial"/>
          <w:sz w:val="20"/>
          <w:szCs w:val="20"/>
          <w:lang w:val="pt-BR"/>
        </w:rPr>
        <w:t>Prisão Preventiva. Lei Maria da Penha. Pacote Anticrime. Sistema Acusatório. Violência Doméstica.</w:t>
      </w:r>
    </w:p>
    <w:p w:rsidR="009D60B7" w:rsidRDefault="009D60B7">
      <w:pPr>
        <w:spacing w:line="276" w:lineRule="auto"/>
        <w:ind w:right="-8"/>
        <w:rPr>
          <w:rFonts w:ascii="Arial" w:hAnsi="Arial"/>
          <w:b/>
          <w:bCs/>
          <w:sz w:val="20"/>
          <w:szCs w:val="20"/>
          <w:lang w:val="pt-BR"/>
        </w:rPr>
      </w:pPr>
    </w:p>
    <w:p w:rsidR="009D60B7" w:rsidRPr="001C4804" w:rsidRDefault="00425C09" w:rsidP="001C4804">
      <w:pPr>
        <w:spacing w:line="276" w:lineRule="auto"/>
        <w:ind w:right="-8"/>
        <w:jc w:val="both"/>
        <w:rPr>
          <w:rFonts w:ascii="Arial" w:hAnsi="Arial"/>
          <w:sz w:val="24"/>
          <w:szCs w:val="24"/>
        </w:rPr>
      </w:pPr>
      <w:r>
        <w:rPr>
          <w:rFonts w:ascii="Arial" w:hAnsi="Arial"/>
          <w:sz w:val="24"/>
          <w:szCs w:val="24"/>
          <w:lang w:val="pt-BR"/>
        </w:rPr>
        <w:t>INTRODUÇÃO</w:t>
      </w:r>
    </w:p>
    <w:p w:rsidR="009D60B7" w:rsidRDefault="00425C09">
      <w:pPr>
        <w:spacing w:line="360" w:lineRule="auto"/>
        <w:ind w:firstLine="680"/>
        <w:jc w:val="both"/>
        <w:rPr>
          <w:rFonts w:ascii="Arial" w:hAnsi="Arial"/>
          <w:sz w:val="24"/>
          <w:szCs w:val="24"/>
        </w:rPr>
      </w:pPr>
      <w:r>
        <w:rPr>
          <w:rFonts w:ascii="Arial" w:hAnsi="Arial"/>
          <w:sz w:val="24"/>
          <w:szCs w:val="24"/>
          <w:lang w:val="pt-BR"/>
        </w:rPr>
        <w:t>É notável que a violência doméstica e familiar retrata um dos maiores problemas e desafios enfrentados pelo ordenamento jurídico brasileiro, e que assim se faz necessário constantes atualização das normas e mecanismos de proteção e assim novos entendimentos e discussões. Nesse contexto, a Lei Maria da Penha (2006) firmou-se como um importante instrumento de enfrentamento a esse tipo de violência, ao estabelecer medidas protetivas e formas de atuação mais rigorosas por parte do Estado,  por ter uma visão mais singular voltada para as vítimas.</w:t>
      </w:r>
    </w:p>
    <w:p w:rsidR="009D60B7" w:rsidRDefault="00425C09">
      <w:pPr>
        <w:spacing w:line="360" w:lineRule="auto"/>
        <w:ind w:firstLine="851"/>
        <w:jc w:val="both"/>
        <w:rPr>
          <w:rFonts w:ascii="Arial" w:hAnsi="Arial" w:cs="Arial"/>
          <w:spacing w:val="-2"/>
          <w:sz w:val="24"/>
          <w:szCs w:val="24"/>
          <w:lang w:val="pt-BR"/>
        </w:rPr>
        <w:sectPr w:rsidR="009D60B7">
          <w:headerReference w:type="even" r:id="rId98"/>
          <w:headerReference w:type="default" r:id="rId99"/>
          <w:footerReference w:type="even" r:id="rId100"/>
          <w:footerReference w:type="default" r:id="rId101"/>
          <w:headerReference w:type="first" r:id="rId102"/>
          <w:footerReference w:type="first" r:id="rId103"/>
          <w:type w:val="continuous"/>
          <w:pgSz w:w="11906" w:h="16838"/>
          <w:pgMar w:top="1920" w:right="1249" w:bottom="777" w:left="1417" w:header="720" w:footer="720" w:gutter="0"/>
          <w:pgNumType w:start="91"/>
          <w:cols w:space="720"/>
          <w:formProt w:val="0"/>
          <w:docGrid w:linePitch="100"/>
        </w:sectPr>
      </w:pPr>
      <w:r>
        <w:rPr>
          <w:rFonts w:ascii="Arial" w:hAnsi="Arial"/>
          <w:sz w:val="24"/>
          <w:szCs w:val="24"/>
          <w:lang w:val="pt-BR"/>
        </w:rPr>
        <w:t xml:space="preserve">Todavia, com a entrada em vigor da Lei nº 13.964/2019, conhecida como Pacote Anticrime (2019), surgiram relevantes alterações no Código de Processo Penal (1941), especialmente no que diz respeito à prisão preventiva. Entre essas mudanças, </w:t>
      </w:r>
      <w:r>
        <w:rPr>
          <w:rFonts w:ascii="Arial" w:hAnsi="Arial"/>
          <w:sz w:val="24"/>
          <w:szCs w:val="24"/>
          <w:lang w:val="pt-BR"/>
        </w:rPr>
        <w:lastRenderedPageBreak/>
        <w:t>destaca-se a proibição da decretação da prisão preventiva de ofício pelo magistrado, reforçando o modelo do sistema acusatório e a separação das funções processuais.</w:t>
      </w:r>
    </w:p>
    <w:p w:rsidR="009D60B7" w:rsidRDefault="00425C09">
      <w:pPr>
        <w:spacing w:line="360" w:lineRule="auto"/>
        <w:ind w:rightChars="-20" w:right="-44" w:firstLineChars="350" w:firstLine="840"/>
        <w:jc w:val="both"/>
        <w:rPr>
          <w:rFonts w:ascii="Arial" w:hAnsi="Arial"/>
          <w:sz w:val="24"/>
          <w:szCs w:val="24"/>
        </w:rPr>
      </w:pPr>
      <w:bookmarkStart w:id="13" w:name="_GoBack_Copia_7"/>
      <w:bookmarkEnd w:id="13"/>
      <w:r>
        <w:rPr>
          <w:rFonts w:ascii="Arial" w:hAnsi="Arial"/>
          <w:sz w:val="24"/>
          <w:szCs w:val="24"/>
          <w:lang w:val="pt-BR"/>
        </w:rPr>
        <w:t>Diante disso, surge um aparente conflito normativo, uma vez que a Lei Maria da Penha (2006), em seu artigo 20, ainda prevê a possibilidade de decretação da prisão preventiva de ofício. Essa divergência levanta questionamentos importantes sobre qual norma deve prevalecer no caso concreto, sobretudo quando estão em jogo a proteção da vítima e as garantias processuais do acusado, e reforça a relevância do presente assunto e estudo.</w:t>
      </w:r>
    </w:p>
    <w:p w:rsidR="009D60B7" w:rsidRDefault="00425C09">
      <w:pPr>
        <w:spacing w:line="360" w:lineRule="auto"/>
        <w:ind w:firstLine="851"/>
        <w:jc w:val="both"/>
        <w:rPr>
          <w:rFonts w:ascii="Arial" w:hAnsi="Arial"/>
          <w:sz w:val="24"/>
          <w:szCs w:val="24"/>
        </w:rPr>
      </w:pPr>
      <w:r>
        <w:rPr>
          <w:rFonts w:ascii="Arial" w:hAnsi="Arial"/>
          <w:sz w:val="24"/>
          <w:szCs w:val="24"/>
          <w:lang w:val="pt-BR"/>
        </w:rPr>
        <w:t>O objetivo geral do estudo é verificar qual norma deve prevalecer em meio a esse conflito, a Lei Maria da Penha (</w:t>
      </w:r>
      <w:r>
        <w:rPr>
          <w:rFonts w:ascii="Arial" w:hAnsi="Arial"/>
          <w:sz w:val="24"/>
          <w:szCs w:val="24"/>
        </w:rPr>
        <w:t>11.340/2006</w:t>
      </w:r>
      <w:r>
        <w:rPr>
          <w:rFonts w:ascii="Arial" w:hAnsi="Arial"/>
          <w:sz w:val="24"/>
          <w:szCs w:val="24"/>
          <w:lang w:val="pt-BR"/>
        </w:rPr>
        <w:t xml:space="preserve">) ou o Pacote Anticrime </w:t>
      </w:r>
      <w:r>
        <w:rPr>
          <w:rFonts w:ascii="Arial" w:hAnsi="Arial"/>
          <w:sz w:val="24"/>
          <w:szCs w:val="24"/>
        </w:rPr>
        <w:t xml:space="preserve"> (13.964/2019). São objetivos específicos: demonstrar o conflito normativo entre as leis no que toca a prisão penventiva de  ofício, verificar os fundamentos para a prevalência da Lei Maria da Penha a vista do princípio da especialdade; ou para a prevalência do Pacote Anticrime por ser lei  nova e em tese revogar a lei anterior e ainda, pelo príncipio do sistema acusatório.  </w:t>
      </w:r>
    </w:p>
    <w:p w:rsidR="009D60B7" w:rsidRDefault="00425C09">
      <w:pPr>
        <w:spacing w:line="360" w:lineRule="auto"/>
        <w:ind w:firstLine="851"/>
        <w:jc w:val="both"/>
        <w:rPr>
          <w:rFonts w:ascii="Arial" w:hAnsi="Arial"/>
          <w:sz w:val="24"/>
          <w:szCs w:val="24"/>
        </w:rPr>
      </w:pPr>
      <w:r>
        <w:rPr>
          <w:rFonts w:ascii="Arial" w:hAnsi="Arial"/>
          <w:sz w:val="24"/>
          <w:szCs w:val="24"/>
        </w:rPr>
        <w:t xml:space="preserve">A metodologia utilizada para a pesquisa foi a análise de obras doutrinárias, legislações, decisões judiciais conexas ao assunto em estudo, além de artigos científicos escolhidos a partir de pesquisas realizadas nas seguintes bases de dados: Google Acadêmico, periódicos jurídicos, SciELO, entre outros. As palavras-chave mais utilizadas foram: prisão preventiva, Lei Maria da Penha, Pacote Anticrime, sistema acusatório e violência doméstica, com o objetivo de abranger conhecimento sobre a possibilidade da prisão preventiva de ofício. Destaca-se que a pesquisa é de cunho bibliográfico e documental, utilizando fontes oficiais. </w:t>
      </w:r>
      <w:r>
        <w:rPr>
          <w:rFonts w:ascii="Arial" w:hAnsi="Arial"/>
          <w:sz w:val="24"/>
          <w:szCs w:val="24"/>
          <w:lang w:val="pt-BR"/>
        </w:rPr>
        <w:t>Dessa forma, o trabalho se dedica a analisar esse conflito, buscando entender os fundamentos jurídicos que sustentam a aplicação da lei especial ou a prevalência da norma mais recente.</w:t>
      </w:r>
    </w:p>
    <w:p w:rsidR="009D60B7" w:rsidRDefault="00425C09" w:rsidP="003F1554">
      <w:pPr>
        <w:spacing w:line="360" w:lineRule="auto"/>
        <w:ind w:firstLine="851"/>
        <w:jc w:val="both"/>
        <w:rPr>
          <w:rFonts w:ascii="Arial" w:hAnsi="Arial"/>
          <w:sz w:val="24"/>
          <w:szCs w:val="24"/>
        </w:rPr>
      </w:pPr>
      <w:r>
        <w:rPr>
          <w:rFonts w:ascii="Arial" w:hAnsi="Arial"/>
          <w:sz w:val="24"/>
          <w:szCs w:val="24"/>
          <w:lang w:val="pt-BR"/>
        </w:rPr>
        <w:t>Ainda, o trabalho se organiza, de forma dedutiva, em três seções, iniciando-se com uma apresentação do instituto da prisão preventiva aplicando-os as situações de violência doméstica contra mulher. Em seguida, no segundo tópico levante-se os argumentos pela prevalência da Lei Maria da Penha (2006). No último, destaca-se os argumentos pela prevalência das determinações do Pacote Anticrime.</w:t>
      </w:r>
    </w:p>
    <w:p w:rsidR="009D60B7" w:rsidRDefault="009D60B7">
      <w:pPr>
        <w:spacing w:line="360" w:lineRule="auto"/>
        <w:ind w:right="112"/>
        <w:jc w:val="both"/>
        <w:rPr>
          <w:rFonts w:ascii="Arial" w:hAnsi="Arial"/>
          <w:color w:val="000000"/>
          <w:sz w:val="24"/>
          <w:szCs w:val="24"/>
        </w:rPr>
      </w:pPr>
    </w:p>
    <w:p w:rsidR="009D60B7" w:rsidRPr="003F1554" w:rsidRDefault="00425C09">
      <w:pPr>
        <w:pStyle w:val="CorpodeTexto0"/>
        <w:ind w:left="-186"/>
        <w:rPr>
          <w:rFonts w:ascii="Arial" w:hAnsi="Arial" w:cs="Arial"/>
          <w:b w:val="0"/>
        </w:rPr>
      </w:pPr>
      <w:r w:rsidRPr="003F1554">
        <w:rPr>
          <w:b w:val="0"/>
        </w:rPr>
        <w:lastRenderedPageBreak/>
        <w:t xml:space="preserve">1  </w:t>
      </w:r>
      <w:sdt>
        <w:sdtPr>
          <w:rPr>
            <w:b w:val="0"/>
          </w:rPr>
          <w:tag w:val="goog_rdk_1"/>
          <w:id w:val="147457624"/>
          <w:text/>
        </w:sdtPr>
        <w:sdtEndPr>
          <w:rPr>
            <w:rFonts w:ascii="Arial" w:hAnsi="Arial" w:cs="Arial"/>
          </w:rPr>
        </w:sdtEndPr>
        <w:sdtContent>
          <w:r w:rsidRPr="003F1554">
            <w:rPr>
              <w:rFonts w:ascii="Arial" w:hAnsi="Arial" w:cs="Arial"/>
              <w:b w:val="0"/>
            </w:rPr>
            <w:t>A PRISÃO PREVENTIVA DE OFÍCIO EM CASOS DE VIOLÊNCIA DOMÉSTICA CONTRA A MULHER: CONFLITOS NORMATIVOS.</w:t>
          </w:r>
        </w:sdtContent>
      </w:sdt>
    </w:p>
    <w:p w:rsidR="009D60B7" w:rsidRDefault="00425C09">
      <w:pPr>
        <w:tabs>
          <w:tab w:val="left" w:pos="6855"/>
        </w:tabs>
        <w:spacing w:line="360" w:lineRule="auto"/>
        <w:ind w:firstLine="680"/>
        <w:jc w:val="both"/>
        <w:rPr>
          <w:rFonts w:ascii="Arial" w:hAnsi="Arial" w:cs="Arial"/>
          <w:sz w:val="24"/>
          <w:szCs w:val="24"/>
        </w:rPr>
      </w:pPr>
      <w:r>
        <w:rPr>
          <w:rFonts w:ascii="Arial" w:hAnsi="Arial" w:cs="Arial"/>
          <w:sz w:val="24"/>
          <w:szCs w:val="24"/>
          <w:lang w:val="pt-BR"/>
        </w:rPr>
        <w:t>A prisão preventiva é uma espécie de medida cautelar, um instrumento processual, que pode ser decretada em qual quer fase do inquérito policial ou da ação penal, com fulcro no artigo 312 do Código de Processo Penal, antes do trânsito em julgado e da sentença condenatória. As medidas cautelares penais não possuem a finalidade de realizar justiça por si mesmas, mas apenas assegurar o funcionamento regular do processo penal, atuando como mecanismos auxiliares para que a prestação jurisdicional possa ocorrer adequadamente (Lopes Júnior, 2020).</w:t>
      </w:r>
    </w:p>
    <w:p w:rsidR="009D60B7" w:rsidRDefault="00425C09">
      <w:pPr>
        <w:tabs>
          <w:tab w:val="left" w:pos="6855"/>
        </w:tabs>
        <w:spacing w:line="360" w:lineRule="auto"/>
        <w:ind w:firstLine="680"/>
        <w:jc w:val="both"/>
        <w:rPr>
          <w:rFonts w:ascii="Arial" w:hAnsi="Arial"/>
          <w:sz w:val="20"/>
          <w:szCs w:val="20"/>
          <w:lang w:val="pt-BR"/>
        </w:rPr>
      </w:pPr>
      <w:r>
        <w:rPr>
          <w:rFonts w:ascii="Arial" w:hAnsi="Arial" w:cs="Arial"/>
          <w:sz w:val="24"/>
          <w:szCs w:val="24"/>
          <w:lang w:val="pt-BR"/>
        </w:rPr>
        <w:t xml:space="preserve">Em seu artigo 282, o Código de Processo Penal (1941) estabelece os pressupostos para a aplicação das medidas cautelares, vejamos: </w:t>
      </w:r>
    </w:p>
    <w:p w:rsidR="009D60B7" w:rsidRDefault="00425C09">
      <w:pPr>
        <w:tabs>
          <w:tab w:val="left" w:pos="6855"/>
        </w:tabs>
        <w:ind w:left="2268"/>
        <w:jc w:val="both"/>
        <w:rPr>
          <w:rFonts w:ascii="Arial" w:hAnsi="Arial"/>
          <w:sz w:val="20"/>
          <w:szCs w:val="20"/>
        </w:rPr>
      </w:pPr>
      <w:r>
        <w:rPr>
          <w:rFonts w:ascii="Arial" w:hAnsi="Arial"/>
          <w:sz w:val="20"/>
          <w:szCs w:val="20"/>
          <w:lang w:val="pt-BR"/>
        </w:rPr>
        <w:t>Art. 282. As medidas cautelares previstas neste Título deverão ser aplicadas observando-se a: (Redação dada pela Lei nº 12.403, de 2011).</w:t>
      </w:r>
    </w:p>
    <w:p w:rsidR="009D60B7" w:rsidRDefault="00425C09">
      <w:pPr>
        <w:tabs>
          <w:tab w:val="left" w:pos="6855"/>
        </w:tabs>
        <w:ind w:left="2268"/>
        <w:jc w:val="both"/>
        <w:rPr>
          <w:rFonts w:ascii="Arial" w:hAnsi="Arial"/>
          <w:sz w:val="20"/>
          <w:szCs w:val="20"/>
        </w:rPr>
      </w:pPr>
      <w:r>
        <w:rPr>
          <w:rFonts w:ascii="Arial" w:hAnsi="Arial"/>
          <w:sz w:val="20"/>
          <w:szCs w:val="20"/>
          <w:lang w:val="pt-BR"/>
        </w:rPr>
        <w:t>I - necessidade para aplicação da lei penal, para a investigação ou a instrução criminal e, nos casos expressamente previstos, para evitar a prática de infrações penais; (Incluído pela Lei nº 12.403, de 2011).</w:t>
      </w:r>
    </w:p>
    <w:p w:rsidR="009D60B7" w:rsidRDefault="00425C09">
      <w:pPr>
        <w:tabs>
          <w:tab w:val="left" w:pos="6855"/>
        </w:tabs>
        <w:ind w:left="2268"/>
        <w:jc w:val="both"/>
        <w:rPr>
          <w:rFonts w:ascii="Arial" w:hAnsi="Arial"/>
          <w:sz w:val="20"/>
          <w:szCs w:val="20"/>
        </w:rPr>
      </w:pPr>
      <w:r>
        <w:rPr>
          <w:rFonts w:ascii="Arial" w:hAnsi="Arial"/>
          <w:sz w:val="20"/>
          <w:szCs w:val="20"/>
          <w:lang w:val="pt-BR"/>
        </w:rPr>
        <w:t>II - adequação da medida à gravidade do crime, circunstâncias do fato e condições pessoais do indiciado ou acusado. (Incluído pela Lei nº 12.403, de 2011).</w:t>
      </w:r>
    </w:p>
    <w:p w:rsidR="009D60B7" w:rsidRDefault="00425C09">
      <w:pPr>
        <w:tabs>
          <w:tab w:val="left" w:pos="6855"/>
        </w:tabs>
        <w:ind w:left="2268"/>
        <w:jc w:val="both"/>
        <w:rPr>
          <w:rFonts w:ascii="Arial" w:hAnsi="Arial"/>
          <w:sz w:val="20"/>
          <w:szCs w:val="20"/>
        </w:rPr>
      </w:pPr>
      <w:r>
        <w:rPr>
          <w:rFonts w:ascii="Arial" w:hAnsi="Arial"/>
          <w:sz w:val="20"/>
          <w:szCs w:val="20"/>
          <w:lang w:val="pt-BR"/>
        </w:rPr>
        <w:t>§ 1o As medidas cautelares poderão ser aplicadas isolada ou cumulativamente. (Incluído pela Lei nº 12.403, de 2011).</w:t>
      </w:r>
    </w:p>
    <w:p w:rsidR="009D60B7" w:rsidRDefault="00425C09">
      <w:pPr>
        <w:tabs>
          <w:tab w:val="left" w:pos="6855"/>
        </w:tabs>
        <w:ind w:left="2268"/>
        <w:jc w:val="both"/>
        <w:rPr>
          <w:rFonts w:ascii="Arial" w:hAnsi="Arial"/>
          <w:sz w:val="20"/>
          <w:szCs w:val="20"/>
        </w:rPr>
      </w:pPr>
      <w:r>
        <w:rPr>
          <w:rFonts w:ascii="Arial" w:hAnsi="Arial"/>
          <w:sz w:val="20"/>
          <w:szCs w:val="20"/>
          <w:lang w:val="pt-BR"/>
        </w:rPr>
        <w:t>§ 2º As medidas cautelares serão decretadas pelo juiz a requerimento das partes ou, quando no curso da investigação criminal, por representação da autoridade policial ou mediante requerimento do Ministério Público. (Redação dada pela Lei nº 13.964, de 2019)</w:t>
      </w:r>
    </w:p>
    <w:p w:rsidR="009D60B7" w:rsidRDefault="00425C09">
      <w:pPr>
        <w:tabs>
          <w:tab w:val="left" w:pos="6855"/>
        </w:tabs>
        <w:ind w:left="2268"/>
        <w:jc w:val="both"/>
        <w:rPr>
          <w:rFonts w:ascii="Arial" w:hAnsi="Arial"/>
          <w:sz w:val="20"/>
          <w:szCs w:val="20"/>
        </w:rPr>
      </w:pPr>
      <w:r>
        <w:rPr>
          <w:rFonts w:ascii="Arial" w:hAnsi="Arial"/>
          <w:sz w:val="20"/>
          <w:szCs w:val="20"/>
          <w:lang w:val="pt-BR"/>
        </w:rPr>
        <w:t>§ 3º Ressalvados os casos de urgência ou de perigo de ineficácia da medida, o juiz, ao receber o pedido de medida cautelar, determinará a intimação da parte contrária, para se manifestar no prazo de 5 (cinco) dias, acompanhada de cópia do requerimento e das peças necessárias, permanecendo os autos em juízo, e os casos de urgência ou de perigo deverão ser justificados e fundamentados em decisão que contenha elementos do caso concreto que justifiquem essa medida excepcional. (Redação dada pela Lei nº 13.964, de 2019) (Vigência)</w:t>
      </w:r>
    </w:p>
    <w:p w:rsidR="009D60B7" w:rsidRDefault="00425C09">
      <w:pPr>
        <w:tabs>
          <w:tab w:val="left" w:pos="6855"/>
        </w:tabs>
        <w:ind w:left="2268"/>
        <w:jc w:val="both"/>
        <w:rPr>
          <w:rFonts w:ascii="Arial" w:hAnsi="Arial"/>
          <w:sz w:val="20"/>
          <w:szCs w:val="20"/>
        </w:rPr>
      </w:pPr>
      <w:r>
        <w:rPr>
          <w:rFonts w:ascii="Arial" w:hAnsi="Arial"/>
          <w:sz w:val="20"/>
          <w:szCs w:val="20"/>
          <w:lang w:val="pt-BR"/>
        </w:rPr>
        <w:t>§ 4º No caso de descumprimento de qualquer das obrigações impostas, o juiz, mediante requerimento do Ministério Público, de seu assistente ou do querelante, poderá substituir a medida, impor outra em cumulação, ou, em último caso, decretar a prisão preventiva, nos termos do parágrafo único do art. 312 deste Código. (Redação dada pela Lei nº 13.964, de 2019) (Vigência)</w:t>
      </w:r>
    </w:p>
    <w:p w:rsidR="009D60B7" w:rsidRDefault="00425C09">
      <w:pPr>
        <w:tabs>
          <w:tab w:val="left" w:pos="6855"/>
        </w:tabs>
        <w:ind w:left="2268"/>
        <w:jc w:val="both"/>
        <w:rPr>
          <w:rFonts w:ascii="Arial" w:hAnsi="Arial"/>
          <w:sz w:val="20"/>
          <w:szCs w:val="20"/>
        </w:rPr>
      </w:pPr>
      <w:r>
        <w:rPr>
          <w:rFonts w:ascii="Arial" w:hAnsi="Arial"/>
          <w:sz w:val="20"/>
          <w:szCs w:val="20"/>
          <w:lang w:val="pt-BR"/>
        </w:rPr>
        <w:t>§ 5º O juiz poderá, de ofício ou a pedido das partes, revogar a medida cautelar ou substituí-la quando verificar falta de motivo para que subsista, bem como voltar a decretá-la, se sobrevierem razões que a justifiquem. (Redação dada pela Lei nº 13.964, de 2019) (Vigência)</w:t>
      </w:r>
    </w:p>
    <w:p w:rsidR="009D60B7" w:rsidRDefault="00425C09">
      <w:pPr>
        <w:tabs>
          <w:tab w:val="left" w:pos="6855"/>
        </w:tabs>
        <w:ind w:left="2268"/>
        <w:jc w:val="both"/>
        <w:rPr>
          <w:rFonts w:ascii="Arial" w:hAnsi="Arial"/>
          <w:sz w:val="20"/>
          <w:szCs w:val="20"/>
        </w:rPr>
      </w:pPr>
      <w:r>
        <w:rPr>
          <w:rFonts w:ascii="Arial" w:hAnsi="Arial"/>
          <w:sz w:val="20"/>
          <w:szCs w:val="20"/>
          <w:lang w:val="pt-BR"/>
        </w:rPr>
        <w:t xml:space="preserve">§ 6º A prisão preventiva somente será determinada quando não for cabível a sua substituição por outra medida cautelar, observado o art. 319 deste Código, e o não cabimento da substituição por outra medida cautelar deverá ser justificado de forma fundamentada nos elementos presentes do caso concreto, de forma individualizada. (Redação dada pela Lei nº 13.964, de 2019) (Brasil, 1941, </w:t>
      </w:r>
      <w:r>
        <w:rPr>
          <w:rFonts w:ascii="Arial" w:hAnsi="Arial"/>
          <w:i/>
          <w:iCs/>
          <w:sz w:val="20"/>
          <w:szCs w:val="20"/>
          <w:lang w:val="pt-BR"/>
        </w:rPr>
        <w:t>online</w:t>
      </w:r>
      <w:r>
        <w:rPr>
          <w:rFonts w:ascii="Arial" w:hAnsi="Arial"/>
          <w:sz w:val="20"/>
          <w:szCs w:val="20"/>
          <w:lang w:val="pt-BR"/>
        </w:rPr>
        <w:t>).</w:t>
      </w:r>
    </w:p>
    <w:p w:rsidR="009D60B7" w:rsidRDefault="00425C09">
      <w:pPr>
        <w:tabs>
          <w:tab w:val="left" w:pos="6855"/>
        </w:tabs>
        <w:spacing w:line="360" w:lineRule="auto"/>
        <w:ind w:firstLine="680"/>
        <w:jc w:val="both"/>
        <w:rPr>
          <w:rFonts w:ascii="Arial" w:hAnsi="Arial"/>
          <w:sz w:val="20"/>
          <w:szCs w:val="20"/>
        </w:rPr>
      </w:pPr>
      <w:r>
        <w:rPr>
          <w:rFonts w:ascii="Arial" w:hAnsi="Arial"/>
          <w:sz w:val="20"/>
          <w:szCs w:val="20"/>
          <w:lang w:val="pt-BR"/>
        </w:rPr>
        <w:t xml:space="preserve">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Analisemos também, a fundamentação disposta no artigo 312 do Código de </w:t>
      </w:r>
      <w:r>
        <w:rPr>
          <w:rFonts w:ascii="Arial" w:hAnsi="Arial"/>
          <w:sz w:val="24"/>
          <w:szCs w:val="24"/>
          <w:lang w:val="pt-BR"/>
        </w:rPr>
        <w:lastRenderedPageBreak/>
        <w:t>Processo Penal (1941), com redação atualizada com o surgimento do Pacote Anticrime (Lei 13.964, de 2019), a qual prevê que, a</w:t>
      </w:r>
      <w:r>
        <w:rPr>
          <w:rFonts w:ascii="Arial" w:hAnsi="Arial"/>
          <w:sz w:val="24"/>
          <w:szCs w:val="24"/>
        </w:rPr>
        <w:t xml:space="preserve"> prisão preventiva, no âmbito do processo penal, configura medida excepcional que pode ser adotada quando houver elementos concretos que indiquem sua necessidade para a preservação da ordem pública ou econômica, para a adequada condução da instrução criminal ou para assegurar a efetividade da aplicação da lei penal.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Para sua decretação, exige-se não apenas a demonstração da materialidade do crime e indícios suficientes de autoria, mas também a existência de risco decorrente da liberdade do acusado. Além disso, o descumprimento de medidas cautelares anteriormente impostas pode justificar a imposição da prisão preventiva.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Ressalta-se que a decisão judicial deve ser devidamente fundamentada, com base em circunstâncias atuais e concretas, sendo vedada a utilização de argumentos genéricos ou baseados apenas na gravidade abstrata do delito. Na análise da periculosidade do agente, devem ser considerados aspectos como o modo de execução do crime, eventual reiteração de condutas violentas, participação em organizações criminosas, bem como a natureza dos objetos apreendidos e o risco de reincidência, evidenciado, inclusive, pela existência de outros procedimentos em curso.</w:t>
      </w:r>
      <w:r>
        <w:rPr>
          <w:rFonts w:ascii="Arial" w:hAnsi="Arial"/>
          <w:sz w:val="24"/>
          <w:szCs w:val="24"/>
          <w:lang w:val="pt-BR"/>
        </w:rPr>
        <w:t xml:space="preserve"> </w:t>
      </w:r>
      <w:r>
        <w:rPr>
          <w:rFonts w:ascii="Arial" w:hAnsi="Arial"/>
          <w:sz w:val="24"/>
          <w:szCs w:val="24"/>
        </w:rPr>
        <w:t>Conforme previsto no artigo  313  do  Código  de Processo  Penal (1941),  a  Prisão Preventiva poderá ser imposta nas hipóteses de:</w:t>
      </w:r>
    </w:p>
    <w:p w:rsidR="009D60B7" w:rsidRDefault="009D60B7">
      <w:pPr>
        <w:tabs>
          <w:tab w:val="left" w:pos="6855"/>
        </w:tabs>
        <w:spacing w:line="360" w:lineRule="auto"/>
        <w:ind w:firstLine="851"/>
        <w:jc w:val="both"/>
        <w:rPr>
          <w:rFonts w:ascii="Arial" w:hAnsi="Arial"/>
          <w:sz w:val="20"/>
          <w:szCs w:val="20"/>
        </w:rPr>
      </w:pPr>
    </w:p>
    <w:p w:rsidR="009D60B7" w:rsidRDefault="00425C09">
      <w:pPr>
        <w:tabs>
          <w:tab w:val="left" w:pos="6855"/>
        </w:tabs>
        <w:ind w:left="2268"/>
        <w:jc w:val="both"/>
        <w:rPr>
          <w:rFonts w:ascii="Arial" w:hAnsi="Arial"/>
          <w:sz w:val="20"/>
          <w:szCs w:val="20"/>
        </w:rPr>
      </w:pPr>
      <w:r>
        <w:rPr>
          <w:rFonts w:ascii="Arial" w:hAnsi="Arial"/>
          <w:sz w:val="20"/>
          <w:szCs w:val="20"/>
        </w:rPr>
        <w:t>Art. 313.Nos termos do art. 312 deste Código, será admitida a decretação da prisão preventiva: I-nos  crimes  dolosos  punidos  com  pena  privativa  de  liberdade  máxima superior a 4 (quatro) anos; II-se tiver sido condenado por outro crime doloso, em sentença transitada em julgado, ressalvado o disposto no inciso I do caput do art. 64 do Decreto-Lei no 2.848, de 7 de dezembro de 1940 -Código Penal;</w:t>
      </w:r>
    </w:p>
    <w:p w:rsidR="009D60B7" w:rsidRDefault="00425C09">
      <w:pPr>
        <w:tabs>
          <w:tab w:val="left" w:pos="6855"/>
        </w:tabs>
        <w:ind w:left="2268"/>
        <w:jc w:val="both"/>
        <w:rPr>
          <w:rFonts w:ascii="Arial" w:hAnsi="Arial"/>
          <w:sz w:val="20"/>
          <w:szCs w:val="20"/>
        </w:rPr>
      </w:pPr>
      <w:r>
        <w:rPr>
          <w:rFonts w:ascii="Arial" w:hAnsi="Arial"/>
          <w:sz w:val="20"/>
          <w:szCs w:val="20"/>
        </w:rPr>
        <w:t xml:space="preserve">III-se  o  crime  envolver  violência  doméstica  e  familiar  contra  a  mulher, criança, adolescente, idoso, enfermo ou pessoa com deficiência, para garantir a execução das medidas protetivas de urgência;IV-(revogado).Parágrafo único. Também será admitida a prisão preventiva quando houver dúvida  sobre  a  identidade  civil  da  pessoa  ou  quando  esta  não  fornecer elementos  suficientes  para  esclarecê-la,  devendo  o  preso  ser  colocado imediatamente  em  liberdade  após  a  identificação,  salvo  se  outra  hipótese recomendar a manutenção da medida. (Brasil, 1941, </w:t>
      </w:r>
      <w:r>
        <w:rPr>
          <w:rFonts w:ascii="Arial" w:hAnsi="Arial"/>
          <w:i/>
          <w:iCs/>
          <w:sz w:val="20"/>
          <w:szCs w:val="20"/>
        </w:rPr>
        <w:t>online</w:t>
      </w:r>
      <w:r>
        <w:rPr>
          <w:rFonts w:ascii="Arial" w:hAnsi="Arial"/>
          <w:sz w:val="20"/>
          <w:szCs w:val="20"/>
        </w:rPr>
        <w:t xml:space="preserve">) </w:t>
      </w:r>
    </w:p>
    <w:p w:rsidR="009D60B7" w:rsidRDefault="009D60B7">
      <w:pPr>
        <w:tabs>
          <w:tab w:val="left" w:pos="6855"/>
        </w:tabs>
        <w:jc w:val="both"/>
        <w:rPr>
          <w:rFonts w:ascii="Arial" w:hAnsi="Arial"/>
          <w:sz w:val="20"/>
          <w:szCs w:val="20"/>
        </w:rPr>
      </w:pPr>
    </w:p>
    <w:p w:rsidR="009D60B7" w:rsidRDefault="009D60B7">
      <w:pPr>
        <w:tabs>
          <w:tab w:val="left" w:pos="6855"/>
        </w:tabs>
        <w:spacing w:line="360" w:lineRule="auto"/>
        <w:ind w:left="2268"/>
        <w:rPr>
          <w:rFonts w:ascii="Arial" w:hAnsi="Arial"/>
          <w:color w:val="EE0000"/>
          <w:sz w:val="20"/>
          <w:szCs w:val="20"/>
        </w:rPr>
      </w:pPr>
    </w:p>
    <w:p w:rsidR="009D60B7" w:rsidRDefault="00425C09">
      <w:pPr>
        <w:tabs>
          <w:tab w:val="left" w:pos="6855"/>
        </w:tabs>
        <w:spacing w:line="360" w:lineRule="auto"/>
        <w:ind w:firstLine="680"/>
        <w:jc w:val="both"/>
        <w:rPr>
          <w:rFonts w:ascii="Arial" w:hAnsi="Arial"/>
          <w:sz w:val="24"/>
          <w:szCs w:val="24"/>
        </w:rPr>
      </w:pPr>
      <w:r>
        <w:rPr>
          <w:rFonts w:ascii="Arial" w:hAnsi="Arial"/>
          <w:color w:val="000000" w:themeColor="dark1"/>
          <w:sz w:val="24"/>
          <w:szCs w:val="24"/>
          <w:lang w:val="pt-BR"/>
        </w:rPr>
        <w:t xml:space="preserve">A reformulação ocorreu com a implementação do Pacote Anticrime (Lei nº 13.964/2019), que alterou o conteúdo legal do artigo 311 do Código de Processo Penal (1941). Antes da alteração, o juiz poderia decretar a prisão preventiva </w:t>
      </w:r>
      <w:r>
        <w:rPr>
          <w:rFonts w:ascii="Arial" w:hAnsi="Arial"/>
          <w:i/>
          <w:iCs/>
          <w:color w:val="000000" w:themeColor="dark1"/>
          <w:sz w:val="24"/>
          <w:szCs w:val="24"/>
        </w:rPr>
        <w:t>ex officio</w:t>
      </w:r>
      <w:r>
        <w:rPr>
          <w:rFonts w:ascii="Arial" w:hAnsi="Arial"/>
          <w:color w:val="000000" w:themeColor="dark1"/>
          <w:sz w:val="24"/>
          <w:szCs w:val="24"/>
          <w:lang w:val="pt-BR"/>
        </w:rPr>
        <w:t xml:space="preserve">, por iniciativa própria, e em qualquer fase do inquérito policial ou do processo. Como mostra </w:t>
      </w:r>
      <w:r>
        <w:rPr>
          <w:rFonts w:ascii="Arial" w:hAnsi="Arial"/>
          <w:color w:val="000000" w:themeColor="dark1"/>
          <w:sz w:val="24"/>
          <w:szCs w:val="24"/>
          <w:lang w:val="pt-BR"/>
        </w:rPr>
        <w:lastRenderedPageBreak/>
        <w:t>a seguir a redação anterior:</w:t>
      </w:r>
    </w:p>
    <w:p w:rsidR="009D60B7" w:rsidRDefault="009D60B7">
      <w:pPr>
        <w:tabs>
          <w:tab w:val="left" w:pos="6855"/>
        </w:tabs>
        <w:spacing w:line="360" w:lineRule="auto"/>
        <w:ind w:firstLine="851"/>
        <w:rPr>
          <w:rFonts w:ascii="Arial" w:hAnsi="Arial"/>
          <w:color w:val="000000" w:themeColor="dark1"/>
          <w:sz w:val="20"/>
          <w:szCs w:val="20"/>
          <w:lang w:val="pt-BR"/>
        </w:rPr>
      </w:pPr>
    </w:p>
    <w:p w:rsidR="009D60B7" w:rsidRDefault="00425C09">
      <w:pPr>
        <w:tabs>
          <w:tab w:val="left" w:pos="6855"/>
        </w:tabs>
        <w:ind w:left="2268"/>
        <w:jc w:val="both"/>
        <w:rPr>
          <w:rFonts w:ascii="Arial" w:hAnsi="Arial"/>
          <w:sz w:val="20"/>
          <w:szCs w:val="20"/>
        </w:rPr>
      </w:pPr>
      <w:r>
        <w:rPr>
          <w:rFonts w:ascii="Arial" w:hAnsi="Arial"/>
          <w:color w:val="000000" w:themeColor="dark1"/>
          <w:sz w:val="20"/>
          <w:szCs w:val="20"/>
        </w:rPr>
        <w:t xml:space="preserve">Art. 311. Em qualquer fase da investigação policial ou do processo penal, caberá a prisão preventiva decretada pelo juiz, de ofício, se no curso da ação penal, ou a requerimento do Ministério Público, do querelante ou do assistente, ou por representação da autoridade policial. (Brasil,1941, </w:t>
      </w:r>
      <w:r>
        <w:rPr>
          <w:rFonts w:ascii="Arial" w:hAnsi="Arial"/>
          <w:i/>
          <w:iCs/>
          <w:color w:val="000000" w:themeColor="dark1"/>
          <w:sz w:val="20"/>
          <w:szCs w:val="20"/>
        </w:rPr>
        <w:t>online</w:t>
      </w:r>
      <w:r>
        <w:rPr>
          <w:rFonts w:ascii="Arial" w:hAnsi="Arial"/>
          <w:color w:val="000000" w:themeColor="dark1"/>
          <w:sz w:val="20"/>
          <w:szCs w:val="20"/>
        </w:rPr>
        <w:t>).</w:t>
      </w:r>
      <w:r>
        <w:rPr>
          <w:rFonts w:ascii="Arial" w:hAnsi="Arial"/>
          <w:color w:val="00B050"/>
          <w:sz w:val="20"/>
          <w:szCs w:val="20"/>
          <w:lang w:val="pt-BR"/>
        </w:rPr>
        <w:t xml:space="preserve"> </w:t>
      </w:r>
    </w:p>
    <w:p w:rsidR="009D60B7" w:rsidRDefault="009D60B7">
      <w:pPr>
        <w:tabs>
          <w:tab w:val="left" w:pos="6855"/>
        </w:tabs>
        <w:spacing w:line="360" w:lineRule="auto"/>
        <w:ind w:left="2268"/>
        <w:rPr>
          <w:rFonts w:ascii="Arial" w:hAnsi="Arial"/>
          <w:color w:val="EE0000"/>
          <w:sz w:val="20"/>
          <w:szCs w:val="20"/>
        </w:rPr>
      </w:pPr>
    </w:p>
    <w:p w:rsidR="009D60B7" w:rsidRDefault="00425C09">
      <w:pPr>
        <w:tabs>
          <w:tab w:val="left" w:pos="6855"/>
        </w:tabs>
        <w:spacing w:line="360" w:lineRule="auto"/>
        <w:ind w:firstLine="680"/>
        <w:rPr>
          <w:rFonts w:ascii="Arial" w:hAnsi="Arial"/>
          <w:sz w:val="24"/>
          <w:szCs w:val="24"/>
        </w:rPr>
      </w:pPr>
      <w:r>
        <w:rPr>
          <w:rFonts w:ascii="Arial" w:hAnsi="Arial"/>
          <w:color w:val="000000" w:themeColor="dark1"/>
          <w:sz w:val="24"/>
          <w:szCs w:val="24"/>
        </w:rPr>
        <w:t>A Redação dada pela Lei nº 13.964, de 2019, é uma nova previsão legal do artigo 311 do Código de Processo Penal (1941) estabelece que:</w:t>
      </w:r>
    </w:p>
    <w:p w:rsidR="009D60B7" w:rsidRDefault="00425C09">
      <w:pPr>
        <w:tabs>
          <w:tab w:val="left" w:pos="6855"/>
        </w:tabs>
        <w:ind w:left="2268"/>
        <w:jc w:val="both"/>
        <w:rPr>
          <w:rFonts w:ascii="Arial" w:hAnsi="Arial"/>
          <w:sz w:val="20"/>
          <w:szCs w:val="20"/>
        </w:rPr>
      </w:pPr>
      <w:r>
        <w:rPr>
          <w:rFonts w:ascii="Arial" w:hAnsi="Arial"/>
          <w:color w:val="000000" w:themeColor="dark1"/>
          <w:sz w:val="20"/>
          <w:szCs w:val="20"/>
        </w:rPr>
        <w:t xml:space="preserve">Art.311. Em qualquer fase da investigação policial ou do processo penal, caberá a prisão preventiva decretada pelo juiz, a requerimento do Ministério Público, do querelante ou do assistente, ou por representação da autoridade policial. (Brasil, 1941, </w:t>
      </w:r>
      <w:r>
        <w:rPr>
          <w:rFonts w:ascii="Arial" w:hAnsi="Arial"/>
          <w:i/>
          <w:iCs/>
          <w:color w:val="000000" w:themeColor="dark1"/>
          <w:sz w:val="20"/>
          <w:szCs w:val="20"/>
        </w:rPr>
        <w:t>online</w:t>
      </w:r>
      <w:r>
        <w:rPr>
          <w:rFonts w:ascii="Arial" w:hAnsi="Arial"/>
          <w:color w:val="000000" w:themeColor="dark1"/>
          <w:sz w:val="20"/>
          <w:szCs w:val="20"/>
        </w:rPr>
        <w:t>).</w:t>
      </w:r>
    </w:p>
    <w:p w:rsidR="009D60B7" w:rsidRDefault="009D60B7">
      <w:pPr>
        <w:tabs>
          <w:tab w:val="left" w:pos="6855"/>
        </w:tabs>
        <w:spacing w:line="360" w:lineRule="auto"/>
        <w:ind w:left="2268"/>
        <w:rPr>
          <w:rFonts w:ascii="Arial" w:hAnsi="Arial"/>
          <w:sz w:val="20"/>
          <w:szCs w:val="20"/>
        </w:rPr>
      </w:pPr>
    </w:p>
    <w:p w:rsidR="009D60B7" w:rsidRDefault="00425C09">
      <w:pPr>
        <w:tabs>
          <w:tab w:val="left" w:pos="6855"/>
        </w:tabs>
        <w:spacing w:line="360" w:lineRule="auto"/>
        <w:ind w:firstLine="680"/>
        <w:jc w:val="both"/>
        <w:rPr>
          <w:rFonts w:ascii="Arial" w:hAnsi="Arial"/>
          <w:sz w:val="24"/>
          <w:szCs w:val="24"/>
        </w:rPr>
      </w:pPr>
      <w:r>
        <w:rPr>
          <w:rFonts w:ascii="Arial" w:hAnsi="Arial"/>
          <w:color w:val="000000" w:themeColor="dark1"/>
          <w:sz w:val="24"/>
          <w:szCs w:val="24"/>
          <w:lang w:val="pt-BR"/>
        </w:rPr>
        <w:t>O Superior Tribunal de Justiça, em 2024, passou a firmar entendimento no sentido de que não é mais possível ao magistrado converter a prisão em flagrante em preventiva sem prévia provocação das partes. Em decisão proferida em habeas corpus, o Ministro Og Fernandes reconheceu a ilegalidade da conversão realizada durante audiência de custódia, afirmando que, após a reforma legislativa, encontra-se vedada, em qualquer hipótese, a decretação da prisão preventiva de ofício pelo juiz.</w:t>
      </w:r>
    </w:p>
    <w:p w:rsidR="009D60B7" w:rsidRDefault="009D60B7">
      <w:pPr>
        <w:tabs>
          <w:tab w:val="left" w:pos="6855"/>
        </w:tabs>
        <w:spacing w:line="360" w:lineRule="auto"/>
        <w:ind w:firstLine="851"/>
        <w:rPr>
          <w:rFonts w:ascii="Arial" w:hAnsi="Arial"/>
          <w:color w:val="000000" w:themeColor="dark1"/>
          <w:sz w:val="20"/>
          <w:szCs w:val="20"/>
          <w:lang w:val="pt-BR"/>
        </w:rPr>
      </w:pPr>
    </w:p>
    <w:p w:rsidR="009D60B7" w:rsidRDefault="00425C09">
      <w:pPr>
        <w:tabs>
          <w:tab w:val="left" w:pos="6855"/>
        </w:tabs>
        <w:ind w:left="2268"/>
        <w:jc w:val="both"/>
        <w:rPr>
          <w:rFonts w:ascii="Arial" w:hAnsi="Arial"/>
          <w:sz w:val="20"/>
          <w:szCs w:val="20"/>
        </w:rPr>
      </w:pPr>
      <w:r>
        <w:rPr>
          <w:rFonts w:ascii="Arial" w:hAnsi="Arial"/>
          <w:color w:val="000000" w:themeColor="dark1"/>
          <w:sz w:val="20"/>
          <w:szCs w:val="20"/>
          <w:lang w:val="pt-BR"/>
        </w:rPr>
        <w:t>Verifica-se que o acórdão recorrido viola os arts. 282, §4º, e 311 do Código de Processo Penal, com a redação conferida pela Lei 13.964/2019, que, em homenagem ao sistema acusatório, veda, em qualquer hipótese, a decretação da prisão preventiva de ofício pelo magistrado (STJ, HC 926.724/MG, Rel. Min. Messod Azulay Neto, DJe 03/07/2024)</w:t>
      </w:r>
    </w:p>
    <w:p w:rsidR="009D60B7" w:rsidRDefault="009D60B7">
      <w:pPr>
        <w:tabs>
          <w:tab w:val="left" w:pos="6855"/>
        </w:tabs>
        <w:spacing w:line="360" w:lineRule="auto"/>
        <w:rPr>
          <w:rFonts w:ascii="Arial" w:hAnsi="Arial"/>
          <w:color w:val="000000" w:themeColor="dark1"/>
          <w:sz w:val="24"/>
          <w:szCs w:val="24"/>
        </w:rPr>
      </w:pPr>
    </w:p>
    <w:p w:rsidR="009D60B7" w:rsidRDefault="00425C09">
      <w:pPr>
        <w:tabs>
          <w:tab w:val="left" w:pos="6855"/>
        </w:tabs>
        <w:spacing w:line="360" w:lineRule="auto"/>
        <w:ind w:firstLine="680"/>
        <w:jc w:val="both"/>
        <w:rPr>
          <w:rFonts w:ascii="Arial" w:hAnsi="Arial"/>
          <w:sz w:val="20"/>
          <w:szCs w:val="20"/>
        </w:rPr>
      </w:pPr>
      <w:r>
        <w:rPr>
          <w:rFonts w:ascii="Arial" w:hAnsi="Arial"/>
          <w:color w:val="000000" w:themeColor="dark1"/>
          <w:sz w:val="24"/>
          <w:szCs w:val="24"/>
        </w:rPr>
        <w:t xml:space="preserve"> Contudo, a controvérsia se inicia na colisão com a Lei Maria da Penha (Lei nº 11.340/2006), na qual a prisão preventiva de oficio ainda permanece vigente, conforme lê-se em seu artigo 20 </w:t>
      </w:r>
      <w:r>
        <w:rPr>
          <w:rFonts w:ascii="Arial" w:hAnsi="Arial"/>
          <w:i/>
          <w:iCs/>
          <w:color w:val="000000" w:themeColor="dark1"/>
          <w:sz w:val="24"/>
          <w:szCs w:val="24"/>
        </w:rPr>
        <w:t>caput</w:t>
      </w:r>
      <w:r>
        <w:rPr>
          <w:rFonts w:ascii="Arial" w:hAnsi="Arial"/>
          <w:color w:val="000000" w:themeColor="dark1"/>
          <w:sz w:val="20"/>
          <w:szCs w:val="20"/>
        </w:rPr>
        <w:t>:</w:t>
      </w:r>
    </w:p>
    <w:p w:rsidR="009D60B7" w:rsidRDefault="009D60B7">
      <w:pPr>
        <w:tabs>
          <w:tab w:val="left" w:pos="6855"/>
        </w:tabs>
        <w:ind w:firstLine="851"/>
        <w:jc w:val="both"/>
        <w:rPr>
          <w:rFonts w:ascii="Arial" w:hAnsi="Arial"/>
          <w:color w:val="000000" w:themeColor="dark1"/>
          <w:sz w:val="20"/>
          <w:szCs w:val="20"/>
        </w:rPr>
      </w:pPr>
    </w:p>
    <w:p w:rsidR="009D60B7" w:rsidRDefault="00425C09">
      <w:pPr>
        <w:tabs>
          <w:tab w:val="left" w:pos="6855"/>
        </w:tabs>
        <w:ind w:left="2268"/>
        <w:jc w:val="both"/>
        <w:rPr>
          <w:rFonts w:ascii="Arial" w:hAnsi="Arial"/>
          <w:sz w:val="20"/>
          <w:szCs w:val="20"/>
        </w:rPr>
      </w:pPr>
      <w:r>
        <w:rPr>
          <w:rFonts w:ascii="Arial" w:hAnsi="Arial"/>
          <w:color w:val="000000" w:themeColor="dark1"/>
          <w:sz w:val="20"/>
          <w:szCs w:val="20"/>
          <w:lang w:val="pt-BR"/>
        </w:rPr>
        <w:t>Art. 20. Em qualquer fase do inquérito policial ou da instrução criminal, caberá a prisão preventiva do agressor, decretada pelo juiz, de ofício, a requerimento do Ministério Público ou mediante representação da autoridade policial.</w:t>
      </w:r>
    </w:p>
    <w:p w:rsidR="009D60B7" w:rsidRDefault="00425C09">
      <w:pPr>
        <w:tabs>
          <w:tab w:val="left" w:pos="6855"/>
        </w:tabs>
        <w:ind w:left="2268"/>
        <w:jc w:val="both"/>
        <w:rPr>
          <w:rFonts w:ascii="Arial" w:hAnsi="Arial"/>
          <w:sz w:val="20"/>
          <w:szCs w:val="20"/>
        </w:rPr>
      </w:pPr>
      <w:bookmarkStart w:id="14" w:name="art20p"/>
      <w:bookmarkEnd w:id="14"/>
      <w:r>
        <w:rPr>
          <w:rFonts w:ascii="Arial" w:hAnsi="Arial"/>
          <w:color w:val="000000" w:themeColor="dark1"/>
          <w:sz w:val="20"/>
          <w:szCs w:val="20"/>
          <w:lang w:val="pt-BR"/>
        </w:rPr>
        <w:t xml:space="preserve">Parágrafo único. O juiz poderá revogar a prisão preventiva se, no curso do processo, verificar a falta de motivo para que subsista, bem como de novo decretá-la, se sobrevierem razões que a justifiquem. (Brasil, 2006, </w:t>
      </w:r>
      <w:r>
        <w:rPr>
          <w:rFonts w:ascii="Arial" w:hAnsi="Arial"/>
          <w:i/>
          <w:iCs/>
          <w:color w:val="000000" w:themeColor="dark1"/>
          <w:sz w:val="20"/>
          <w:szCs w:val="20"/>
          <w:lang w:val="pt-BR"/>
        </w:rPr>
        <w:t>online</w:t>
      </w:r>
      <w:r>
        <w:rPr>
          <w:rFonts w:ascii="Arial" w:hAnsi="Arial"/>
          <w:color w:val="000000" w:themeColor="dark1"/>
          <w:sz w:val="20"/>
          <w:szCs w:val="20"/>
          <w:lang w:val="pt-BR"/>
        </w:rPr>
        <w:t>).</w:t>
      </w:r>
    </w:p>
    <w:p w:rsidR="009D60B7" w:rsidRDefault="009D60B7">
      <w:pPr>
        <w:tabs>
          <w:tab w:val="left" w:pos="6855"/>
        </w:tabs>
        <w:ind w:left="2268"/>
        <w:jc w:val="both"/>
        <w:rPr>
          <w:rFonts w:ascii="Arial" w:hAnsi="Arial"/>
          <w:color w:val="00B050"/>
          <w:sz w:val="20"/>
          <w:szCs w:val="20"/>
          <w:lang w:val="pt-BR"/>
        </w:rPr>
      </w:pP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Uma  vez compreendido o conceito, prosseguimos com a análise da possibilidade ou não da prisão preventiva decretada de ofício que não é mais admitida pelo Código de processo Penal, após a Lei 13.964/2019 (Pacote Anticrime). A compreensão da possibilidade ou não do instituto mostra-se significativa para o entendimento do sistema acusatório e do ordenamento jurídico brasileiro. Com as alterações promovidas, a prisão </w:t>
      </w:r>
      <w:r>
        <w:rPr>
          <w:rFonts w:ascii="Arial" w:hAnsi="Arial"/>
          <w:sz w:val="24"/>
          <w:szCs w:val="24"/>
        </w:rPr>
        <w:lastRenderedPageBreak/>
        <w:t xml:space="preserve">preventiva passou a ser cercada de existências mais rigorosas quanto à sua fundamentação. Não basta mais invocar argumentos genéricos ou apoia-se na gravidade abstrata do delito.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A decisão judicial deve demonstrar, de maneira concreta, a existência de perigo real e atual, bem como estar amparada em fatos novos ou contemporâneos que justifiquem a medida extrema. Além disso, o legislador reforçou o caráter excepcional da custódia cautelar ao determinar a revisão periódica de sua necessidade, impondo ao magistrado o dever de reavaliá-la a cada 90 dias, sob pena de ilegalidade (Velludo, 2024).</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No tocante ao descumprimento das medidas cautelares diversas da prisão, sustenta-se que o magistrado não pode atuar de ofício, dependendo de provocação das partes. Todavia, uma vez verificada a inobservância da cautelar imposta, abre-se a possibilidade de adoção de uma providência mais gravosa, inclusive a decretação da prisão preventiva. Nessa hipótese, a preventiva não se submete às limitações do art. 313, inciso I, do Código de Processo Penal, pois decorre da necessidade de preservar a efetividade das medidas cautelares e a autoridade da decisão judicial (Nucci, 2025).  </w:t>
      </w:r>
    </w:p>
    <w:p w:rsidR="009D60B7" w:rsidRDefault="00425C09">
      <w:pPr>
        <w:tabs>
          <w:tab w:val="left" w:pos="6855"/>
        </w:tabs>
        <w:spacing w:line="360" w:lineRule="auto"/>
        <w:ind w:firstLine="680"/>
        <w:jc w:val="both"/>
        <w:rPr>
          <w:rFonts w:ascii="Arial" w:hAnsi="Arial"/>
          <w:sz w:val="24"/>
          <w:szCs w:val="24"/>
          <w:lang w:val="pt-BR"/>
        </w:rPr>
      </w:pPr>
      <w:r>
        <w:rPr>
          <w:rFonts w:ascii="Arial" w:hAnsi="Arial"/>
          <w:sz w:val="24"/>
          <w:szCs w:val="24"/>
          <w:lang w:val="pt-BR"/>
        </w:rPr>
        <w:t>A alteração normativa do Código de Processo Penal, tornou-se evidente o conflito entre o artigo 311 do Código de Processo Penal (Lei nº 3.689/1941) e o artigo 20</w:t>
      </w:r>
      <w:r>
        <w:rPr>
          <w:rFonts w:ascii="Arial" w:hAnsi="Arial"/>
          <w:i/>
          <w:iCs/>
          <w:sz w:val="24"/>
          <w:szCs w:val="24"/>
          <w:lang w:val="pt-BR"/>
        </w:rPr>
        <w:t xml:space="preserve"> </w:t>
      </w:r>
      <w:r>
        <w:rPr>
          <w:rFonts w:ascii="Arial" w:hAnsi="Arial"/>
          <w:sz w:val="24"/>
          <w:szCs w:val="24"/>
          <w:lang w:val="pt-BR"/>
        </w:rPr>
        <w:t xml:space="preserve">da Lei Maria da Penha (Lei nº 11.340/2006). Ambos possuem papéis relevantes no enfrentamento da violência doméstica contra a mulher no Brasil.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De acordo com uma matéria publicada pelo Senado Notícias em 24 de novembro de 2025, cerca de 3,7 milhões de brasileiras sofreram algum tipo de violência doméstica ou familiar em 2022. A pesquisa demonstra ainda que a violência costuma ser recorrente: quase seis em cada dez mulheres relatam que as agressões ocorreram nos últimos seis meses, enquanto 21% afirmam conviver com episódios há mais de um ano</w:t>
      </w:r>
      <w:r>
        <w:rPr>
          <w:rFonts w:ascii="Arial" w:hAnsi="Arial"/>
          <w:sz w:val="24"/>
          <w:szCs w:val="24"/>
        </w:rPr>
        <w:t xml:space="preserve"> (Senado Federal, 2025, </w:t>
      </w:r>
      <w:r>
        <w:rPr>
          <w:rFonts w:ascii="Arial" w:hAnsi="Arial"/>
          <w:i/>
          <w:iCs/>
          <w:sz w:val="24"/>
          <w:szCs w:val="24"/>
        </w:rPr>
        <w:t>online</w:t>
      </w:r>
      <w:r>
        <w:rPr>
          <w:rFonts w:ascii="Arial" w:hAnsi="Arial"/>
          <w:sz w:val="24"/>
          <w:szCs w:val="24"/>
        </w:rPr>
        <w:t>).</w:t>
      </w:r>
    </w:p>
    <w:p w:rsidR="009D60B7" w:rsidRDefault="00425C09">
      <w:pPr>
        <w:tabs>
          <w:tab w:val="left" w:pos="6855"/>
        </w:tabs>
        <w:spacing w:line="360" w:lineRule="auto"/>
        <w:ind w:firstLine="680"/>
        <w:jc w:val="both"/>
        <w:rPr>
          <w:rFonts w:ascii="Arial" w:hAnsi="Arial"/>
          <w:sz w:val="24"/>
          <w:szCs w:val="24"/>
          <w:lang w:val="pt-BR"/>
        </w:rPr>
      </w:pPr>
      <w:r>
        <w:rPr>
          <w:rFonts w:ascii="Arial" w:hAnsi="Arial"/>
          <w:sz w:val="24"/>
          <w:szCs w:val="24"/>
          <w:lang w:val="pt-BR"/>
        </w:rPr>
        <w:t xml:space="preserve">Os dados apresentados mostram a urgente necessidade de discussões de políticas públicas e uma avaliação em normas mais incisiva de modo que tragam melhorias em meio a dados tão alarmantes que corroboram a necessidade de soluções urgentes e eficazes. </w:t>
      </w:r>
    </w:p>
    <w:p w:rsidR="009D60B7" w:rsidRDefault="00425C09">
      <w:pPr>
        <w:tabs>
          <w:tab w:val="left" w:pos="6855"/>
        </w:tabs>
        <w:spacing w:line="360" w:lineRule="auto"/>
        <w:ind w:firstLine="680"/>
        <w:jc w:val="both"/>
        <w:rPr>
          <w:rFonts w:ascii="Arial" w:hAnsi="Arial"/>
          <w:sz w:val="20"/>
          <w:szCs w:val="20"/>
        </w:rPr>
      </w:pPr>
      <w:r>
        <w:rPr>
          <w:rFonts w:ascii="Arial" w:hAnsi="Arial"/>
          <w:sz w:val="24"/>
          <w:szCs w:val="24"/>
          <w:lang w:val="pt-BR"/>
        </w:rPr>
        <w:t xml:space="preserve">As discussões sobre o assunto e o conflito normativo em questão, se tornam essenciais, e a averiguação sobre qual das normas deve prevalecer diante do problema emergencial que enfrenta a violência doméstica. Por isso, a necessidade de </w:t>
      </w:r>
      <w:r>
        <w:rPr>
          <w:rFonts w:ascii="Arial" w:hAnsi="Arial"/>
          <w:sz w:val="24"/>
          <w:szCs w:val="24"/>
          <w:lang w:val="pt-BR"/>
        </w:rPr>
        <w:lastRenderedPageBreak/>
        <w:t>compreender os fundamentos jurídicos pela prevalência de uma ou outra norma, considerando os seus reflexos práticos na vida de centenas de vítimas</w:t>
      </w:r>
      <w:r>
        <w:rPr>
          <w:rFonts w:ascii="Arial" w:hAnsi="Arial"/>
          <w:sz w:val="20"/>
          <w:szCs w:val="20"/>
          <w:lang w:val="pt-BR"/>
        </w:rPr>
        <w:t xml:space="preserve">. </w:t>
      </w:r>
    </w:p>
    <w:p w:rsidR="009D60B7" w:rsidRDefault="009D60B7">
      <w:pPr>
        <w:tabs>
          <w:tab w:val="left" w:pos="6855"/>
        </w:tabs>
        <w:spacing w:line="360" w:lineRule="auto"/>
        <w:rPr>
          <w:rFonts w:ascii="Arial" w:hAnsi="Arial"/>
          <w:sz w:val="20"/>
          <w:szCs w:val="20"/>
          <w:lang w:val="pt-BR"/>
        </w:rPr>
      </w:pPr>
    </w:p>
    <w:p w:rsidR="009D60B7" w:rsidRPr="003F1554" w:rsidRDefault="00425C09">
      <w:pPr>
        <w:pStyle w:val="PargrafodaLista"/>
        <w:tabs>
          <w:tab w:val="left" w:pos="6855"/>
        </w:tabs>
        <w:spacing w:line="360" w:lineRule="auto"/>
        <w:jc w:val="both"/>
        <w:rPr>
          <w:rFonts w:ascii="Arial" w:hAnsi="Arial"/>
          <w:sz w:val="24"/>
          <w:szCs w:val="24"/>
        </w:rPr>
      </w:pPr>
      <w:r w:rsidRPr="003F1554">
        <w:rPr>
          <w:rFonts w:ascii="Arial" w:hAnsi="Arial"/>
          <w:bCs/>
          <w:sz w:val="24"/>
          <w:szCs w:val="24"/>
          <w:lang w:val="pt-BR"/>
        </w:rPr>
        <w:t>2 O PRINCÍPIO DA ESPECIALIDADE E A HIPÓTESE DE PREVALÊNCIA DA LEI MARIA DA PENHA (2006).</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A Lei Maria da Penha (</w:t>
      </w:r>
      <w:r>
        <w:rPr>
          <w:rFonts w:ascii="Arial" w:hAnsi="Arial"/>
          <w:sz w:val="24"/>
          <w:szCs w:val="24"/>
        </w:rPr>
        <w:t xml:space="preserve">Lei 11.340/2006), </w:t>
      </w:r>
      <w:r>
        <w:rPr>
          <w:rFonts w:ascii="Arial" w:hAnsi="Arial"/>
          <w:sz w:val="24"/>
          <w:szCs w:val="24"/>
          <w:lang w:val="pt-BR"/>
        </w:rPr>
        <w:t xml:space="preserve">promulgada em 07 de agosto 2006, tornou-se um marco importante e histórico em meio ao cenário de violência doméstica e familiar contra mulheres. Antes, o crime de violência doméstica era entendido como crime de menor potencial </w:t>
      </w:r>
      <w:r>
        <w:rPr>
          <w:rFonts w:ascii="Arial" w:hAnsi="Arial"/>
          <w:sz w:val="24"/>
          <w:szCs w:val="24"/>
        </w:rPr>
        <w:t xml:space="preserve">ofensivo, resultando frequentemente em impunidade. Em suma, não havia preceito legal para punir, com mais rigor, o homem autor de violência.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A Lei Maria da Penha (2006) é </w:t>
      </w:r>
      <w:r>
        <w:rPr>
          <w:rFonts w:ascii="Arial" w:hAnsi="Arial"/>
          <w:sz w:val="24"/>
          <w:szCs w:val="24"/>
        </w:rPr>
        <w:t>o instrumento jurídico central no ordenamento brasileiro destinado a enfrentar e reduzir a violência doméstica e familiar contra a mulher, atuando tanto na repressão quanto na prevenção dessas condutas, oferecendo</w:t>
      </w:r>
      <w:r>
        <w:rPr>
          <w:rFonts w:ascii="Arial" w:hAnsi="Arial"/>
          <w:sz w:val="24"/>
          <w:szCs w:val="24"/>
          <w:lang w:val="pt-BR"/>
        </w:rPr>
        <w:t xml:space="preserve"> diversos mecanismos de proteção para as vítimas.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Foram estabelecidos instrumentos voltados ao enfrentamento da violência doméstica e familiar contra a mulher, baseados na Constituição Federal e em compromissos internacionais assumidos pelo Brasil, bem como a criação de Juizados especializados e a adoção de medidas de assistência e proteção às mulheres em situação de violência (Brasil, 2006, </w:t>
      </w:r>
      <w:r>
        <w:rPr>
          <w:rFonts w:ascii="Arial" w:hAnsi="Arial"/>
          <w:i/>
          <w:iCs/>
          <w:sz w:val="24"/>
          <w:szCs w:val="24"/>
        </w:rPr>
        <w:t>online</w:t>
      </w:r>
      <w:r>
        <w:rPr>
          <w:rFonts w:ascii="Arial" w:hAnsi="Arial"/>
          <w:sz w:val="24"/>
          <w:szCs w:val="24"/>
        </w:rPr>
        <w:t>). Ainda, a Lei é considerada  uma das três leis mais avançadas no mundo pela Organização das Nações Unidas (Instituto Maria da Penha, s.d.).</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A Lei surge em um contexto no qual a violência contra a mulher não pode ser compreendida como fato isolado, mas como expressão de uma estrutura social marcada por relações desiguais de poder. A doutrina destaca que a violência interpessoal opera como instrumento de manutenção da subordinação feminina, reproduzindo padrões discriminatórios historicamente consolidados (Barsted, 2011).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Dias (2019) destaca que a violência sofrida pelas mulheres não pode ser compreendida apenas como resultado da conduta individual do agressor. Trata-se de um problema que também possui raízes sociais e culturais, uma vez que determinados valores ainda presentes na sociedade acabam por incentivar ou tolerar esse tipo de violência. Nesse contexto, a desigualdade no exercício do poder entre homens e mulheres contribui para a formação de relações marcadas pela dominação. Além disso, muitas vezes a violência no âmbito conjugal é naturalizada e disfarçada, o que acaba </w:t>
      </w:r>
      <w:r>
        <w:rPr>
          <w:rFonts w:ascii="Arial" w:hAnsi="Arial"/>
          <w:sz w:val="24"/>
          <w:szCs w:val="24"/>
        </w:rPr>
        <w:lastRenderedPageBreak/>
        <w:t>tornando-a invisível e dificultando seu enfrentamento.</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Amparada pelo princípio da especialidade, a lei se destaca por oferecer um olhar singular, priorizando a proteção integral das mulheres em situação de violência. O princípio da especialidade estabelece que, diante de normas aparentemente aplicáveis ao mesmo fato, deve prevalecer aquela que apresenta elementos mais específicos, afastando a incidência da norma geral. Isso ocorre porque a norma especial contém características adicionais que a diferenciam, permitindo uma aplicação mais adequada ao caso concreto (Greco, 2026, p.60).</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a norma especial contém todos os elementos da geral, mas com características exclusivas que torna-a mais adequada a casos específicos. Sempre que duas previsões legais puderem ser aplicadas ao mesmo fato, deve prevalecer aquela que disciplina a conduta de forma mais específica, afastando a incidência da regra geral, vejamos o que diz artigo 12 do Código de Processo penal: “As regras gerais deste Código aplicam-se aos fatos incriminados por lei especial, se esta não dispuser de modo diverso” (Brasil, 1940, </w:t>
      </w:r>
      <w:r>
        <w:rPr>
          <w:rFonts w:ascii="Arial" w:hAnsi="Arial"/>
          <w:i/>
          <w:iCs/>
          <w:sz w:val="24"/>
          <w:szCs w:val="24"/>
        </w:rPr>
        <w:t>online</w:t>
      </w:r>
      <w:r>
        <w:rPr>
          <w:rFonts w:ascii="Arial" w:hAnsi="Arial"/>
          <w:sz w:val="24"/>
          <w:szCs w:val="24"/>
        </w:rPr>
        <w:t xml:space="preserve">). O artigo fala diretamente sobre a Lei especial se sobrepõe a lei geral.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Observamos uma decisão do Supremo Tribunal Federal em 2020 sob a ótica da ministra Cármen Lúcia que fez uso do princípio da especialidade:</w:t>
      </w:r>
    </w:p>
    <w:p w:rsidR="009D60B7" w:rsidRDefault="009D60B7">
      <w:pPr>
        <w:tabs>
          <w:tab w:val="left" w:pos="6855"/>
        </w:tabs>
        <w:ind w:firstLine="851"/>
        <w:jc w:val="both"/>
        <w:rPr>
          <w:rFonts w:ascii="Arial" w:hAnsi="Arial"/>
          <w:sz w:val="20"/>
          <w:szCs w:val="20"/>
        </w:rPr>
      </w:pPr>
    </w:p>
    <w:p w:rsidR="009D60B7" w:rsidRDefault="00425C09">
      <w:pPr>
        <w:tabs>
          <w:tab w:val="left" w:pos="6855"/>
        </w:tabs>
        <w:ind w:left="2268"/>
        <w:jc w:val="both"/>
        <w:rPr>
          <w:rFonts w:ascii="Arial" w:hAnsi="Arial"/>
          <w:sz w:val="20"/>
          <w:szCs w:val="20"/>
        </w:rPr>
      </w:pPr>
      <w:r>
        <w:rPr>
          <w:rFonts w:ascii="Arial" w:hAnsi="Arial"/>
          <w:sz w:val="20"/>
          <w:szCs w:val="20"/>
          <w:lang w:val="pt-BR"/>
        </w:rPr>
        <w:t>DIREITO PROCESSUAL PENAL. HABEAS CORPUS. AMEAÇA E LESÃO CORPORAL PRATICADAS EM CONTEXTO DE VIOLÊNCIA DOMÉSTICA. VÍTIMA GESTANTE. PRISÃO PREVENTIVA. PRINCÍPIO DA ESPECIALIDADE. INCIDÊNCIA DA LEI N. 11.340/2006. SÚMULA N. 691/STF. ORDEM NÃO CONHECIDA.</w:t>
      </w:r>
    </w:p>
    <w:p w:rsidR="009D60B7" w:rsidRDefault="00425C09">
      <w:pPr>
        <w:tabs>
          <w:tab w:val="left" w:pos="6855"/>
        </w:tabs>
        <w:ind w:left="2268"/>
        <w:jc w:val="both"/>
        <w:rPr>
          <w:rFonts w:ascii="Arial" w:hAnsi="Arial"/>
          <w:sz w:val="20"/>
          <w:szCs w:val="20"/>
        </w:rPr>
      </w:pPr>
      <w:r>
        <w:rPr>
          <w:rFonts w:ascii="Arial" w:hAnsi="Arial"/>
          <w:sz w:val="20"/>
          <w:szCs w:val="20"/>
          <w:lang w:val="pt-BR"/>
        </w:rPr>
        <w:t>Habeas Corpus impetrado em favor de acusado preso preventivamente pela suposta prática dos crimes de ameaça e lesão corporal contra sua companheira, de dezoito anos, grávida de seis meses. A defesa sustentou a ilegalidade da prisão preventiva, sob o argumento de que teria sido decretada de ofício, em afronta à nova redação do art. 311 do Código de Processo Penal, alterado pela Lei n. 13.964/2019.</w:t>
      </w:r>
    </w:p>
    <w:p w:rsidR="009D60B7" w:rsidRDefault="00425C09">
      <w:pPr>
        <w:tabs>
          <w:tab w:val="left" w:pos="6855"/>
        </w:tabs>
        <w:ind w:left="2268"/>
        <w:jc w:val="both"/>
        <w:rPr>
          <w:rFonts w:ascii="Arial" w:hAnsi="Arial"/>
          <w:sz w:val="20"/>
          <w:szCs w:val="20"/>
        </w:rPr>
      </w:pPr>
      <w:r>
        <w:rPr>
          <w:rFonts w:ascii="Arial" w:hAnsi="Arial"/>
          <w:sz w:val="20"/>
          <w:szCs w:val="20"/>
          <w:lang w:val="pt-BR"/>
        </w:rPr>
        <w:t>Ao analisar a impetração, a Ministra Cármen Lúcia destacou a impossibilidade de apreciação do mérito, diante da configuração de dupla supressão de instância, aplicando-se o entendimento consolidado na Súmula n. 691 do Supremo Tribunal Federal.</w:t>
      </w:r>
    </w:p>
    <w:p w:rsidR="009D60B7" w:rsidRDefault="00425C09">
      <w:pPr>
        <w:tabs>
          <w:tab w:val="left" w:pos="6855"/>
        </w:tabs>
        <w:ind w:left="2268"/>
        <w:jc w:val="both"/>
        <w:rPr>
          <w:rFonts w:ascii="Arial" w:hAnsi="Arial"/>
          <w:sz w:val="20"/>
          <w:szCs w:val="20"/>
        </w:rPr>
      </w:pPr>
      <w:r>
        <w:rPr>
          <w:rFonts w:ascii="Arial" w:hAnsi="Arial"/>
          <w:sz w:val="20"/>
          <w:szCs w:val="20"/>
          <w:lang w:val="pt-BR"/>
        </w:rPr>
        <w:t>Entretanto, em juízo preliminar, observou-se que a prisão preventiva encontrava fundamento não apenas na norma geral do Código de Processo Penal, mas também na especialidade da Lei Maria da Penha, reconhecendo-se que, em situações de violência doméstica, a legislação específica deve prevalecer para assegurar proteção efetiva à vítima. Consideraram-se, ainda, a gravidade concreta das agressões praticadas contra mulher gestante e o risco de reiteração delitiva como elementos justificadores da medida extrema. (STF, HC 189636/PE, 2020,</w:t>
      </w:r>
      <w:r>
        <w:rPr>
          <w:rFonts w:ascii="Arial" w:hAnsi="Arial"/>
          <w:i/>
          <w:iCs/>
          <w:sz w:val="20"/>
          <w:szCs w:val="20"/>
          <w:lang w:val="pt-BR"/>
        </w:rPr>
        <w:t xml:space="preserve"> online</w:t>
      </w:r>
      <w:r>
        <w:rPr>
          <w:rFonts w:ascii="Arial" w:hAnsi="Arial"/>
          <w:sz w:val="20"/>
          <w:szCs w:val="20"/>
          <w:lang w:val="pt-BR"/>
        </w:rPr>
        <w:t>).</w:t>
      </w:r>
    </w:p>
    <w:p w:rsidR="009D60B7" w:rsidRDefault="009D60B7">
      <w:pPr>
        <w:tabs>
          <w:tab w:val="left" w:pos="6855"/>
        </w:tabs>
        <w:ind w:left="2268"/>
        <w:jc w:val="both"/>
        <w:rPr>
          <w:rFonts w:ascii="Arial" w:hAnsi="Arial"/>
          <w:sz w:val="20"/>
          <w:szCs w:val="20"/>
          <w:lang w:val="pt-BR"/>
        </w:rPr>
      </w:pP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O artigo 20 da Lei nº 11.340/2006 prevê expressamente a possibilidade de decretação da prisão preventiva de ofício pelo magistrado, tanto na fase do inquérito </w:t>
      </w:r>
      <w:r>
        <w:rPr>
          <w:rFonts w:ascii="Arial" w:hAnsi="Arial"/>
          <w:sz w:val="24"/>
          <w:szCs w:val="24"/>
        </w:rPr>
        <w:lastRenderedPageBreak/>
        <w:t xml:space="preserve">policial quanto durante a instrução criminal. Trata-se de norma especial que autoriza, de forma clara, a atuação </w:t>
      </w:r>
      <w:r>
        <w:rPr>
          <w:rFonts w:ascii="Arial" w:hAnsi="Arial"/>
          <w:i/>
          <w:iCs/>
          <w:sz w:val="24"/>
          <w:szCs w:val="24"/>
        </w:rPr>
        <w:t>ex officio</w:t>
      </w:r>
      <w:r>
        <w:rPr>
          <w:rFonts w:ascii="Arial" w:hAnsi="Arial"/>
          <w:sz w:val="24"/>
          <w:szCs w:val="24"/>
        </w:rPr>
        <w:t xml:space="preserve"> do juiz nos casos de violência doméstica, razão pela qual parte da doutrina sustenta que tal previsão não teria sido afastada pelas alterações promovidas pelo Pacote Anticrime no Código de Processo Penal, que em seu proprio artigo 1º paragrafo único descorre que “  Aplicar-se-á, entretanto, este Código aos processos referidos nos n</w:t>
      </w:r>
      <w:r>
        <w:rPr>
          <w:rFonts w:ascii="Arial" w:hAnsi="Arial"/>
          <w:sz w:val="24"/>
          <w:szCs w:val="24"/>
          <w:u w:val="single"/>
          <w:vertAlign w:val="superscript"/>
        </w:rPr>
        <w:t>o</w:t>
      </w:r>
      <w:r>
        <w:rPr>
          <w:rFonts w:ascii="Arial" w:hAnsi="Arial"/>
          <w:sz w:val="24"/>
          <w:szCs w:val="24"/>
        </w:rPr>
        <w:t>s. IV e V, quando as leis especiais que os regulam não dispuserem de modo diverso”. Assim, à luz do princípio da especialidade, defende-se a manutenção da validade da prisão preventiva decretada de ofício  (Cavalieri, 2024).</w:t>
      </w:r>
    </w:p>
    <w:p w:rsidR="009D60B7" w:rsidRDefault="00425C09">
      <w:pPr>
        <w:pStyle w:val="Corpodetexto"/>
        <w:spacing w:line="360" w:lineRule="auto"/>
        <w:ind w:firstLine="680"/>
        <w:jc w:val="both"/>
        <w:rPr>
          <w:rFonts w:ascii="Arial" w:hAnsi="Arial"/>
          <w:sz w:val="24"/>
          <w:szCs w:val="24"/>
        </w:rPr>
      </w:pPr>
      <w:r>
        <w:rPr>
          <w:rFonts w:ascii="Arial" w:hAnsi="Arial"/>
          <w:sz w:val="24"/>
          <w:szCs w:val="24"/>
        </w:rPr>
        <w:t>A discursão acerca das alterações introduzidas no Código de Processo Penal pós o Pacote Anticrime, enfatiza também a necesssidade da avaliação detalhada do caso concreto</w:t>
      </w:r>
      <w:r>
        <w:rPr>
          <w:rFonts w:ascii="Arial" w:hAnsi="Arial"/>
          <w:color w:val="000000" w:themeColor="dark1"/>
          <w:sz w:val="24"/>
          <w:szCs w:val="24"/>
        </w:rPr>
        <w:t>. Dessa forma, destaca-se que a adequada aplicação da Lei Maria da Penha exige do julgador não apenas conhecimento técnico-processual, mas também compreensão aprofundada das questões de gênero e das especificidades da violência doméstica e familiar contra a mulher, bem como domínio dos instrumentos voltados à sua prevenção e enfrentamento (Messa; Calheiros, 2023).</w:t>
      </w:r>
    </w:p>
    <w:p w:rsidR="009D60B7" w:rsidRDefault="00425C09">
      <w:pPr>
        <w:pStyle w:val="Corpodetexto"/>
        <w:spacing w:line="360" w:lineRule="auto"/>
        <w:ind w:firstLine="680"/>
        <w:jc w:val="both"/>
        <w:rPr>
          <w:rFonts w:ascii="Arial" w:hAnsi="Arial"/>
          <w:sz w:val="24"/>
          <w:szCs w:val="24"/>
        </w:rPr>
      </w:pPr>
      <w:r>
        <w:rPr>
          <w:rFonts w:ascii="Arial" w:hAnsi="Arial"/>
          <w:sz w:val="24"/>
          <w:szCs w:val="24"/>
        </w:rPr>
        <w:t xml:space="preserve">Cumpre analisar ainda, o que dispõe o artigo 41 da Lei Maria da Penha, que veda expressamente a aplicação dos Juizados Especiais (Lei nº 9.099/1995), o dispositivo estabelece que: “Aos crimes praticados com violência doméstica e familiar contra a mulher, independentemente da pena prevista, não se aplica a Lei nº 9.099, de 26 de setembro de 1995” (Brasil, 2006, </w:t>
      </w:r>
      <w:r>
        <w:rPr>
          <w:rFonts w:ascii="Arial" w:hAnsi="Arial"/>
          <w:i/>
          <w:iCs/>
          <w:sz w:val="24"/>
          <w:szCs w:val="24"/>
        </w:rPr>
        <w:t>online</w:t>
      </w:r>
      <w:r>
        <w:rPr>
          <w:rFonts w:ascii="Arial" w:hAnsi="Arial"/>
          <w:sz w:val="24"/>
          <w:szCs w:val="24"/>
        </w:rPr>
        <w:t>).</w:t>
      </w:r>
    </w:p>
    <w:p w:rsidR="009D60B7" w:rsidRDefault="00425C09">
      <w:pPr>
        <w:pStyle w:val="Corpodetexto"/>
        <w:spacing w:line="360" w:lineRule="auto"/>
        <w:ind w:firstLine="680"/>
        <w:jc w:val="both"/>
        <w:rPr>
          <w:rFonts w:ascii="Arial" w:hAnsi="Arial"/>
        </w:rPr>
      </w:pPr>
      <w:r>
        <w:rPr>
          <w:rFonts w:ascii="Arial" w:hAnsi="Arial"/>
          <w:sz w:val="24"/>
          <w:szCs w:val="24"/>
        </w:rPr>
        <w:t>Nesse sentido, o Tribunal de Justiça do Distrito Federal e dos Territórios reconheceu a incidência da Lei n. 11.340/2006 em casos de crimes de injúria, ameaça e dano, afastando a competência do Juizado Especial Criminal e declarando competente o Juizado de Violência Doméstica, em razão da caracterização da relação doméstica entre vítima e agressor</w:t>
      </w:r>
      <w:r>
        <w:rPr>
          <w:rFonts w:ascii="Arial" w:hAnsi="Arial"/>
        </w:rPr>
        <w:t>.</w:t>
      </w:r>
    </w:p>
    <w:p w:rsidR="009D60B7" w:rsidRDefault="009D60B7">
      <w:pPr>
        <w:pStyle w:val="Corpodetexto"/>
        <w:ind w:left="302" w:firstLine="549"/>
        <w:jc w:val="both"/>
        <w:rPr>
          <w:rFonts w:ascii="Arial" w:hAnsi="Arial"/>
        </w:rPr>
      </w:pPr>
    </w:p>
    <w:p w:rsidR="009D60B7" w:rsidRDefault="00425C09">
      <w:pPr>
        <w:pStyle w:val="Corpodetexto"/>
        <w:ind w:left="2268" w:hanging="18"/>
        <w:jc w:val="both"/>
        <w:rPr>
          <w:rFonts w:ascii="Arial" w:hAnsi="Arial"/>
        </w:rPr>
      </w:pPr>
      <w:r>
        <w:rPr>
          <w:rFonts w:ascii="Arial" w:hAnsi="Arial"/>
        </w:rPr>
        <w:t xml:space="preserve">DIREITO PENAL E PROCESSUAL PENAL. CONFLITO NEGATIVO DE JURISDIÇÃO ENTRE O JUÍZO DO JUIZADO ESPECIAL CRIMINAL DE CEILÂNDIA (SUSCITANTE) E O JUÍZO DO SEGUNDO JUIZADO DE VIOLÊNCIA DOMÉSTICA E FAMILIAR CONTRA A MULHER DE CEILÂNDIA (SUSCITADO). MEDIDAS PROTETIVAS DE URGÊNCIA. CRIME DE INJÚRIA, AMEAÇA E DANO. RELAÇÃO ENTRE VÍTIMA E AGRESSOR CARACTERIZADA COMO RELAÇÃO DOMÉSTICA. INCIDÊNCIA DA LEI N. 11.340/06. (...) Como no caso concreto a vítima e o agressor já tiveram algum tipo de relação mais íntima, possuem estreitos laços de amizade, compartilham o mesmo apartamento e, portanto, há coabitação, conclui-se que há nítida existência de uma relação doméstica. (...) A hipótese se enquadra naquelas previstas na Lei Maria da Penha. Conflito conhecido para declarar competente o Juízo Suscitado – Juízo do Segundo Juizado de Violência Doméstica e Familiar </w:t>
      </w:r>
      <w:r>
        <w:rPr>
          <w:rFonts w:ascii="Arial" w:hAnsi="Arial"/>
        </w:rPr>
        <w:lastRenderedPageBreak/>
        <w:t xml:space="preserve">contra a Mulher de Ceilândia. (Distrito Federal, 2025, </w:t>
      </w:r>
      <w:r>
        <w:rPr>
          <w:rFonts w:ascii="Arial" w:hAnsi="Arial"/>
          <w:i/>
          <w:iCs/>
        </w:rPr>
        <w:t>online</w:t>
      </w:r>
      <w:r>
        <w:rPr>
          <w:rFonts w:ascii="Arial" w:hAnsi="Arial"/>
        </w:rPr>
        <w:t>).</w:t>
      </w:r>
    </w:p>
    <w:p w:rsidR="009D60B7" w:rsidRDefault="009D60B7">
      <w:pPr>
        <w:pStyle w:val="Corpodetexto"/>
        <w:spacing w:line="360" w:lineRule="auto"/>
        <w:ind w:left="2268" w:hanging="18"/>
        <w:jc w:val="both"/>
        <w:rPr>
          <w:rFonts w:ascii="Arial" w:hAnsi="Arial"/>
        </w:rPr>
      </w:pPr>
    </w:p>
    <w:p w:rsidR="009D60B7" w:rsidRDefault="00425C09">
      <w:pPr>
        <w:pStyle w:val="Corpodetexto"/>
        <w:spacing w:line="360" w:lineRule="auto"/>
        <w:ind w:firstLine="680"/>
        <w:jc w:val="both"/>
        <w:rPr>
          <w:rFonts w:ascii="Arial" w:hAnsi="Arial"/>
          <w:sz w:val="24"/>
          <w:szCs w:val="24"/>
        </w:rPr>
      </w:pPr>
      <w:r>
        <w:rPr>
          <w:rFonts w:ascii="Arial" w:hAnsi="Arial"/>
          <w:sz w:val="24"/>
          <w:szCs w:val="24"/>
        </w:rPr>
        <w:t xml:space="preserve">Pode-se observa-se que, uma vez reconhecida a relação doméstica, impõe-se a aplicação da Lei n. 11.340/06, que em tese afasta a incidência da legislação geral, o que evidencia a concretização do princípio da especialidade no âmbito penal inclusive para fixação de competência.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As medidas Cautelares tem um importante papel para tomada de decisões em meio ao indice histórico de aumento a violêcia de gênero. Conforme entendimento jurispludêncial do Tribunal de Justiça do Distrito Federal e dos Territórios: </w:t>
      </w:r>
    </w:p>
    <w:p w:rsidR="009D60B7" w:rsidRDefault="009D60B7">
      <w:pPr>
        <w:tabs>
          <w:tab w:val="left" w:pos="6855"/>
        </w:tabs>
        <w:spacing w:line="360" w:lineRule="auto"/>
        <w:jc w:val="both"/>
        <w:rPr>
          <w:rFonts w:ascii="Arial" w:hAnsi="Arial"/>
          <w:sz w:val="20"/>
          <w:szCs w:val="20"/>
        </w:rPr>
      </w:pPr>
    </w:p>
    <w:p w:rsidR="009D60B7" w:rsidRDefault="00425C09">
      <w:pPr>
        <w:tabs>
          <w:tab w:val="left" w:pos="6855"/>
        </w:tabs>
        <w:ind w:left="2268"/>
        <w:jc w:val="both"/>
        <w:rPr>
          <w:rFonts w:ascii="Arial" w:hAnsi="Arial"/>
          <w:sz w:val="20"/>
          <w:szCs w:val="20"/>
        </w:rPr>
      </w:pPr>
      <w:r>
        <w:rPr>
          <w:rFonts w:ascii="Arial" w:hAnsi="Arial"/>
          <w:sz w:val="20"/>
          <w:szCs w:val="20"/>
          <w:lang w:val="pt-BR"/>
        </w:rPr>
        <w:t>RECLAMAÇÃO CRIMINAL. LEI MARIA DA PENHA. AMBIENTE LABORAL. MEDIDAS PROTETIVAS DE URGÊNCIA. VIOLÊNCIA PSICOLÓGICA. PERSEGUIÇÃO. RISCO CONCRETO. FUNDAMENTAÇÃO ADEQUADA. INEXISTÊNCIA DE CONSTRANGIMENTO ILEGAL. RECLAMAÇÃO IMPROCEDENTE.</w:t>
      </w:r>
    </w:p>
    <w:p w:rsidR="009D60B7" w:rsidRDefault="00425C09">
      <w:pPr>
        <w:tabs>
          <w:tab w:val="left" w:pos="6855"/>
        </w:tabs>
        <w:ind w:left="2268"/>
        <w:jc w:val="both"/>
        <w:rPr>
          <w:rFonts w:ascii="Arial" w:hAnsi="Arial"/>
          <w:sz w:val="20"/>
          <w:szCs w:val="20"/>
        </w:rPr>
      </w:pPr>
      <w:r>
        <w:rPr>
          <w:rFonts w:ascii="Arial" w:hAnsi="Arial"/>
          <w:sz w:val="20"/>
          <w:szCs w:val="20"/>
          <w:lang w:val="pt-BR"/>
        </w:rPr>
        <w:t xml:space="preserve">A manutenção das medidas protetivas fundamenta-se em elementos concretos presentes nos autos, como boletim de ocorrência, avaliação de risco e relato da vítima sobre o abalo emocional causado pela presença do reclamante em seu novo local de trabalho. As medidas fixadas, como a proibição de contato e a restrição de frequência a determinados locais, possuem caráter cautelar, visam à prevenção de danos psicológicos e foram determinadas observando os critérios de necessidade e proporcionalidade, sem configurar restrição indevida à liberdade de locomoção ou ao exercício profissional do reclamante (TJDFT, Acórdão n. 2062000, 2025, </w:t>
      </w:r>
      <w:r>
        <w:rPr>
          <w:rFonts w:ascii="Arial" w:hAnsi="Arial"/>
          <w:i/>
          <w:iCs/>
          <w:sz w:val="20"/>
          <w:szCs w:val="20"/>
          <w:lang w:val="pt-BR"/>
        </w:rPr>
        <w:t>online</w:t>
      </w:r>
      <w:r>
        <w:rPr>
          <w:rFonts w:ascii="Arial" w:hAnsi="Arial"/>
          <w:sz w:val="20"/>
          <w:szCs w:val="20"/>
          <w:lang w:val="pt-BR"/>
        </w:rPr>
        <w:t>).</w:t>
      </w:r>
    </w:p>
    <w:p w:rsidR="009D60B7" w:rsidRDefault="009D60B7">
      <w:pPr>
        <w:tabs>
          <w:tab w:val="left" w:pos="6855"/>
        </w:tabs>
        <w:ind w:left="2268"/>
        <w:jc w:val="both"/>
        <w:rPr>
          <w:rFonts w:ascii="Arial" w:hAnsi="Arial"/>
          <w:sz w:val="20"/>
          <w:szCs w:val="20"/>
          <w:lang w:val="pt-BR"/>
        </w:rPr>
      </w:pP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Portanto, as medidas protetivas junto a Lei Maria da Penha (2006) não se limita à proteção física da mulher, mas também assegura proteção psicológica, patrimonial e social, reforçando o princípio da especialidade. A jurisprudência reforça que, mesmo em situações de risco concreto sem violência física direta, as medidas protetivas devem ser mantidas para garantir segurança, prevenir danos e resguardar a dignidade da vítima. Essa aplicação prática demonstra a eficácia do mecanismo jurídico previsto na Lei previamente indicada, consolidando a prioridade da norma especial sobre regras gerais.</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Na sequência, faremos um analise completa no que diz respeito ao sistema acusatório, que no entanto existe um contraponto, em meio as mudanças implementadas pelo Pacote Anticrime ao Código de Processo Penal, especialmente em relação a prisão preventiva de ofício.</w:t>
      </w:r>
    </w:p>
    <w:p w:rsidR="009D60B7" w:rsidRDefault="009D60B7">
      <w:pPr>
        <w:pStyle w:val="CorpodeTexto0"/>
        <w:rPr>
          <w:rFonts w:ascii="Arial" w:hAnsi="Arial"/>
          <w:sz w:val="20"/>
          <w:szCs w:val="20"/>
        </w:rPr>
      </w:pPr>
    </w:p>
    <w:p w:rsidR="009D60B7" w:rsidRPr="003F1554" w:rsidRDefault="00425C09">
      <w:pPr>
        <w:pStyle w:val="CorpodeTexto0"/>
        <w:rPr>
          <w:rFonts w:ascii="Arial" w:hAnsi="Arial"/>
          <w:b w:val="0"/>
        </w:rPr>
      </w:pPr>
      <w:r w:rsidRPr="003F1554">
        <w:rPr>
          <w:rFonts w:ascii="Arial" w:hAnsi="Arial"/>
          <w:b w:val="0"/>
          <w:sz w:val="20"/>
          <w:szCs w:val="20"/>
        </w:rPr>
        <w:t xml:space="preserve">3. </w:t>
      </w:r>
      <w:r w:rsidRPr="003F1554">
        <w:rPr>
          <w:rFonts w:ascii="Arial" w:hAnsi="Arial"/>
          <w:b w:val="0"/>
        </w:rPr>
        <w:t>O SISTEMA ACUSATÓRIO E A TESE DE PREVALÊNCIA DO PACOTE ANTICRIMES</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A lei 13.964/201, consagrada como Pacote Anticrime, passou a produzir efeitos no ordenamento jurídico brasileiro a partir de 23 de janeiro de 2020, promovendo </w:t>
      </w:r>
      <w:r>
        <w:rPr>
          <w:rFonts w:ascii="Arial" w:hAnsi="Arial"/>
          <w:sz w:val="24"/>
          <w:szCs w:val="24"/>
        </w:rPr>
        <w:lastRenderedPageBreak/>
        <w:t>diversas alterações relevantes. As mudanças alcançaram não apenas o Código Penal (1940) e o Código de Processo Penal (1941), mas também outras legislações especiais, como a Lei de Execução Penal, a Lei dos Crimes Hediondos, a legislação sobre interceptações telefônicas, a Lei de Lavagem de Dinheiro, o Estatuto do Desarmamento e a Lei de Drogas (Capriolli, 2020).</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 O Pacote Anticrime (2019) foi introduzido com o objetivo de fortalecer o combate ao crime organizado, crimes violentos e corrupção, tornando mais  rigorosa a legislação penal e processual penal brasileira. As medidas buscam aumentar a agilidade processual, a eficiência na execução da pena, e de reforçar a segurança jurídica.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O instituto legal, Pacote Anticrime, representou um avanço relevante no processo de consolidação do sistema acusatório no Brasil e ainda, viabilizou a importância de se aprofundar a análise de suas disposições, a fim de compreender o papel da reforma na evolução e no fortalecimento do modelo processual penal adotado no ordenamento jurídico brasileiro (Silva Júnior et al., 2021).</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O Código de Processo Penal brasileiro, vigente desde 1941, nunca passou por uma reforma ampla e estruturada. Ao longo do tempo, ocorreram diversas alterações em seus dispositivos por meio de leis específicas, porém sem uma reorganização sistemática do diploma legal, o que pode ocasionar incoerências entre seus próprios artigos e descorancias entre leis anteriores. Além disso, a promulgação da Constituição Federal de 1988 promoveu novos princípios e diretrizes ao processo penal, influenciando profundamente a interpretação e aplicação desse ramo do direito (Pires, apud Braga Gifford et al., 2020).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A modificação no artigo 311 do Código de Processo Penal, após a referida adaptação vinda com a publicação do Pacote Anticrime (Lei. 13.964/2019) colidiu diretamente com o artigo 20 da Lei Maria da Penha</w:t>
      </w:r>
      <w:r>
        <w:rPr>
          <w:rFonts w:ascii="Arial" w:hAnsi="Arial" w:cs="Arial"/>
          <w:color w:val="0A0A0A"/>
          <w:sz w:val="24"/>
          <w:szCs w:val="24"/>
          <w:shd w:val="clear" w:color="auto" w:fill="FFFFFF"/>
        </w:rPr>
        <w:t xml:space="preserve"> </w:t>
      </w:r>
      <w:r>
        <w:rPr>
          <w:rFonts w:ascii="Arial" w:hAnsi="Arial"/>
          <w:sz w:val="24"/>
          <w:szCs w:val="24"/>
        </w:rPr>
        <w:t>(Lei 11.340/2006) causando um notável conflito de normas, que gerou um ampliado debate entre as autoridades doutrinarias e juridicas, sob a ótica da dúvida da prevalência de leis</w:t>
      </w:r>
      <w:r>
        <w:rPr>
          <w:rFonts w:ascii="Arial" w:hAnsi="Arial"/>
          <w:color w:val="000000" w:themeColor="dark1"/>
          <w:sz w:val="24"/>
          <w:szCs w:val="24"/>
        </w:rPr>
        <w:t xml:space="preserve">: Lei Maria da Penha por ser lei especial ou Pacote antecrime visto que se trata de uma lei nova? Inclui-se ainda, o fato do artigo parcialmente mudado se encontrar em meio ao sistema acusatório que é amparado pela constituição Federal de 1988.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Nesse sentido, a jurisprudência do Superior Tribunal de Justiça tem entendido que, durante a fase de inquérito policial, a decretação da prisão preventiva não pode ocorrer por iniciativa própria do magistrado. Para que essa medida seja adotada, é necessária a </w:t>
      </w:r>
      <w:r>
        <w:rPr>
          <w:rFonts w:ascii="Arial" w:hAnsi="Arial"/>
          <w:sz w:val="24"/>
          <w:szCs w:val="24"/>
        </w:rPr>
        <w:lastRenderedPageBreak/>
        <w:t>provocação da autoridade policial ou do Ministério Público. Assim, considera-se ilegal a determinação da prisão preventiva de ofício pelo juiz antes mesmo do oferecimento da denúncia (STJ, RHC 87.707/RJ, 2017 apud Nucci, 2020).</w:t>
      </w:r>
    </w:p>
    <w:p w:rsidR="009D60B7" w:rsidRDefault="00425C09">
      <w:pPr>
        <w:tabs>
          <w:tab w:val="left" w:pos="6855"/>
        </w:tabs>
        <w:spacing w:line="360" w:lineRule="auto"/>
        <w:ind w:firstLine="680"/>
        <w:jc w:val="both"/>
        <w:rPr>
          <w:rFonts w:ascii="Arial" w:hAnsi="Arial"/>
          <w:sz w:val="24"/>
          <w:szCs w:val="24"/>
        </w:rPr>
      </w:pPr>
      <w:r>
        <w:rPr>
          <w:rFonts w:ascii="Arial" w:hAnsi="Arial"/>
          <w:i/>
          <w:iCs/>
          <w:sz w:val="24"/>
          <w:szCs w:val="24"/>
          <w:lang w:val="pt-BR"/>
        </w:rPr>
        <w:t xml:space="preserve"> </w:t>
      </w:r>
      <w:r>
        <w:rPr>
          <w:rFonts w:ascii="Arial" w:hAnsi="Arial"/>
          <w:sz w:val="24"/>
          <w:szCs w:val="24"/>
        </w:rPr>
        <w:t xml:space="preserve">Para Nucci (2025), as alterações promovidas pela referida Lei reforçaram a necessidade de que a decretação da prisão preventiva seja devidamente justificada pelo magistrado, exigindo fundamentação concreta sempre que essa medida cautelar for aplicada. Temos ainda, o tocante do príncipio do sistema acusatório que se caracteriza-se pela separação das funções de acusar, julgar e defender,  tornando-se a base do Processo Penal brasileiro (1941), pela clara separação entre as funções de acusação, defesa e julgamento.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Para Khaled Junior (2013) o sistema acusatório possui origem no direito grego, especialmente na cidade de Atenas entre os séculos VI e IV a.C., período em que havia participação direta dos cidadãos tanto na formulação da acusação quanto na função de julgamento. Nesse modelo, o processo era público, oral e assegurava o contraditório. Além disso, os delitos eram classificados em públicos e privados, sendo que, nos crimes públicos, qualquer cidadão poderia apresentar a acusação, caracterizando uma forma de acusação popular, enquanto os delitos de menor gravidade eram resolvidos por um procedimento de natureza mais próxima ao processo civil.</w:t>
      </w:r>
    </w:p>
    <w:p w:rsidR="009D60B7" w:rsidRDefault="00425C09">
      <w:pPr>
        <w:tabs>
          <w:tab w:val="left" w:pos="6855"/>
        </w:tabs>
        <w:spacing w:line="360" w:lineRule="auto"/>
        <w:ind w:firstLine="680"/>
        <w:jc w:val="both"/>
        <w:rPr>
          <w:rFonts w:ascii="Arial" w:hAnsi="Arial"/>
          <w:b/>
          <w:bCs/>
          <w:sz w:val="20"/>
          <w:szCs w:val="20"/>
          <w:lang w:val="pt-BR"/>
        </w:rPr>
      </w:pPr>
      <w:r>
        <w:rPr>
          <w:rFonts w:ascii="Arial" w:hAnsi="Arial"/>
          <w:sz w:val="24"/>
          <w:szCs w:val="24"/>
        </w:rPr>
        <w:t xml:space="preserve">  A jurispludência nos apresenta  o reconhecimento a ilegalidade da conversão da prisão em flagrante em prisão preventiva quando realizada de ofício pelo magistrado, por violar o sistema acusatório e a necessária separação entre as funções processuais:</w:t>
      </w:r>
    </w:p>
    <w:p w:rsidR="009D60B7" w:rsidRDefault="00425C09">
      <w:pPr>
        <w:tabs>
          <w:tab w:val="left" w:pos="6855"/>
        </w:tabs>
        <w:ind w:left="2268"/>
        <w:jc w:val="both"/>
        <w:rPr>
          <w:rFonts w:ascii="Arial" w:hAnsi="Arial"/>
          <w:sz w:val="20"/>
          <w:szCs w:val="20"/>
        </w:rPr>
      </w:pPr>
      <w:r>
        <w:rPr>
          <w:rFonts w:ascii="Arial" w:hAnsi="Arial"/>
          <w:b/>
          <w:bCs/>
          <w:sz w:val="20"/>
          <w:szCs w:val="20"/>
          <w:lang w:val="pt-BR"/>
        </w:rPr>
        <w:t>HABEAS CORPUS. PRISÃO EM FLAGRANTE. CONVERSÃO EM PRISÃO PREVENTIVA DE OFÍCIO. AUSÊNCIA DE REQUERIMENTO DO MINISTÉRIO PÚBLICO OU REPRESENTAÇÃO DA AUTORIDADE POLICIAL. VIOLAÇÃO AO SISTEMA ACUSATÓRIO. CONSTRANGIMENTO ILEGAL. CONCESSÃO DA ORDEM.</w:t>
      </w:r>
    </w:p>
    <w:p w:rsidR="009D60B7" w:rsidRDefault="00425C09">
      <w:pPr>
        <w:tabs>
          <w:tab w:val="left" w:pos="6855"/>
        </w:tabs>
        <w:ind w:left="2268"/>
        <w:jc w:val="both"/>
        <w:rPr>
          <w:rFonts w:ascii="Arial" w:hAnsi="Arial"/>
          <w:sz w:val="20"/>
          <w:szCs w:val="20"/>
        </w:rPr>
      </w:pPr>
      <w:r>
        <w:rPr>
          <w:rFonts w:ascii="Arial" w:hAnsi="Arial"/>
          <w:sz w:val="20"/>
          <w:szCs w:val="20"/>
          <w:lang w:val="pt-BR"/>
        </w:rPr>
        <w:t xml:space="preserve">No caso analisado, verificou-se que a prisão em flagrante do paciente foi convertida em prisão preventiva pelo magistrado de primeiro grau sem que houvesse requerimento do Ministério Público ou representação da autoridade policial. Tal circunstância evidencia possível afronta ao sistema acusatório, que exige a separação entre as funções de acusar, defender e julgar no processo penal. Diante disso, constatada a presença de elementos que indicam constrangimento ilegal, foi reconhecida a plausibilidade do pedido, sendo admitida a concessão da medida liminar para resguardar a liberdade do paciente. (STJ, HC n. 926724/MG, 2024, </w:t>
      </w:r>
      <w:r>
        <w:rPr>
          <w:rFonts w:ascii="Arial" w:hAnsi="Arial"/>
          <w:i/>
          <w:iCs/>
          <w:sz w:val="20"/>
          <w:szCs w:val="20"/>
          <w:lang w:val="pt-BR"/>
        </w:rPr>
        <w:t>onlline</w:t>
      </w:r>
      <w:r>
        <w:rPr>
          <w:rFonts w:ascii="Arial" w:hAnsi="Arial"/>
          <w:sz w:val="20"/>
          <w:szCs w:val="20"/>
          <w:lang w:val="pt-BR"/>
        </w:rPr>
        <w:t>),</w:t>
      </w:r>
      <w:r>
        <w:rPr>
          <w:rFonts w:ascii="Arial" w:hAnsi="Arial"/>
          <w:b/>
          <w:bCs/>
          <w:sz w:val="20"/>
          <w:szCs w:val="20"/>
          <w:lang w:val="pt-BR"/>
        </w:rPr>
        <w:t xml:space="preserve"> (grifo nosso)</w:t>
      </w:r>
    </w:p>
    <w:p w:rsidR="009D60B7" w:rsidRDefault="009D60B7">
      <w:pPr>
        <w:tabs>
          <w:tab w:val="left" w:pos="6855"/>
        </w:tabs>
        <w:spacing w:line="360" w:lineRule="auto"/>
        <w:jc w:val="both"/>
        <w:rPr>
          <w:rFonts w:ascii="Arial" w:hAnsi="Arial"/>
          <w:sz w:val="20"/>
          <w:szCs w:val="20"/>
        </w:rPr>
      </w:pPr>
    </w:p>
    <w:p w:rsidR="009D60B7" w:rsidRDefault="00425C09">
      <w:pPr>
        <w:tabs>
          <w:tab w:val="left" w:pos="6855"/>
        </w:tabs>
        <w:spacing w:line="360" w:lineRule="auto"/>
        <w:ind w:firstLine="680"/>
        <w:jc w:val="both"/>
        <w:rPr>
          <w:rFonts w:ascii="Arial" w:hAnsi="Arial"/>
          <w:sz w:val="20"/>
          <w:szCs w:val="20"/>
        </w:rPr>
      </w:pPr>
      <w:r>
        <w:rPr>
          <w:rFonts w:ascii="Arial" w:hAnsi="Arial"/>
          <w:sz w:val="24"/>
          <w:szCs w:val="24"/>
          <w:lang w:val="pt-BR"/>
        </w:rPr>
        <w:t>Cumpre destacar que, o Pacote Anticrime (2019) é tido como lei nova, e que revoga expressamente leis anteriores. Em seu  artigo 2</w:t>
      </w:r>
      <w:r>
        <w:rPr>
          <w:rFonts w:ascii="Arial" w:hAnsi="Arial"/>
          <w:color w:val="000000" w:themeColor="dark1"/>
          <w:sz w:val="24"/>
          <w:szCs w:val="24"/>
        </w:rPr>
        <w:t>º</w:t>
      </w:r>
      <w:r>
        <w:rPr>
          <w:rFonts w:ascii="Arial" w:hAnsi="Arial"/>
          <w:sz w:val="24"/>
          <w:szCs w:val="24"/>
          <w:lang w:val="pt-BR"/>
        </w:rPr>
        <w:t xml:space="preserve"> e parágrafos subsequentes a </w:t>
      </w:r>
      <w:r>
        <w:rPr>
          <w:rFonts w:ascii="Arial" w:hAnsi="Arial"/>
          <w:sz w:val="24"/>
          <w:szCs w:val="24"/>
        </w:rPr>
        <w:t xml:space="preserve">Lei de Introdução às normas do Direito Brasileiro (LINDB, 1942) destaca que a revogação </w:t>
      </w:r>
      <w:r>
        <w:rPr>
          <w:rFonts w:ascii="Arial" w:hAnsi="Arial"/>
          <w:sz w:val="24"/>
          <w:szCs w:val="24"/>
        </w:rPr>
        <w:lastRenderedPageBreak/>
        <w:t xml:space="preserve">pode ocorrer de forma expressa, quando a nova norma assim declara, ou de maneira implícita, quando houver incompatibilidade entre as disposições ou quando a lei posterior disciplinar integralmente a matéria anteriormente tratadaque, assim estabelece : </w:t>
      </w:r>
    </w:p>
    <w:p w:rsidR="009D60B7" w:rsidRDefault="00425C09">
      <w:pPr>
        <w:tabs>
          <w:tab w:val="left" w:pos="6855"/>
        </w:tabs>
        <w:ind w:left="2268"/>
        <w:jc w:val="both"/>
        <w:rPr>
          <w:rFonts w:ascii="Arial" w:hAnsi="Arial"/>
          <w:sz w:val="20"/>
          <w:szCs w:val="20"/>
        </w:rPr>
      </w:pPr>
      <w:r>
        <w:rPr>
          <w:rFonts w:ascii="Arial" w:hAnsi="Arial"/>
          <w:sz w:val="20"/>
          <w:szCs w:val="20"/>
          <w:lang w:val="pt-BR"/>
        </w:rPr>
        <w:t>Art. 2</w:t>
      </w:r>
      <w:r>
        <w:rPr>
          <w:rFonts w:ascii="Arial" w:hAnsi="Arial"/>
          <w:sz w:val="20"/>
          <w:szCs w:val="20"/>
          <w:u w:val="single"/>
          <w:vertAlign w:val="superscript"/>
          <w:lang w:val="pt-BR"/>
        </w:rPr>
        <w:t>o</w:t>
      </w:r>
      <w:r>
        <w:rPr>
          <w:rFonts w:ascii="Arial" w:hAnsi="Arial"/>
          <w:sz w:val="20"/>
          <w:szCs w:val="20"/>
          <w:lang w:val="pt-BR"/>
        </w:rPr>
        <w:t>  Não se destinando à vigência temporária, a lei terá vigor até que outra a modifique ou revogue.</w:t>
      </w:r>
    </w:p>
    <w:p w:rsidR="009D60B7" w:rsidRDefault="00425C09">
      <w:pPr>
        <w:tabs>
          <w:tab w:val="left" w:pos="6855"/>
        </w:tabs>
        <w:ind w:left="2268"/>
        <w:jc w:val="both"/>
        <w:rPr>
          <w:rFonts w:ascii="Arial" w:hAnsi="Arial"/>
          <w:sz w:val="20"/>
          <w:szCs w:val="20"/>
        </w:rPr>
      </w:pPr>
      <w:bookmarkStart w:id="15" w:name="art2§1"/>
      <w:bookmarkEnd w:id="15"/>
      <w:r>
        <w:rPr>
          <w:rFonts w:ascii="Arial" w:hAnsi="Arial"/>
          <w:sz w:val="20"/>
          <w:szCs w:val="20"/>
          <w:lang w:val="pt-BR"/>
        </w:rPr>
        <w:t>§ 1</w:t>
      </w:r>
      <w:r>
        <w:rPr>
          <w:rFonts w:ascii="Arial" w:hAnsi="Arial"/>
          <w:sz w:val="20"/>
          <w:szCs w:val="20"/>
          <w:u w:val="single"/>
          <w:vertAlign w:val="superscript"/>
          <w:lang w:val="pt-BR"/>
        </w:rPr>
        <w:t>o</w:t>
      </w:r>
      <w:r>
        <w:rPr>
          <w:rFonts w:ascii="Arial" w:hAnsi="Arial"/>
          <w:sz w:val="20"/>
          <w:szCs w:val="20"/>
          <w:lang w:val="pt-BR"/>
        </w:rPr>
        <w:t>  A lei posterior revoga a anterior quando expressamente o declare, quando seja com ela incompatível ou quando regule inteiramente a matéria de que tratava a lei anterior.</w:t>
      </w:r>
    </w:p>
    <w:p w:rsidR="009D60B7" w:rsidRDefault="00425C09">
      <w:pPr>
        <w:tabs>
          <w:tab w:val="left" w:pos="6855"/>
        </w:tabs>
        <w:ind w:left="2268"/>
        <w:jc w:val="both"/>
        <w:rPr>
          <w:rFonts w:ascii="Arial" w:hAnsi="Arial"/>
          <w:sz w:val="20"/>
          <w:szCs w:val="20"/>
        </w:rPr>
      </w:pPr>
      <w:bookmarkStart w:id="16" w:name="art2§2"/>
      <w:bookmarkEnd w:id="16"/>
      <w:r>
        <w:rPr>
          <w:rFonts w:ascii="Arial" w:hAnsi="Arial"/>
          <w:sz w:val="20"/>
          <w:szCs w:val="20"/>
          <w:lang w:val="pt-BR"/>
        </w:rPr>
        <w:t>§ 2</w:t>
      </w:r>
      <w:r>
        <w:rPr>
          <w:rFonts w:ascii="Arial" w:hAnsi="Arial"/>
          <w:sz w:val="20"/>
          <w:szCs w:val="20"/>
          <w:u w:val="single"/>
          <w:vertAlign w:val="superscript"/>
          <w:lang w:val="pt-BR"/>
        </w:rPr>
        <w:t>o</w:t>
      </w:r>
      <w:r>
        <w:rPr>
          <w:rFonts w:ascii="Arial" w:hAnsi="Arial"/>
          <w:sz w:val="20"/>
          <w:szCs w:val="20"/>
          <w:lang w:val="pt-BR"/>
        </w:rPr>
        <w:t>  A lei nova, que estabeleça disposições gerais ou especiais a par das já existentes, não revoga nem modifica a lei anterior.</w:t>
      </w:r>
    </w:p>
    <w:p w:rsidR="009D60B7" w:rsidRDefault="00425C09">
      <w:pPr>
        <w:tabs>
          <w:tab w:val="left" w:pos="6855"/>
        </w:tabs>
        <w:ind w:left="2268"/>
        <w:jc w:val="both"/>
        <w:rPr>
          <w:rFonts w:ascii="Arial" w:hAnsi="Arial"/>
          <w:sz w:val="20"/>
          <w:szCs w:val="20"/>
        </w:rPr>
      </w:pPr>
      <w:bookmarkStart w:id="17" w:name="art2§3"/>
      <w:bookmarkEnd w:id="17"/>
      <w:r>
        <w:rPr>
          <w:rFonts w:ascii="Arial" w:hAnsi="Arial"/>
          <w:sz w:val="20"/>
          <w:szCs w:val="20"/>
          <w:lang w:val="pt-BR"/>
        </w:rPr>
        <w:t>§ 3</w:t>
      </w:r>
      <w:r>
        <w:rPr>
          <w:rFonts w:ascii="Arial" w:hAnsi="Arial"/>
          <w:sz w:val="20"/>
          <w:szCs w:val="20"/>
          <w:u w:val="single"/>
          <w:vertAlign w:val="superscript"/>
          <w:lang w:val="pt-BR"/>
        </w:rPr>
        <w:t>o</w:t>
      </w:r>
      <w:r>
        <w:rPr>
          <w:rFonts w:ascii="Arial" w:hAnsi="Arial"/>
          <w:sz w:val="20"/>
          <w:szCs w:val="20"/>
          <w:lang w:val="pt-BR"/>
        </w:rPr>
        <w:t>  Salvo disposição em contrário, a lei revogada não se restaura por ter a lei revogadora perdido a vigência.</w:t>
      </w:r>
      <w:r>
        <w:rPr>
          <w:rFonts w:ascii="Arial" w:hAnsi="Arial"/>
          <w:b/>
          <w:bCs/>
          <w:sz w:val="20"/>
          <w:szCs w:val="20"/>
        </w:rPr>
        <w:t xml:space="preserve"> </w:t>
      </w:r>
      <w:r>
        <w:rPr>
          <w:rFonts w:ascii="Arial" w:hAnsi="Arial"/>
          <w:sz w:val="20"/>
          <w:szCs w:val="20"/>
        </w:rPr>
        <w:t xml:space="preserve">(Brasil, 1942, </w:t>
      </w:r>
      <w:r>
        <w:rPr>
          <w:rFonts w:ascii="Arial" w:hAnsi="Arial"/>
          <w:i/>
          <w:iCs/>
          <w:sz w:val="20"/>
          <w:szCs w:val="20"/>
        </w:rPr>
        <w:t>online</w:t>
      </w:r>
      <w:r>
        <w:rPr>
          <w:rFonts w:ascii="Arial" w:hAnsi="Arial"/>
          <w:sz w:val="20"/>
          <w:szCs w:val="20"/>
        </w:rPr>
        <w:t>).</w:t>
      </w:r>
    </w:p>
    <w:p w:rsidR="009D60B7" w:rsidRDefault="00425C09">
      <w:pPr>
        <w:tabs>
          <w:tab w:val="left" w:pos="6855"/>
        </w:tabs>
        <w:spacing w:line="360" w:lineRule="auto"/>
        <w:ind w:firstLine="680"/>
        <w:jc w:val="both"/>
        <w:rPr>
          <w:rFonts w:ascii="Arial" w:hAnsi="Arial"/>
          <w:sz w:val="20"/>
          <w:szCs w:val="20"/>
        </w:rPr>
      </w:pPr>
      <w:bookmarkStart w:id="18" w:name="art3"/>
      <w:bookmarkEnd w:id="18"/>
      <w:r>
        <w:rPr>
          <w:rFonts w:ascii="Arial" w:hAnsi="Arial"/>
          <w:sz w:val="20"/>
          <w:szCs w:val="20"/>
        </w:rPr>
        <w:t>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Conforme explica Diniz (2013) , o art. 2º da Lei de Introdução às Normas do Direito Brasileiro (1942) estabelece as regras relativas à vigência e à revogação das normas jurídicas, indicando que a lei permanece válida até que outra venha a modificá-la ou revogá-la, seja de forma expressa ou quando houver incompatibilidade entre as disposições normativas. (Diniz, 2013). Deixando claro a premissa de que  lei nova revoga sim lei anterior.</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Um dos principais pressupostos do Pacote anticrime foi a total imparcialidade do magistrado, e apresenta a ideia de uma possível separação entre o juiz das garantias e o juiz de instrução e julgamento. </w:t>
      </w:r>
      <w:r>
        <w:rPr>
          <w:rFonts w:ascii="Arial" w:hAnsi="Arial"/>
          <w:sz w:val="24"/>
          <w:szCs w:val="24"/>
        </w:rPr>
        <w:t xml:space="preserve">Determinadas funções dentro do processo penal não devem ser concentradas em uma única pessoa, pois essa acumulação pode comprometer a efetividade das garantias individuais do acusado e afetar a própria credibilidade da administração da justiça. </w:t>
      </w:r>
    </w:p>
    <w:p w:rsidR="009D60B7" w:rsidRDefault="00425C09">
      <w:pPr>
        <w:tabs>
          <w:tab w:val="left" w:pos="6855"/>
        </w:tabs>
        <w:spacing w:line="360" w:lineRule="auto"/>
        <w:ind w:firstLine="680"/>
        <w:jc w:val="both"/>
        <w:rPr>
          <w:rFonts w:ascii="Arial" w:hAnsi="Arial"/>
          <w:sz w:val="20"/>
          <w:szCs w:val="20"/>
        </w:rPr>
      </w:pPr>
      <w:r>
        <w:rPr>
          <w:rFonts w:ascii="Arial" w:hAnsi="Arial"/>
          <w:sz w:val="24"/>
          <w:szCs w:val="24"/>
        </w:rPr>
        <w:t>Nesse contexto, não se mostra razoável admitir que o mesmo indivíduo atue simultaneamente como responsável pela investigação e, ao mesmo tempo, como garantidor das liberdades individuais, já que tais atribuições exigem posições distintas dentro da estrutura do sistema processual penal (Cunha, 2020). Em 2016 Lopes junior, antes da introdução do diploma legal Pacote Anticrime que surgiu em 2019, já apontava a relevância dessa separação dentre ao sistema jurídico:</w:t>
      </w:r>
    </w:p>
    <w:p w:rsidR="009D60B7" w:rsidRDefault="00425C09">
      <w:pPr>
        <w:tabs>
          <w:tab w:val="left" w:pos="6855"/>
        </w:tabs>
        <w:ind w:left="2268"/>
        <w:jc w:val="both"/>
        <w:rPr>
          <w:rFonts w:ascii="Arial" w:hAnsi="Arial"/>
          <w:sz w:val="20"/>
          <w:szCs w:val="20"/>
        </w:rPr>
      </w:pPr>
      <w:r>
        <w:rPr>
          <w:rFonts w:ascii="Arial" w:hAnsi="Arial"/>
          <w:sz w:val="20"/>
          <w:szCs w:val="20"/>
        </w:rPr>
        <w:t>É necessário que se mantenha a separação para que a estrutura não se rompa e, portanto, é decorrência lógica e inafastável, que a iniciariva probatória esteja (sempre) nas mãos das partes. Somente isso permite a imparcialidade do juiz.</w:t>
      </w:r>
    </w:p>
    <w:p w:rsidR="009D60B7" w:rsidRDefault="00425C09">
      <w:pPr>
        <w:tabs>
          <w:tab w:val="left" w:pos="6855"/>
        </w:tabs>
        <w:ind w:left="2268"/>
        <w:jc w:val="both"/>
        <w:rPr>
          <w:rFonts w:ascii="Arial" w:hAnsi="Arial"/>
          <w:sz w:val="20"/>
          <w:szCs w:val="20"/>
        </w:rPr>
      </w:pPr>
      <w:r>
        <w:rPr>
          <w:rFonts w:ascii="Arial" w:hAnsi="Arial"/>
          <w:sz w:val="20"/>
          <w:szCs w:val="20"/>
        </w:rPr>
        <w:t>A separação de funções do sistema acusatório está a serviço do quê? Por que existe? Por que o Tribunal Buropeu de Direitos Humanos em diversas oportunidades tem decidido que o juiz que atua como investigador na fase pré-processual não pode ser o mesmo que, no processo, julgue?</w:t>
      </w:r>
    </w:p>
    <w:p w:rsidR="009D60B7" w:rsidRDefault="00425C09">
      <w:pPr>
        <w:tabs>
          <w:tab w:val="left" w:pos="6855"/>
        </w:tabs>
        <w:ind w:left="2268"/>
        <w:jc w:val="both"/>
        <w:rPr>
          <w:rFonts w:ascii="Arial" w:hAnsi="Arial"/>
          <w:sz w:val="20"/>
          <w:szCs w:val="20"/>
        </w:rPr>
      </w:pPr>
      <w:r>
        <w:rPr>
          <w:rFonts w:ascii="Arial" w:hAnsi="Arial"/>
          <w:sz w:val="20"/>
          <w:szCs w:val="20"/>
        </w:rPr>
        <w:t>Todas essas questõ</w:t>
      </w:r>
      <w:r>
        <w:rPr>
          <w:rFonts w:ascii="Arial" w:hAnsi="Arial"/>
          <w:sz w:val="20"/>
          <w:szCs w:val="20"/>
          <w:lang w:val="pt-BR"/>
        </w:rPr>
        <w:t>e</w:t>
      </w:r>
      <w:r>
        <w:rPr>
          <w:rFonts w:ascii="Arial" w:hAnsi="Arial"/>
          <w:sz w:val="20"/>
          <w:szCs w:val="20"/>
        </w:rPr>
        <w:t xml:space="preserve">s giram em torno do binómio sistema acusatório e imparcialidade, porque a imparcialidade é garantida pelo modelo acusctório e sacrificada no sistema inguisitório, de modo que somente haverá condições de </w:t>
      </w:r>
      <w:r>
        <w:rPr>
          <w:rFonts w:ascii="Arial" w:hAnsi="Arial"/>
          <w:sz w:val="20"/>
          <w:szCs w:val="20"/>
        </w:rPr>
        <w:lastRenderedPageBreak/>
        <w:t>possibilidade da imparcialidade quando existir, além da separação inicial das funções de acusar e julgar, um afastamento do juiz da atividade investigatória/instruória. (Lopes Júnior., 2016, p. 165).</w:t>
      </w:r>
    </w:p>
    <w:p w:rsidR="009D60B7" w:rsidRDefault="009D60B7">
      <w:pPr>
        <w:tabs>
          <w:tab w:val="left" w:pos="6855"/>
        </w:tabs>
        <w:spacing w:line="360" w:lineRule="auto"/>
        <w:ind w:firstLine="851"/>
        <w:jc w:val="both"/>
        <w:rPr>
          <w:rFonts w:ascii="Arial" w:hAnsi="Arial"/>
          <w:sz w:val="20"/>
          <w:szCs w:val="20"/>
        </w:rPr>
      </w:pP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Ainda, em seu artigo 3-A o Código de Processo Penal (1941) reforça essa tese e estabelece que “O processo penal terá estrutura acusatória, vedadas a iniciativa do juiz na fase de investigação e a substituição da atuação probatória do órgão de acusação” (Brasil,1941, </w:t>
      </w:r>
      <w:r>
        <w:rPr>
          <w:rFonts w:ascii="Arial" w:hAnsi="Arial"/>
          <w:i/>
          <w:iCs/>
          <w:sz w:val="24"/>
          <w:szCs w:val="24"/>
        </w:rPr>
        <w:t>online</w:t>
      </w:r>
      <w:r>
        <w:rPr>
          <w:rFonts w:ascii="Arial" w:hAnsi="Arial"/>
          <w:sz w:val="24"/>
          <w:szCs w:val="24"/>
        </w:rPr>
        <w:t>). O artigo deixa claro que o juiz deve ser um terceiro imparcial que tem como sua função examinar o que acusação e defesa apresentam, sem participar da investigação ou agir como acusador.</w:t>
      </w:r>
    </w:p>
    <w:p w:rsidR="009D60B7" w:rsidRDefault="00425C09">
      <w:pPr>
        <w:tabs>
          <w:tab w:val="left" w:pos="6855"/>
        </w:tabs>
        <w:spacing w:line="360" w:lineRule="auto"/>
        <w:ind w:firstLine="680"/>
        <w:jc w:val="both"/>
        <w:rPr>
          <w:rFonts w:ascii="Arial" w:hAnsi="Arial"/>
          <w:sz w:val="20"/>
          <w:szCs w:val="20"/>
        </w:rPr>
      </w:pPr>
      <w:r>
        <w:rPr>
          <w:rFonts w:ascii="Arial" w:hAnsi="Arial"/>
          <w:sz w:val="24"/>
          <w:szCs w:val="24"/>
          <w:lang w:val="pt-BR"/>
        </w:rPr>
        <w:t xml:space="preserve">Nesse sentido, </w:t>
      </w:r>
      <w:r>
        <w:rPr>
          <w:rFonts w:ascii="Arial" w:hAnsi="Arial"/>
          <w:sz w:val="24"/>
          <w:szCs w:val="24"/>
        </w:rPr>
        <w:t>jurisprudência tem entendido que, em determinadas situações envolvendo violência doméstica, a prisão preventiva pode ser necessária para resguardar a ordem pública e a segurança da vítima. Assim, o Tribunal de Justiça de Minas Gerais entendeu que. não há ilegalidade na decretação da prisão preventiva quando ficar demonstrado</w:t>
      </w:r>
      <w:r>
        <w:rPr>
          <w:rFonts w:ascii="Arial" w:hAnsi="Arial"/>
          <w:sz w:val="20"/>
          <w:szCs w:val="20"/>
        </w:rPr>
        <w:t>,</w:t>
      </w:r>
      <w:r>
        <w:rPr>
          <w:rFonts w:ascii="Arial" w:hAnsi="Arial"/>
          <w:sz w:val="24"/>
          <w:szCs w:val="24"/>
        </w:rPr>
        <w:t xml:space="preserve"> com base em fatos concretos, que a segregação é necessária para acautelar como mosta a seguir:</w:t>
      </w:r>
    </w:p>
    <w:p w:rsidR="009D60B7" w:rsidRDefault="009D60B7">
      <w:pPr>
        <w:tabs>
          <w:tab w:val="left" w:pos="6855"/>
        </w:tabs>
        <w:ind w:firstLine="851"/>
        <w:jc w:val="both"/>
        <w:rPr>
          <w:rFonts w:ascii="Arial" w:hAnsi="Arial"/>
          <w:sz w:val="20"/>
          <w:szCs w:val="20"/>
          <w:lang w:val="pt-BR"/>
        </w:rPr>
      </w:pPr>
    </w:p>
    <w:p w:rsidR="009D60B7" w:rsidRDefault="00425C09">
      <w:pPr>
        <w:tabs>
          <w:tab w:val="left" w:pos="6855"/>
        </w:tabs>
        <w:ind w:left="2268"/>
        <w:jc w:val="both"/>
        <w:rPr>
          <w:rFonts w:ascii="Arial" w:hAnsi="Arial"/>
          <w:sz w:val="20"/>
          <w:szCs w:val="20"/>
        </w:rPr>
      </w:pPr>
      <w:r>
        <w:rPr>
          <w:rFonts w:ascii="Arial" w:hAnsi="Arial"/>
          <w:b/>
          <w:bCs/>
          <w:sz w:val="20"/>
          <w:szCs w:val="20"/>
        </w:rPr>
        <w:t>HABEAS CORPUS. VIOLÊNCIA DOMÉSTICA E FAMILIAR CONTRA A MULHER. PRISÃO PREVENTIVA. PRESENÇA DOS REQUISITOS AUTORIZADORES. NECESSIDADE DE GARANTIA DA ORDEM PÚBLICA E DE PROTEÇÃO À VÍTIMA. INSUFICIÊNCIA DAS MEDIDAS CAUTELARES DIVERSAS DA PRISÃO. AUSÊNCIA DE CONSTRANGIMENTO ILEGAL. ORDEM DENEGADA.</w:t>
      </w:r>
      <w:r>
        <w:rPr>
          <w:rFonts w:ascii="Arial" w:hAnsi="Arial"/>
          <w:sz w:val="20"/>
          <w:szCs w:val="20"/>
        </w:rPr>
        <w:br/>
        <w:t>No caso analisado, verificou-se que a decretação da prisão preventiva ocorreu diante da existência de elementos concretos que indicavam risco à integridade física e psicológica da vítima, especialmente em razão do contexto de violência doméstica em que os fatos se inseriam. Embora a prisão preventiva seja medida de natureza excepcional no processo penal, o Tribunal entendeu que sua aplicação se mostrava necessária para garantir a ordem pública e assegurar a efetiva proteção da vítima. Ademais, observou-se que as circunstâncias específicas do caso revelavam que a simples imposição de medidas cautelares diversas da prisão, previstas no art. 319 do Código de Processo Penal, não seria suficiente para evitar a reiteração de condutas violentas ou para assegurar a tranquilidade da vítima. Nesse cenário, considerando a presença dos requisitos previstos no art. 312 do Código de Processo Penal, bem como a necessidade de preservar a segurança da vítima e a regularidade da persecução penal, concluiu-se pela inexistência de constrangimento ilegal, motivo pelo qual foi mantida a prisão preventiva do paciente (TJMG, HC nº 1.0000.23.346708-3/000, Rel. Des. Evaldo Elias Penna Gavazza, j. 24 jan. 2024</w:t>
      </w:r>
      <w:r>
        <w:rPr>
          <w:rFonts w:ascii="Arial" w:hAnsi="Arial"/>
          <w:sz w:val="20"/>
          <w:szCs w:val="20"/>
          <w:lang w:val="pt-BR"/>
        </w:rPr>
        <w:t xml:space="preserve">, </w:t>
      </w:r>
      <w:r>
        <w:rPr>
          <w:rFonts w:ascii="Arial" w:hAnsi="Arial"/>
          <w:i/>
          <w:iCs/>
          <w:sz w:val="20"/>
          <w:szCs w:val="20"/>
          <w:lang w:val="pt-BR"/>
        </w:rPr>
        <w:t>online</w:t>
      </w:r>
      <w:r>
        <w:rPr>
          <w:rFonts w:ascii="Arial" w:hAnsi="Arial"/>
          <w:sz w:val="20"/>
          <w:szCs w:val="20"/>
        </w:rPr>
        <w:t>). (grifo nosso)</w:t>
      </w:r>
    </w:p>
    <w:p w:rsidR="009D60B7" w:rsidRDefault="009D60B7">
      <w:pPr>
        <w:tabs>
          <w:tab w:val="left" w:pos="6855"/>
        </w:tabs>
        <w:ind w:left="2268"/>
        <w:jc w:val="both"/>
        <w:rPr>
          <w:rFonts w:ascii="Arial" w:hAnsi="Arial"/>
          <w:sz w:val="20"/>
          <w:szCs w:val="20"/>
          <w:lang w:val="pt-BR"/>
        </w:rPr>
      </w:pPr>
    </w:p>
    <w:p w:rsidR="009D60B7" w:rsidRDefault="009D60B7">
      <w:pPr>
        <w:tabs>
          <w:tab w:val="left" w:pos="6855"/>
        </w:tabs>
        <w:ind w:left="2268"/>
        <w:jc w:val="both"/>
        <w:rPr>
          <w:rFonts w:ascii="Arial" w:hAnsi="Arial"/>
          <w:sz w:val="20"/>
          <w:szCs w:val="20"/>
        </w:rPr>
      </w:pP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 xml:space="preserve">Por derradeiro, em manifestação conjunta Lopes Júnior, Bastos de Pinho e Morais da Rosa </w:t>
      </w:r>
      <w:r>
        <w:rPr>
          <w:rFonts w:ascii="Arial" w:hAnsi="Arial"/>
          <w:sz w:val="24"/>
          <w:szCs w:val="24"/>
          <w:lang w:val="pt-BR"/>
        </w:rPr>
        <w:t xml:space="preserve">(2021) </w:t>
      </w:r>
      <w:r>
        <w:rPr>
          <w:rFonts w:ascii="Arial" w:hAnsi="Arial"/>
          <w:sz w:val="24"/>
          <w:szCs w:val="24"/>
        </w:rPr>
        <w:t xml:space="preserve">ressaltam que as mudanças trazidas pelo Pacote Anticrime possuem redação clara e objetiva, sendo fruto de debates doutrinários que, ao longo do tempo, criticaram práticas ainda marcadas por traços inquisitoriais no processo penal.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lastRenderedPageBreak/>
        <w:t>Para os autores, essas alterações representam um avanço na busca pela superação dessa cultura e pelo fortalecimento de um modelo processual mais compatível com o sistema acusatório (Lopes Júnior.; Pinho; Rosa, 2021).</w:t>
      </w:r>
    </w:p>
    <w:p w:rsidR="009D60B7" w:rsidRDefault="00425C09">
      <w:pPr>
        <w:tabs>
          <w:tab w:val="left" w:pos="6855"/>
        </w:tabs>
        <w:jc w:val="both"/>
        <w:rPr>
          <w:rFonts w:ascii="Arial" w:hAnsi="Arial"/>
          <w:sz w:val="20"/>
          <w:szCs w:val="20"/>
        </w:rPr>
      </w:pPr>
      <w:r>
        <w:rPr>
          <w:rFonts w:ascii="Arial" w:hAnsi="Arial"/>
          <w:sz w:val="20"/>
          <w:szCs w:val="20"/>
        </w:rPr>
        <w:t xml:space="preserve"> </w:t>
      </w:r>
    </w:p>
    <w:p w:rsidR="009D60B7" w:rsidRPr="003F1554" w:rsidRDefault="00425C09">
      <w:pPr>
        <w:tabs>
          <w:tab w:val="left" w:pos="6855"/>
        </w:tabs>
        <w:spacing w:line="360" w:lineRule="auto"/>
        <w:jc w:val="both"/>
        <w:rPr>
          <w:rFonts w:ascii="Arial" w:hAnsi="Arial"/>
          <w:bCs/>
          <w:sz w:val="24"/>
          <w:szCs w:val="24"/>
          <w:lang w:val="pt-BR"/>
        </w:rPr>
      </w:pPr>
      <w:r w:rsidRPr="003F1554">
        <w:rPr>
          <w:rFonts w:ascii="Arial" w:hAnsi="Arial"/>
          <w:bCs/>
          <w:sz w:val="24"/>
          <w:szCs w:val="24"/>
          <w:lang w:val="pt-BR"/>
        </w:rPr>
        <w:t>CONCLUSÃO</w:t>
      </w:r>
    </w:p>
    <w:p w:rsidR="009D60B7" w:rsidRDefault="00425C09">
      <w:pPr>
        <w:tabs>
          <w:tab w:val="left" w:pos="6855"/>
        </w:tabs>
        <w:spacing w:line="360" w:lineRule="auto"/>
        <w:ind w:firstLine="680"/>
        <w:jc w:val="both"/>
        <w:rPr>
          <w:rFonts w:ascii="Arial" w:hAnsi="Arial"/>
          <w:sz w:val="24"/>
          <w:szCs w:val="24"/>
        </w:rPr>
      </w:pPr>
      <w:r>
        <w:rPr>
          <w:rFonts w:ascii="Arial" w:hAnsi="Arial"/>
          <w:sz w:val="20"/>
          <w:szCs w:val="20"/>
        </w:rPr>
        <w:t xml:space="preserve"> </w:t>
      </w:r>
      <w:r>
        <w:rPr>
          <w:rFonts w:ascii="Arial" w:hAnsi="Arial"/>
          <w:sz w:val="24"/>
          <w:szCs w:val="24"/>
        </w:rPr>
        <w:t xml:space="preserve">Diante das informações trazidas ao longo do estudo, </w:t>
      </w:r>
      <w:r>
        <w:rPr>
          <w:rFonts w:ascii="Arial" w:hAnsi="Arial"/>
          <w:sz w:val="24"/>
          <w:szCs w:val="24"/>
          <w:lang w:val="pt-BR"/>
        </w:rPr>
        <w:t xml:space="preserve">buscou-se analisar as mudanças trazidas pela Lei nº 13.964/2019 Pacote Anticrime junto ao Código de Processo Penal, conforme previsto no Decreto-Lei nº 3.689 (1941), em especial sob a Lei nº 11.340/2006 Lei Maria da Penha que em seu artigo 20 ainda permite decretação da prisão preventiva de ofício pelo magistrado.  </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É notável que a reforma legislativa promoveu inovação com enfoque de reforçar a estrutura do sistema acusatório que é acolhido pela nossa Constituição Federal, com a renovação da redação do artigo 311 do Código de Processo Penal (1941), em que se pretendeu limitar a atuação do juiz buscando  preservar a separação entre as funções de acusar, defender e julgar. Além de fazer-se necessária a análise ampla sobre a prevalência do Pacote Anticrime à luz da tese que, lei nova revoga lei anterior amparada pela </w:t>
      </w:r>
      <w:r>
        <w:rPr>
          <w:rFonts w:ascii="Arial" w:hAnsi="Arial"/>
          <w:sz w:val="24"/>
          <w:szCs w:val="24"/>
        </w:rPr>
        <w:t>Lei de Introdução às normas do Direito Brasileiro (LINDB, 1942)</w:t>
      </w:r>
      <w:r>
        <w:rPr>
          <w:rFonts w:ascii="Arial" w:hAnsi="Arial"/>
          <w:sz w:val="24"/>
          <w:szCs w:val="24"/>
          <w:lang w:val="pt-BR"/>
        </w:rPr>
        <w:t>.</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Contudo, é essencial mencionar o importante papel da Lei Maria da Penha (2006) no que diz respeito ao enfrentamento da violência doméstica, tendo ainda que acrescentar os vários mecanismos criados pela mesma em prol das vítimas, como por exemplo as medidas protetivas. A Lei Maria da Penha (2006) tem um grande peso histórico para milhares de vítimas no Brasil, além de se tratar de lei especial, resguardada pelo princípio da especialidade.</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Surge então a discussão sobre a possibilidade de o magistrado decretar a prisão preventiva mesmo sem provocação das partes, tendo em vista a necessidade de proteção da vítima. Na análise realizada percebe-se que é indispensável uma avaliação detalhada do juiz para cada caso concreto, tendo em vista </w:t>
      </w:r>
      <w:r>
        <w:rPr>
          <w:rFonts w:ascii="Arial" w:hAnsi="Arial"/>
          <w:sz w:val="24"/>
          <w:szCs w:val="24"/>
        </w:rPr>
        <w:t>a existência de diversos fatores e particularidades envolvidas, bem como um relevante debate acerca do aparente conflito de normas</w:t>
      </w:r>
      <w:r>
        <w:rPr>
          <w:rFonts w:ascii="Arial" w:hAnsi="Arial"/>
          <w:sz w:val="24"/>
          <w:szCs w:val="24"/>
          <w:lang w:val="pt-BR"/>
        </w:rPr>
        <w:t>, em especial nas situações que envolvem violência doméstica e familiar contra a mulher.</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Nesse contexto, notou-se que  parte da doutrina e da jurisprudência defende a aplicação estrita das alterações introduzidas pelo Pacote Anticrime, enquanto outra corrente sustenta que a Lei Maria da Penha (2006), por possuir caráter especial e </w:t>
      </w:r>
      <w:r>
        <w:rPr>
          <w:rFonts w:ascii="Arial" w:hAnsi="Arial"/>
          <w:sz w:val="24"/>
          <w:szCs w:val="24"/>
          <w:lang w:val="pt-BR"/>
        </w:rPr>
        <w:lastRenderedPageBreak/>
        <w:t>protetivo, deve ser considerada na interpretação dessas normas. Assim, a discussão não se limita apenas ao texto da lei, mas envolve também a análise dos princípios que orientam o ordenamento jurídico, especialmente aqueles relacionados à proteção dos direitos fundamentais as vítimas e à garantia de um processo penal justo.</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lang w:val="pt-BR"/>
        </w:rPr>
        <w:t xml:space="preserve">Conclui-se, em resposta à problemática dessa pesquisa, </w:t>
      </w:r>
      <w:r>
        <w:rPr>
          <w:rFonts w:ascii="Arial" w:hAnsi="Arial"/>
          <w:sz w:val="24"/>
          <w:szCs w:val="24"/>
        </w:rPr>
        <w:t>que a aplicação do sistema normativo geral se mostra mais ampla, contribuindo para a segurança jurídica no caso concreto. E assim, afasta a aplicação do artigo 20 da Lei Maria da Penha (2006), em casos típicos, não implicando no desamparo à vítima. Pelo contrário, uma vez provocado pelas partes legitimadas como o Ministério Público, o querelante, o assistente de acusação ou até mesmo mediante representação do Delegado de Polícia, caberá ao juiz fundamentar sua decisão, indicando as razões que justificam a decretação da prisão preventiva, nos termos do art. 311 e seguintes do Código de Processo Penal (1941).</w:t>
      </w:r>
    </w:p>
    <w:p w:rsidR="009D60B7" w:rsidRDefault="00425C09">
      <w:pPr>
        <w:tabs>
          <w:tab w:val="left" w:pos="6855"/>
        </w:tabs>
        <w:spacing w:line="360" w:lineRule="auto"/>
        <w:ind w:firstLine="680"/>
        <w:jc w:val="both"/>
        <w:rPr>
          <w:rFonts w:ascii="Arial" w:hAnsi="Arial"/>
          <w:sz w:val="24"/>
          <w:szCs w:val="24"/>
        </w:rPr>
      </w:pPr>
      <w:r>
        <w:rPr>
          <w:rFonts w:ascii="Arial" w:hAnsi="Arial"/>
          <w:sz w:val="24"/>
          <w:szCs w:val="24"/>
        </w:rPr>
        <w:t>Ainda, o sistema acusatório que garante a imparcialidade o contraditório e a ampla defesa, frisando a separação de funcões e defendendo a prerrogativa do magistrado não poder agir sozinho. Portanto, entende-se pela ocorrência  de uma revogação tácita do dispositivo previsto na Lei Maria da Penha, isso significa a prevalência do sistema acusatório, preconizado pela Constituição Federal.</w:t>
      </w:r>
    </w:p>
    <w:p w:rsidR="009D60B7" w:rsidRDefault="009D60B7">
      <w:pPr>
        <w:tabs>
          <w:tab w:val="left" w:pos="6855"/>
        </w:tabs>
        <w:spacing w:line="360" w:lineRule="auto"/>
        <w:jc w:val="both"/>
        <w:rPr>
          <w:rFonts w:ascii="Arial" w:hAnsi="Arial"/>
          <w:b/>
          <w:bCs/>
          <w:sz w:val="20"/>
          <w:szCs w:val="20"/>
        </w:rPr>
      </w:pPr>
    </w:p>
    <w:p w:rsidR="009D60B7" w:rsidRPr="003F1554" w:rsidRDefault="00425C09">
      <w:pPr>
        <w:tabs>
          <w:tab w:val="left" w:pos="6855"/>
        </w:tabs>
        <w:spacing w:line="360" w:lineRule="auto"/>
        <w:jc w:val="both"/>
        <w:rPr>
          <w:rFonts w:ascii="Arial" w:hAnsi="Arial"/>
          <w:bCs/>
          <w:sz w:val="24"/>
          <w:szCs w:val="24"/>
        </w:rPr>
      </w:pPr>
      <w:r w:rsidRPr="003F1554">
        <w:rPr>
          <w:rFonts w:ascii="Arial" w:hAnsi="Arial"/>
          <w:bCs/>
          <w:sz w:val="24"/>
          <w:szCs w:val="24"/>
        </w:rPr>
        <w:t xml:space="preserve">REFERÊNCIAS </w:t>
      </w:r>
    </w:p>
    <w:p w:rsidR="009D60B7" w:rsidRDefault="00425C09">
      <w:pPr>
        <w:tabs>
          <w:tab w:val="left" w:pos="6855"/>
        </w:tabs>
        <w:rPr>
          <w:rFonts w:ascii="Arial" w:hAnsi="Arial"/>
          <w:sz w:val="24"/>
          <w:szCs w:val="24"/>
        </w:rPr>
      </w:pPr>
      <w:r>
        <w:rPr>
          <w:rFonts w:ascii="Arial" w:hAnsi="Arial"/>
          <w:sz w:val="24"/>
          <w:szCs w:val="24"/>
          <w:lang w:val="pt-BR"/>
        </w:rPr>
        <w:t xml:space="preserve">BARSTED, Leila Linhares. </w:t>
      </w:r>
      <w:r>
        <w:rPr>
          <w:rFonts w:ascii="Arial" w:hAnsi="Arial"/>
          <w:b/>
          <w:bCs/>
          <w:sz w:val="24"/>
          <w:szCs w:val="24"/>
          <w:lang w:val="pt-BR"/>
        </w:rPr>
        <w:t>Lei Maria da Penha</w:t>
      </w:r>
      <w:r>
        <w:rPr>
          <w:rFonts w:ascii="Arial" w:hAnsi="Arial"/>
          <w:sz w:val="24"/>
          <w:szCs w:val="24"/>
          <w:lang w:val="pt-BR"/>
        </w:rPr>
        <w:t>: uma experiência bem-sucedida de advocacy feminista. In: CAMPOS, Carmen Hein de (org.). Lei Maria da Penha comentada em uma perspectiva jurídico-feminista. Rio de Janeiro: Lumen Juris, 2011.</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BRAGA GIFFORD, Millene Baldy de Sant’Anna; PIRES, Karla Beatriz de Nascimento; GOMES, Shamara Cristina Ferreira. </w:t>
      </w:r>
      <w:r>
        <w:rPr>
          <w:rFonts w:ascii="Arial" w:hAnsi="Arial"/>
          <w:b/>
          <w:bCs/>
          <w:sz w:val="24"/>
          <w:szCs w:val="24"/>
          <w:lang w:val="pt-BR"/>
        </w:rPr>
        <w:t>Pacote Anticrime: alterações penais e processuais penais – Lei 13.964/19</w:t>
      </w:r>
      <w:r>
        <w:rPr>
          <w:rFonts w:ascii="Arial" w:hAnsi="Arial"/>
          <w:sz w:val="24"/>
          <w:szCs w:val="24"/>
          <w:lang w:val="pt-BR"/>
        </w:rPr>
        <w:t>. São Paulo: Rideel, 2020. E-book (Kindle). Disponível em: https://amz.onl/0gaEjN2f. Acesso em: 11 mar. 2026.</w:t>
      </w:r>
    </w:p>
    <w:p w:rsidR="009D60B7" w:rsidRDefault="009D60B7">
      <w:pPr>
        <w:tabs>
          <w:tab w:val="left" w:pos="6855"/>
        </w:tabs>
        <w:rPr>
          <w:rFonts w:ascii="Arial" w:hAnsi="Arial"/>
          <w:sz w:val="24"/>
          <w:szCs w:val="24"/>
          <w:lang w:val="pt-BR"/>
        </w:rPr>
      </w:pPr>
    </w:p>
    <w:p w:rsidR="009D60B7" w:rsidRDefault="00425C09">
      <w:pPr>
        <w:tabs>
          <w:tab w:val="left" w:pos="6855"/>
        </w:tabs>
        <w:rPr>
          <w:sz w:val="24"/>
          <w:szCs w:val="24"/>
        </w:rPr>
      </w:pPr>
      <w:r>
        <w:rPr>
          <w:rFonts w:ascii="Arial" w:hAnsi="Arial"/>
          <w:sz w:val="24"/>
          <w:szCs w:val="24"/>
          <w:lang w:val="pt-BR"/>
        </w:rPr>
        <w:t xml:space="preserve">BRASIL. </w:t>
      </w:r>
      <w:r>
        <w:rPr>
          <w:rFonts w:ascii="Arial" w:hAnsi="Arial"/>
          <w:b/>
          <w:bCs/>
          <w:sz w:val="24"/>
          <w:szCs w:val="24"/>
          <w:lang w:val="pt-BR"/>
        </w:rPr>
        <w:t>Decreto-Lei nº 2.848</w:t>
      </w:r>
      <w:r>
        <w:rPr>
          <w:rFonts w:ascii="Arial" w:hAnsi="Arial"/>
          <w:sz w:val="24"/>
          <w:szCs w:val="24"/>
          <w:lang w:val="pt-BR"/>
        </w:rPr>
        <w:t xml:space="preserve">, de 7 de dezembro de 1940. </w:t>
      </w:r>
      <w:r>
        <w:rPr>
          <w:rFonts w:ascii="Arial" w:hAnsi="Arial"/>
          <w:i/>
          <w:iCs/>
          <w:sz w:val="24"/>
          <w:szCs w:val="24"/>
          <w:lang w:val="pt-BR"/>
        </w:rPr>
        <w:t>Código Penal</w:t>
      </w:r>
      <w:r>
        <w:rPr>
          <w:rFonts w:ascii="Arial" w:hAnsi="Arial"/>
          <w:sz w:val="24"/>
          <w:szCs w:val="24"/>
          <w:lang w:val="pt-BR"/>
        </w:rPr>
        <w:t>. Rio de Janeiro, 1940. Disponível em</w:t>
      </w:r>
      <w:r>
        <w:rPr>
          <w:rFonts w:ascii="Arial" w:hAnsi="Arial"/>
          <w:color w:val="000000" w:themeColor="dark1"/>
          <w:sz w:val="24"/>
          <w:szCs w:val="24"/>
          <w:lang w:val="pt-BR"/>
        </w:rPr>
        <w:t xml:space="preserve">: </w:t>
      </w:r>
      <w:hyperlink r:id="rId104" w:tgtFrame="_new">
        <w:r>
          <w:rPr>
            <w:rStyle w:val="Hyperlink1"/>
            <w:rFonts w:ascii="Arial" w:hAnsi="Arial"/>
            <w:color w:val="000000" w:themeColor="dark1"/>
            <w:sz w:val="24"/>
            <w:szCs w:val="24"/>
            <w:u w:val="none"/>
            <w:lang w:val="pt-BR"/>
          </w:rPr>
          <w:t>https://www.planalto.gov.br/</w:t>
        </w:r>
      </w:hyperlink>
      <w:r>
        <w:rPr>
          <w:rFonts w:ascii="Arial" w:hAnsi="Arial"/>
          <w:sz w:val="24"/>
          <w:szCs w:val="24"/>
          <w:lang w:val="pt-BR"/>
        </w:rPr>
        <w:t>. Acesso em: 21 fev.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BRASIL</w:t>
      </w:r>
      <w:r>
        <w:rPr>
          <w:rFonts w:ascii="Arial" w:hAnsi="Arial"/>
          <w:b/>
          <w:bCs/>
          <w:sz w:val="24"/>
          <w:szCs w:val="24"/>
          <w:lang w:val="pt-BR"/>
        </w:rPr>
        <w:t>. Decreto-Lei nº 3.689</w:t>
      </w:r>
      <w:r>
        <w:rPr>
          <w:rFonts w:ascii="Arial" w:hAnsi="Arial"/>
          <w:sz w:val="24"/>
          <w:szCs w:val="24"/>
          <w:lang w:val="pt-BR"/>
        </w:rPr>
        <w:t>, de 3 de outubro de 1941. Código de Processo Penal. Diário Oficial da União: Brasília, DF, 1941. Disponível em: https://www.planalto.gov.br/ccivil_03/Leis/1950-1969/l5349.htm. Acesso em: 27 out. 2025.</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BRASIL. </w:t>
      </w:r>
      <w:r>
        <w:rPr>
          <w:rFonts w:ascii="Arial" w:hAnsi="Arial"/>
          <w:b/>
          <w:bCs/>
          <w:sz w:val="24"/>
          <w:szCs w:val="24"/>
          <w:lang w:val="pt-BR"/>
        </w:rPr>
        <w:t>Lei nº 11.340</w:t>
      </w:r>
      <w:r>
        <w:rPr>
          <w:rFonts w:ascii="Arial" w:hAnsi="Arial"/>
          <w:sz w:val="24"/>
          <w:szCs w:val="24"/>
          <w:lang w:val="pt-BR"/>
        </w:rPr>
        <w:t>, de 7 de agosto de 2006. Lei Maria da Penha. Diário Oficial da União: Brasília, DF, 2006. Disponível em: https://www.planalto.gov.br/ccivil_03/_ato2004-2006/2006/lei/l11340.htm. Acesso em: 27 nov. 2025.</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BRASIL. </w:t>
      </w:r>
      <w:r>
        <w:rPr>
          <w:rFonts w:ascii="Arial" w:hAnsi="Arial"/>
          <w:b/>
          <w:bCs/>
          <w:sz w:val="24"/>
          <w:szCs w:val="24"/>
          <w:lang w:val="pt-BR"/>
        </w:rPr>
        <w:t>Lei nº 13.964</w:t>
      </w:r>
      <w:r>
        <w:rPr>
          <w:rFonts w:ascii="Arial" w:hAnsi="Arial"/>
          <w:sz w:val="24"/>
          <w:szCs w:val="24"/>
          <w:lang w:val="pt-BR"/>
        </w:rPr>
        <w:t>, de 24 de dezembro de 2019. Altera o Código Penal, o Código de Processo Penal e outras leis. Disponível em: https://www.planalto.gov.br/ccivil_03/_ato2019-2022/2019/lei/l13964.htm. Acesso em: 27 nov. 2025.</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BRASIL. </w:t>
      </w:r>
      <w:r>
        <w:rPr>
          <w:rFonts w:ascii="Arial" w:hAnsi="Arial"/>
          <w:b/>
          <w:bCs/>
          <w:sz w:val="24"/>
          <w:szCs w:val="24"/>
          <w:lang w:val="pt-BR"/>
        </w:rPr>
        <w:t>Superior Tribunal de Justiça</w:t>
      </w:r>
      <w:r>
        <w:rPr>
          <w:rFonts w:ascii="Arial" w:hAnsi="Arial"/>
          <w:sz w:val="24"/>
          <w:szCs w:val="24"/>
          <w:lang w:val="pt-BR"/>
        </w:rPr>
        <w:t>. É vedado ao juiz decretar, de ofício, prisão preventiva. Brasília: STJ, 5 jul. 2024. Disponível em: https://www.stj.jus.br/sites/portalp/Paginas/Comunicacao/Noticias/2024/05072024-E-vedado-ao-juiz-decretar--de-oficio--prisao-preventiva.aspx. Acesso em: 12 fev.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BRASIL. Supremo Tribunal Federal. </w:t>
      </w:r>
      <w:r>
        <w:rPr>
          <w:rFonts w:ascii="Arial" w:hAnsi="Arial"/>
          <w:b/>
          <w:bCs/>
          <w:sz w:val="24"/>
          <w:szCs w:val="24"/>
          <w:lang w:val="pt-BR"/>
        </w:rPr>
        <w:t>Habeas Corpus n. 189636/PE</w:t>
      </w:r>
      <w:r>
        <w:rPr>
          <w:rFonts w:ascii="Arial" w:hAnsi="Arial"/>
          <w:sz w:val="24"/>
          <w:szCs w:val="24"/>
          <w:lang w:val="pt-BR"/>
        </w:rPr>
        <w:t>. Relatora: Ministra Cármen Lúcia. Julgado em 12 ago. 2020. Publicado no DJe em 19 ago. 2020. Disponível em: https://jurisprudencia.stf.jus.br/pages/search/despacho1629053/false. Acesso em: 4 mar.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CAPRIOLLI, Rodrigo Cirano Silva. </w:t>
      </w:r>
      <w:r>
        <w:rPr>
          <w:rFonts w:ascii="Arial" w:hAnsi="Arial"/>
          <w:b/>
          <w:bCs/>
          <w:sz w:val="24"/>
          <w:szCs w:val="24"/>
          <w:lang w:val="pt-BR"/>
        </w:rPr>
        <w:t>Pacote anticrime</w:t>
      </w:r>
      <w:r>
        <w:rPr>
          <w:rFonts w:ascii="Arial" w:hAnsi="Arial"/>
          <w:sz w:val="24"/>
          <w:szCs w:val="24"/>
          <w:lang w:val="pt-BR"/>
        </w:rPr>
        <w:t>. São Paulo: Mizuno, 2020.</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CAVALIERI, Duarte; OLIVEIRA, Luís R. </w:t>
      </w:r>
      <w:r>
        <w:rPr>
          <w:rFonts w:ascii="Arial" w:hAnsi="Arial"/>
          <w:b/>
          <w:bCs/>
          <w:sz w:val="24"/>
          <w:szCs w:val="24"/>
          <w:lang w:val="pt-BR"/>
        </w:rPr>
        <w:t>Violência doméstica e familiar: processo penal psicoeducativo.</w:t>
      </w:r>
      <w:r>
        <w:rPr>
          <w:rFonts w:ascii="Arial" w:hAnsi="Arial"/>
          <w:sz w:val="24"/>
          <w:szCs w:val="24"/>
          <w:lang w:val="pt-BR"/>
        </w:rPr>
        <w:t xml:space="preserve"> São Paulo: Almedina Brasil, 2024. E-book. Disponível em: https://integrada.minhabiblioteca.com.br/reader/books/9786556276434/. Acesso em: 26 fev.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CUNHA, Rogério Sanches. </w:t>
      </w:r>
      <w:r>
        <w:rPr>
          <w:rFonts w:ascii="Arial" w:hAnsi="Arial"/>
          <w:b/>
          <w:bCs/>
          <w:sz w:val="24"/>
          <w:szCs w:val="24"/>
          <w:lang w:val="pt-BR"/>
        </w:rPr>
        <w:t>Pacote Anticrime: comentários às alterações introduzidas pela Lei 13.964/2019</w:t>
      </w:r>
      <w:r>
        <w:rPr>
          <w:rFonts w:ascii="Arial" w:hAnsi="Arial"/>
          <w:sz w:val="24"/>
          <w:szCs w:val="24"/>
          <w:lang w:val="pt-BR"/>
        </w:rPr>
        <w:t>. Salvador: JusPodivm, 2020.</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DIAS, Maria Berenice. </w:t>
      </w:r>
      <w:r>
        <w:rPr>
          <w:rFonts w:ascii="Arial" w:hAnsi="Arial"/>
          <w:b/>
          <w:bCs/>
          <w:sz w:val="24"/>
          <w:szCs w:val="24"/>
          <w:lang w:val="pt-BR"/>
        </w:rPr>
        <w:t>A Lei Maria da Penha na justiça</w:t>
      </w:r>
      <w:r>
        <w:rPr>
          <w:rFonts w:ascii="Arial" w:hAnsi="Arial"/>
          <w:i/>
          <w:iCs/>
          <w:sz w:val="24"/>
          <w:szCs w:val="24"/>
          <w:lang w:val="pt-BR"/>
        </w:rPr>
        <w:t xml:space="preserve">: </w:t>
      </w:r>
      <w:r>
        <w:rPr>
          <w:rFonts w:ascii="Arial" w:hAnsi="Arial"/>
          <w:sz w:val="24"/>
          <w:szCs w:val="24"/>
          <w:lang w:val="pt-BR"/>
        </w:rPr>
        <w:t>a efetividade da Lei 11.340/2006 de combate à violência doméstica e familiar contra a mulher. 5. ed. Salvador: JusPodivm, 2019.</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DINIZ, Maria Helena. </w:t>
      </w:r>
      <w:r>
        <w:rPr>
          <w:rFonts w:ascii="Arial" w:hAnsi="Arial"/>
          <w:b/>
          <w:bCs/>
          <w:sz w:val="24"/>
          <w:szCs w:val="24"/>
          <w:lang w:val="pt-BR"/>
        </w:rPr>
        <w:t>Lei de Introdução às Normas do Direito Brasileiro interpretada</w:t>
      </w:r>
      <w:r>
        <w:rPr>
          <w:rFonts w:ascii="Arial" w:hAnsi="Arial"/>
          <w:sz w:val="24"/>
          <w:szCs w:val="24"/>
          <w:lang w:val="pt-BR"/>
        </w:rPr>
        <w:t>. São Paulo: Saraiva, 2013.</w:t>
      </w:r>
    </w:p>
    <w:p w:rsidR="009D60B7" w:rsidRDefault="009D60B7">
      <w:pPr>
        <w:tabs>
          <w:tab w:val="left" w:pos="6855"/>
        </w:tabs>
        <w:spacing w:line="360" w:lineRule="auto"/>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DISTRITO FEDERAL. Tribunal de Justiça do Distrito Federal e dos Territórios. Câmara Criminal. </w:t>
      </w:r>
      <w:r>
        <w:rPr>
          <w:rFonts w:ascii="Arial" w:hAnsi="Arial"/>
          <w:b/>
          <w:bCs/>
          <w:sz w:val="24"/>
          <w:szCs w:val="24"/>
          <w:lang w:val="pt-BR"/>
        </w:rPr>
        <w:t>Acórdão n. 1961363</w:t>
      </w:r>
      <w:r>
        <w:rPr>
          <w:rFonts w:ascii="Arial" w:hAnsi="Arial"/>
          <w:sz w:val="24"/>
          <w:szCs w:val="24"/>
          <w:lang w:val="pt-BR"/>
        </w:rPr>
        <w:t>. Processo n. 0748508-27.2024.8.07.0000. Relator: Arnaldo Corrêa Silva. Julgado em 29 jan. 2025. Dje 7 fev. 2025.</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DISTRITO FEDERAL. Tribunal de Justiça do Distrito Federal e dos Territórios. Câmara Criminal. </w:t>
      </w:r>
      <w:r>
        <w:rPr>
          <w:rFonts w:ascii="Arial" w:hAnsi="Arial"/>
          <w:b/>
          <w:bCs/>
          <w:sz w:val="24"/>
          <w:szCs w:val="24"/>
          <w:lang w:val="pt-BR"/>
        </w:rPr>
        <w:t>Acórdão n. 2062000</w:t>
      </w:r>
      <w:r>
        <w:rPr>
          <w:rFonts w:ascii="Arial" w:hAnsi="Arial"/>
          <w:sz w:val="24"/>
          <w:szCs w:val="24"/>
          <w:lang w:val="pt-BR"/>
        </w:rPr>
        <w:t>. Processo n. 0739554-55.2025.8.07.0000. Relator: Demetrius Gomes Cavalcanti. Julgado em 29 out. 2025. Dje 7 nov. 2025.</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rPr>
        <w:t xml:space="preserve">GRECO, Rogério. </w:t>
      </w:r>
      <w:r>
        <w:rPr>
          <w:rFonts w:ascii="Arial" w:hAnsi="Arial"/>
          <w:b/>
          <w:bCs/>
          <w:sz w:val="24"/>
          <w:szCs w:val="24"/>
        </w:rPr>
        <w:t>Curso de Direito Penal: parte geral (v. 1).</w:t>
      </w:r>
      <w:r>
        <w:rPr>
          <w:rFonts w:ascii="Arial" w:hAnsi="Arial"/>
          <w:sz w:val="24"/>
          <w:szCs w:val="24"/>
        </w:rPr>
        <w:t xml:space="preserve"> 28. ed. Rio de Janeiro: Atlas, 2026.Ebook.Disponívelem: https://integrada.minhabiblioteca.com.br/reader/books/9786559778157/. Acesso em: 04 mar.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INSTITUTO MARIA DA PENHA. </w:t>
      </w:r>
      <w:r>
        <w:rPr>
          <w:rFonts w:ascii="Arial" w:hAnsi="Arial"/>
          <w:b/>
          <w:bCs/>
          <w:sz w:val="24"/>
          <w:szCs w:val="24"/>
          <w:lang w:val="pt-BR"/>
        </w:rPr>
        <w:t>Lei Maria da Penha na íntegra e comentada</w:t>
      </w:r>
      <w:r>
        <w:rPr>
          <w:rFonts w:ascii="Arial" w:hAnsi="Arial"/>
          <w:sz w:val="24"/>
          <w:szCs w:val="24"/>
          <w:lang w:val="pt-BR"/>
        </w:rPr>
        <w:t>. Disponível em: https://www.institutomariadapenha.org.br/lei-11340/lei-maria-da-penha-</w:t>
      </w:r>
      <w:r>
        <w:rPr>
          <w:rFonts w:ascii="Arial" w:hAnsi="Arial"/>
          <w:sz w:val="24"/>
          <w:szCs w:val="24"/>
          <w:lang w:val="pt-BR"/>
        </w:rPr>
        <w:lastRenderedPageBreak/>
        <w:t>na-integra-e-comentada.html. Acesso em: 01 abr.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KHALED JUNIOR, Salah Hassan. </w:t>
      </w:r>
      <w:r>
        <w:rPr>
          <w:rFonts w:ascii="Arial" w:hAnsi="Arial"/>
          <w:b/>
          <w:bCs/>
          <w:sz w:val="24"/>
          <w:szCs w:val="24"/>
          <w:lang w:val="pt-BR"/>
        </w:rPr>
        <w:t xml:space="preserve">A busca da verdade no processo penal: para além da ambição inquisitorial. </w:t>
      </w:r>
      <w:r>
        <w:rPr>
          <w:rFonts w:ascii="Arial" w:hAnsi="Arial"/>
          <w:sz w:val="24"/>
          <w:szCs w:val="24"/>
          <w:lang w:val="pt-BR"/>
        </w:rPr>
        <w:t>São Paulo: Atlas, 2013.</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LOPES JR., Aury. </w:t>
      </w:r>
      <w:r>
        <w:rPr>
          <w:rFonts w:ascii="Arial" w:hAnsi="Arial"/>
          <w:b/>
          <w:bCs/>
          <w:sz w:val="24"/>
          <w:szCs w:val="24"/>
          <w:lang w:val="pt-BR"/>
        </w:rPr>
        <w:t>Direito processual penal.</w:t>
      </w:r>
      <w:r>
        <w:rPr>
          <w:rFonts w:ascii="Arial" w:hAnsi="Arial"/>
          <w:sz w:val="24"/>
          <w:szCs w:val="24"/>
          <w:lang w:val="pt-BR"/>
        </w:rPr>
        <w:t xml:space="preserve"> 17. ed. São Paulo: Saraiva Educação, 2020.</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LOPES JR., Aury; PINHO, Ana Claudia Bastos de; ROSA, Alexandre Morais da. </w:t>
      </w:r>
      <w:r>
        <w:rPr>
          <w:rFonts w:ascii="Arial" w:hAnsi="Arial"/>
          <w:b/>
          <w:bCs/>
          <w:sz w:val="24"/>
          <w:szCs w:val="24"/>
          <w:lang w:val="pt-BR"/>
        </w:rPr>
        <w:t>Pacote Anticrime: um ano depois.</w:t>
      </w:r>
      <w:r>
        <w:rPr>
          <w:rFonts w:ascii="Arial" w:hAnsi="Arial"/>
          <w:sz w:val="24"/>
          <w:szCs w:val="24"/>
          <w:lang w:val="pt-BR"/>
        </w:rPr>
        <w:t xml:space="preserve"> Rio de Janeiro: Expressa, 2021. E-book. Disponível em: https://integrada.minhabiblioteca.com.br/reader/books/9788553618453/. Acesso em: 14 mar.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LOPES JR., Aury. </w:t>
      </w:r>
      <w:r>
        <w:rPr>
          <w:rFonts w:ascii="Arial" w:hAnsi="Arial"/>
          <w:b/>
          <w:bCs/>
          <w:sz w:val="24"/>
          <w:szCs w:val="24"/>
          <w:lang w:val="pt-BR"/>
        </w:rPr>
        <w:t>Fundamentos do processo penal: introdução crítica</w:t>
      </w:r>
      <w:r>
        <w:rPr>
          <w:rFonts w:ascii="Arial" w:hAnsi="Arial"/>
          <w:sz w:val="24"/>
          <w:szCs w:val="24"/>
          <w:lang w:val="pt-BR"/>
        </w:rPr>
        <w:t>. 2. ed. São Paulo: Saraiva, 2016.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MESSA, Ana Flávia; CALHEIROS, Maria Clara da Costa. </w:t>
      </w:r>
      <w:r>
        <w:rPr>
          <w:rFonts w:ascii="Arial" w:hAnsi="Arial"/>
          <w:b/>
          <w:bCs/>
          <w:sz w:val="24"/>
          <w:szCs w:val="24"/>
          <w:lang w:val="pt-BR"/>
        </w:rPr>
        <w:t>Violência contra a mulher.</w:t>
      </w:r>
      <w:r>
        <w:rPr>
          <w:rFonts w:ascii="Arial" w:hAnsi="Arial"/>
          <w:sz w:val="24"/>
          <w:szCs w:val="24"/>
          <w:lang w:val="pt-BR"/>
        </w:rPr>
        <w:t xml:space="preserve"> São Paulo: Almedina, 2023. E-book. Disponível em: https://integrada.minhabiblioteca.com.br/reader/books/9786556279381/. Acesso em: 26 fev.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NUCCI, Guilherme de Souza. </w:t>
      </w:r>
      <w:r>
        <w:rPr>
          <w:rFonts w:ascii="Arial" w:hAnsi="Arial"/>
          <w:b/>
          <w:bCs/>
          <w:sz w:val="24"/>
          <w:szCs w:val="24"/>
          <w:lang w:val="pt-BR"/>
        </w:rPr>
        <w:t>Código de Processo Penal comentado</w:t>
      </w:r>
      <w:r>
        <w:rPr>
          <w:rFonts w:ascii="Arial" w:hAnsi="Arial"/>
          <w:sz w:val="24"/>
          <w:szCs w:val="24"/>
          <w:lang w:val="pt-BR"/>
        </w:rPr>
        <w:t>. 24. ed. Rio de Janeiro: Forense, 2025. E-book. Disponível em: https://integrada.minhabiblioteca.com.br/reader/books/9788530996444/. Acesso em: 8 mar. 2026.</w:t>
      </w:r>
    </w:p>
    <w:p w:rsidR="009D60B7" w:rsidRDefault="009D60B7">
      <w:pPr>
        <w:tabs>
          <w:tab w:val="left" w:pos="6855"/>
        </w:tabs>
        <w:rPr>
          <w:rFonts w:ascii="Arial" w:hAnsi="Arial"/>
          <w:sz w:val="24"/>
          <w:szCs w:val="24"/>
          <w:lang w:val="pt-BR"/>
        </w:rPr>
      </w:pPr>
    </w:p>
    <w:p w:rsidR="009D60B7" w:rsidRDefault="00425C09">
      <w:pPr>
        <w:tabs>
          <w:tab w:val="left" w:pos="6855"/>
        </w:tabs>
        <w:rPr>
          <w:sz w:val="24"/>
          <w:szCs w:val="24"/>
        </w:rPr>
      </w:pPr>
      <w:r>
        <w:rPr>
          <w:rFonts w:ascii="Arial" w:hAnsi="Arial"/>
          <w:sz w:val="24"/>
          <w:szCs w:val="24"/>
          <w:lang w:val="pt-BR"/>
        </w:rPr>
        <w:t xml:space="preserve">SENADO NOTÍCIAS. </w:t>
      </w:r>
      <w:r>
        <w:rPr>
          <w:rFonts w:ascii="Arial" w:hAnsi="Arial"/>
          <w:b/>
          <w:bCs/>
          <w:sz w:val="24"/>
          <w:szCs w:val="24"/>
          <w:lang w:val="pt-BR"/>
        </w:rPr>
        <w:t>Violência de gênero atinge 3,7 milhões de brasileiras.</w:t>
      </w:r>
      <w:r>
        <w:rPr>
          <w:rFonts w:ascii="Arial" w:hAnsi="Arial"/>
          <w:sz w:val="24"/>
          <w:szCs w:val="24"/>
          <w:lang w:val="pt-BR"/>
        </w:rPr>
        <w:t xml:space="preserve"> 2025. Disponível em</w:t>
      </w:r>
      <w:r>
        <w:rPr>
          <w:rFonts w:ascii="Arial" w:hAnsi="Arial"/>
          <w:color w:val="000000" w:themeColor="dark1"/>
          <w:sz w:val="24"/>
          <w:szCs w:val="24"/>
          <w:lang w:val="pt-BR"/>
        </w:rPr>
        <w:t xml:space="preserve">: </w:t>
      </w:r>
      <w:hyperlink r:id="rId105" w:tgtFrame="_new">
        <w:r>
          <w:rPr>
            <w:rStyle w:val="Hyperlink1"/>
            <w:rFonts w:ascii="Arial" w:hAnsi="Arial"/>
            <w:color w:val="000000" w:themeColor="dark1"/>
            <w:sz w:val="24"/>
            <w:szCs w:val="24"/>
            <w:u w:val="none"/>
            <w:lang w:val="pt-BR"/>
          </w:rPr>
          <w:t>https://www12.senado.leg.br/noticias/materias/2025/11/24/datasenado-violencia-de-genero-atinge-3-7-milhoes-de-brasileiras</w:t>
        </w:r>
      </w:hyperlink>
      <w:r>
        <w:rPr>
          <w:rFonts w:ascii="Arial" w:hAnsi="Arial"/>
          <w:sz w:val="24"/>
          <w:szCs w:val="24"/>
          <w:lang w:val="pt-BR"/>
        </w:rPr>
        <w:t>. Acesso em: 12 fev. 2026.</w:t>
      </w:r>
    </w:p>
    <w:p w:rsidR="009D60B7" w:rsidRDefault="009D60B7">
      <w:pPr>
        <w:tabs>
          <w:tab w:val="left" w:pos="6855"/>
        </w:tabs>
        <w:rPr>
          <w:rFonts w:ascii="Arial" w:hAnsi="Arial"/>
          <w:sz w:val="24"/>
          <w:szCs w:val="24"/>
          <w:lang w:val="pt-BR"/>
        </w:rPr>
      </w:pPr>
    </w:p>
    <w:p w:rsidR="009D60B7" w:rsidRDefault="00425C09">
      <w:pPr>
        <w:tabs>
          <w:tab w:val="left" w:pos="6855"/>
        </w:tabs>
        <w:rPr>
          <w:sz w:val="24"/>
          <w:szCs w:val="24"/>
        </w:rPr>
      </w:pPr>
      <w:r>
        <w:rPr>
          <w:rFonts w:ascii="Arial" w:hAnsi="Arial"/>
          <w:sz w:val="24"/>
          <w:szCs w:val="24"/>
          <w:lang w:val="pt-BR"/>
        </w:rPr>
        <w:t xml:space="preserve">SILVA JÚNIOR, Walter Nunes da et al. </w:t>
      </w:r>
      <w:r>
        <w:rPr>
          <w:rFonts w:ascii="Arial" w:hAnsi="Arial"/>
          <w:b/>
          <w:bCs/>
          <w:sz w:val="24"/>
          <w:szCs w:val="24"/>
          <w:lang w:val="pt-BR"/>
        </w:rPr>
        <w:t>Pacote anticrime: temas relevantes</w:t>
      </w:r>
      <w:r>
        <w:rPr>
          <w:rFonts w:ascii="Arial" w:hAnsi="Arial"/>
          <w:sz w:val="24"/>
          <w:szCs w:val="24"/>
          <w:lang w:val="pt-BR"/>
        </w:rPr>
        <w:t xml:space="preserve">. João Pessoa: Editora da UFPB, 2021. Disponível em: </w:t>
      </w:r>
      <w:hyperlink r:id="rId106" w:tgtFrame="_new">
        <w:r>
          <w:rPr>
            <w:rStyle w:val="Hyperlink1"/>
            <w:rFonts w:ascii="Arial" w:hAnsi="Arial"/>
            <w:color w:val="000000" w:themeColor="dark1"/>
            <w:sz w:val="24"/>
            <w:szCs w:val="24"/>
            <w:u w:val="none"/>
            <w:lang w:val="pt-BR"/>
          </w:rPr>
          <w:t>https://amz.onl/00hW43Tv</w:t>
        </w:r>
      </w:hyperlink>
      <w:r>
        <w:rPr>
          <w:rFonts w:ascii="Arial" w:hAnsi="Arial"/>
          <w:color w:val="000000" w:themeColor="dark1"/>
          <w:sz w:val="24"/>
          <w:szCs w:val="24"/>
          <w:lang w:val="pt-BR"/>
        </w:rPr>
        <w:t xml:space="preserve">. </w:t>
      </w:r>
      <w:r>
        <w:rPr>
          <w:rFonts w:ascii="Arial" w:hAnsi="Arial"/>
          <w:sz w:val="24"/>
          <w:szCs w:val="24"/>
          <w:lang w:val="pt-BR"/>
        </w:rPr>
        <w:t>Acesso em: 12 mar. 2026.</w:t>
      </w:r>
    </w:p>
    <w:p w:rsidR="009D60B7" w:rsidRDefault="009D60B7">
      <w:pPr>
        <w:tabs>
          <w:tab w:val="left" w:pos="6855"/>
        </w:tabs>
        <w:rPr>
          <w:rFonts w:ascii="Arial" w:hAnsi="Arial"/>
          <w:sz w:val="24"/>
          <w:szCs w:val="24"/>
          <w:lang w:val="pt-BR"/>
        </w:rPr>
      </w:pPr>
    </w:p>
    <w:p w:rsidR="009D60B7" w:rsidRDefault="00425C09">
      <w:pPr>
        <w:tabs>
          <w:tab w:val="left" w:pos="6855"/>
        </w:tabs>
        <w:rPr>
          <w:sz w:val="24"/>
          <w:szCs w:val="24"/>
        </w:rPr>
      </w:pPr>
      <w:r>
        <w:rPr>
          <w:rFonts w:ascii="Arial" w:hAnsi="Arial"/>
          <w:sz w:val="24"/>
          <w:szCs w:val="24"/>
          <w:lang w:val="pt-BR"/>
        </w:rPr>
        <w:t xml:space="preserve">TRIBUNAL DE JUSTIÇA DE MINAS GERAIS. </w:t>
      </w:r>
      <w:r>
        <w:rPr>
          <w:rFonts w:ascii="Arial" w:hAnsi="Arial"/>
          <w:b/>
          <w:bCs/>
          <w:sz w:val="24"/>
          <w:szCs w:val="24"/>
          <w:lang w:val="pt-BR"/>
        </w:rPr>
        <w:t>Habeas Corpus Criminal n.º 1.0000.23.346708-3/000.</w:t>
      </w:r>
      <w:r>
        <w:rPr>
          <w:rFonts w:ascii="Arial" w:hAnsi="Arial"/>
          <w:sz w:val="24"/>
          <w:szCs w:val="24"/>
          <w:lang w:val="pt-BR"/>
        </w:rPr>
        <w:t xml:space="preserve"> Relator: Evaldo Elias Penna Gavazza. Julgado em 24 jan. 2024. Disponível em</w:t>
      </w:r>
      <w:r>
        <w:rPr>
          <w:rFonts w:ascii="Arial" w:hAnsi="Arial"/>
          <w:color w:val="000000" w:themeColor="dark1"/>
          <w:sz w:val="24"/>
          <w:szCs w:val="24"/>
          <w:lang w:val="pt-BR"/>
        </w:rPr>
        <w:t xml:space="preserve">: </w:t>
      </w:r>
      <w:hyperlink r:id="rId107" w:tgtFrame="_new">
        <w:r>
          <w:rPr>
            <w:rStyle w:val="Hyperlink1"/>
            <w:rFonts w:ascii="Arial" w:hAnsi="Arial"/>
            <w:color w:val="000000" w:themeColor="dark1"/>
            <w:sz w:val="24"/>
            <w:szCs w:val="24"/>
            <w:u w:val="none"/>
            <w:lang w:val="pt-BR"/>
          </w:rPr>
          <w:t>https://tj-mg.jusbrasil.com.br/</w:t>
        </w:r>
      </w:hyperlink>
      <w:r>
        <w:rPr>
          <w:rFonts w:ascii="Arial" w:hAnsi="Arial"/>
          <w:sz w:val="24"/>
          <w:szCs w:val="24"/>
          <w:lang w:val="pt-BR"/>
        </w:rPr>
        <w:t>. Acesso em: 11 mar. 2026.</w:t>
      </w:r>
    </w:p>
    <w:p w:rsidR="009D60B7" w:rsidRDefault="009D60B7">
      <w:pPr>
        <w:tabs>
          <w:tab w:val="left" w:pos="6855"/>
        </w:tabs>
        <w:rPr>
          <w:rFonts w:ascii="Arial" w:hAnsi="Arial"/>
          <w:sz w:val="24"/>
          <w:szCs w:val="24"/>
          <w:lang w:val="pt-BR"/>
        </w:rPr>
      </w:pPr>
    </w:p>
    <w:p w:rsidR="009D60B7" w:rsidRDefault="00425C09">
      <w:pPr>
        <w:tabs>
          <w:tab w:val="left" w:pos="6855"/>
        </w:tabs>
        <w:rPr>
          <w:rFonts w:ascii="Arial" w:hAnsi="Arial"/>
          <w:sz w:val="24"/>
          <w:szCs w:val="24"/>
        </w:rPr>
      </w:pPr>
      <w:r>
        <w:rPr>
          <w:rFonts w:ascii="Arial" w:hAnsi="Arial"/>
          <w:sz w:val="24"/>
          <w:szCs w:val="24"/>
          <w:lang w:val="pt-BR"/>
        </w:rPr>
        <w:t xml:space="preserve">VELLUDO, Salvador Netto. </w:t>
      </w:r>
      <w:r>
        <w:rPr>
          <w:rFonts w:ascii="Arial" w:hAnsi="Arial"/>
          <w:b/>
          <w:bCs/>
          <w:sz w:val="24"/>
          <w:szCs w:val="24"/>
          <w:lang w:val="pt-BR"/>
        </w:rPr>
        <w:t>Pacote anticrime: comentários à Lei n. 13.964/2019</w:t>
      </w:r>
      <w:r>
        <w:rPr>
          <w:rFonts w:ascii="Arial" w:hAnsi="Arial"/>
          <w:sz w:val="24"/>
          <w:szCs w:val="24"/>
          <w:lang w:val="pt-BR"/>
        </w:rPr>
        <w:t>. São Paulo: Almedina Brasil, 2024. E-book. Disponível em: https://integrada.minhabiblioteca.com.br/reader/books/9786556270579/. Acesso em: 19 fev. 2026.</w:t>
      </w:r>
    </w:p>
    <w:p w:rsidR="009D60B7" w:rsidRDefault="009D60B7">
      <w:pPr>
        <w:widowControl/>
        <w:rPr>
          <w:rFonts w:ascii="Arial" w:eastAsia="Times New Roman" w:hAnsi="Arial" w:cs="Arial"/>
          <w:b/>
          <w:sz w:val="24"/>
          <w:szCs w:val="24"/>
        </w:rPr>
      </w:pPr>
    </w:p>
    <w:p w:rsidR="009D60B7" w:rsidRDefault="009D60B7">
      <w:pPr>
        <w:widowControl/>
        <w:jc w:val="both"/>
        <w:rPr>
          <w:rFonts w:ascii="Arial" w:eastAsia="Times New Roman" w:hAnsi="Arial" w:cs="Arial"/>
          <w:b/>
          <w:sz w:val="24"/>
          <w:szCs w:val="24"/>
        </w:rPr>
      </w:pPr>
    </w:p>
    <w:p w:rsidR="009D60B7" w:rsidRDefault="009D60B7">
      <w:pPr>
        <w:widowControl/>
        <w:jc w:val="both"/>
        <w:rPr>
          <w:rFonts w:ascii="Arial" w:eastAsia="Times New Roman" w:hAnsi="Arial" w:cs="Arial"/>
          <w:b/>
          <w:sz w:val="24"/>
          <w:szCs w:val="24"/>
        </w:rPr>
      </w:pPr>
    </w:p>
    <w:p w:rsidR="009D60B7" w:rsidRDefault="009D60B7">
      <w:pPr>
        <w:widowControl/>
        <w:jc w:val="both"/>
        <w:rPr>
          <w:rFonts w:ascii="Arial" w:eastAsia="Times New Roman" w:hAnsi="Arial" w:cs="Arial"/>
          <w:b/>
          <w:sz w:val="24"/>
          <w:szCs w:val="24"/>
        </w:rPr>
      </w:pPr>
    </w:p>
    <w:p w:rsidR="009D60B7" w:rsidRDefault="009D60B7">
      <w:pPr>
        <w:widowControl/>
        <w:jc w:val="both"/>
        <w:rPr>
          <w:rFonts w:ascii="Arial" w:eastAsia="Times New Roman" w:hAnsi="Arial" w:cs="Arial"/>
          <w:b/>
          <w:sz w:val="24"/>
          <w:szCs w:val="24"/>
        </w:rPr>
      </w:pPr>
    </w:p>
    <w:p w:rsidR="00804507" w:rsidRDefault="00804507">
      <w:pPr>
        <w:widowControl/>
        <w:jc w:val="both"/>
        <w:rPr>
          <w:rFonts w:ascii="Arial" w:eastAsia="Times New Roman" w:hAnsi="Arial" w:cs="Arial"/>
          <w:b/>
          <w:sz w:val="20"/>
          <w:szCs w:val="20"/>
        </w:rPr>
      </w:pPr>
    </w:p>
    <w:p w:rsidR="009D60B7" w:rsidRDefault="009D60B7">
      <w:pPr>
        <w:widowControl/>
        <w:jc w:val="both"/>
        <w:rPr>
          <w:rFonts w:ascii="Arial" w:eastAsia="Times New Roman" w:hAnsi="Arial" w:cs="Arial"/>
          <w:b/>
          <w:sz w:val="20"/>
          <w:szCs w:val="20"/>
        </w:rPr>
      </w:pPr>
    </w:p>
    <w:p w:rsidR="009D60B7" w:rsidRPr="003F1554" w:rsidRDefault="00425C09" w:rsidP="003F1554">
      <w:pPr>
        <w:ind w:left="45" w:hanging="11"/>
        <w:jc w:val="center"/>
        <w:rPr>
          <w:rFonts w:ascii="Arial" w:hAnsi="Arial"/>
          <w:sz w:val="28"/>
          <w:szCs w:val="28"/>
        </w:rPr>
      </w:pPr>
      <w:bookmarkStart w:id="19" w:name="_GoBack_Copia_8"/>
      <w:bookmarkEnd w:id="19"/>
      <w:r w:rsidRPr="003F1554">
        <w:rPr>
          <w:rFonts w:ascii="Arial" w:eastAsia="Times New Roman" w:hAnsi="Arial" w:cs="Arial"/>
          <w:b/>
          <w:sz w:val="28"/>
          <w:szCs w:val="28"/>
        </w:rPr>
        <w:lastRenderedPageBreak/>
        <w:t>ALIENAÇÃO PARENTAL NO DIREITO DE FAMÍLIA: ANÁLISE DOS</w:t>
      </w:r>
    </w:p>
    <w:p w:rsidR="009D60B7" w:rsidRPr="003F1554" w:rsidRDefault="00425C09" w:rsidP="003F1554">
      <w:pPr>
        <w:ind w:left="45" w:hanging="11"/>
        <w:jc w:val="center"/>
        <w:rPr>
          <w:rFonts w:ascii="Arial" w:hAnsi="Arial"/>
          <w:sz w:val="28"/>
          <w:szCs w:val="28"/>
        </w:rPr>
      </w:pPr>
      <w:r w:rsidRPr="003F1554">
        <w:rPr>
          <w:rFonts w:ascii="Arial" w:eastAsia="Times New Roman" w:hAnsi="Arial" w:cs="Arial"/>
          <w:b/>
          <w:sz w:val="28"/>
          <w:szCs w:val="28"/>
        </w:rPr>
        <w:t>EFEITOS JURÍDICOS E DA INTERVENÇÃO DO PODER JUDICIÁRIO</w:t>
      </w:r>
    </w:p>
    <w:p w:rsidR="009D60B7" w:rsidRDefault="009D60B7">
      <w:pPr>
        <w:spacing w:before="240" w:line="360" w:lineRule="auto"/>
        <w:ind w:right="2" w:firstLineChars="353" w:firstLine="851"/>
        <w:rPr>
          <w:rFonts w:ascii="Arial" w:eastAsia="Times New Roman" w:hAnsi="Arial" w:cs="Times New Roman"/>
          <w:b/>
          <w:sz w:val="24"/>
          <w:szCs w:val="24"/>
        </w:rPr>
      </w:pPr>
    </w:p>
    <w:p w:rsidR="009D60B7" w:rsidRDefault="00425C09">
      <w:pPr>
        <w:ind w:left="14" w:right="29" w:hanging="14"/>
        <w:jc w:val="center"/>
        <w:rPr>
          <w:rFonts w:ascii="Arial" w:hAnsi="Arial"/>
          <w:sz w:val="24"/>
          <w:szCs w:val="24"/>
        </w:rPr>
      </w:pPr>
      <w:r>
        <w:rPr>
          <w:rFonts w:ascii="Arial" w:hAnsi="Arial"/>
          <w:sz w:val="24"/>
          <w:szCs w:val="24"/>
        </w:rPr>
        <w:t>Camilly Vitoria Cabral Fenato</w:t>
      </w:r>
      <w:r>
        <w:rPr>
          <w:rStyle w:val="Refdenotaderodap"/>
          <w:rFonts w:ascii="Arial" w:hAnsi="Arial"/>
          <w:sz w:val="24"/>
          <w:szCs w:val="24"/>
        </w:rPr>
        <w:footnoteReference w:id="18"/>
      </w:r>
      <w:r>
        <w:rPr>
          <w:rFonts w:ascii="Arial" w:hAnsi="Arial"/>
          <w:sz w:val="24"/>
          <w:szCs w:val="24"/>
        </w:rPr>
        <w:t xml:space="preserve">  </w:t>
      </w:r>
    </w:p>
    <w:p w:rsidR="009D60B7" w:rsidRDefault="00425C09">
      <w:pPr>
        <w:ind w:left="14" w:right="29" w:hanging="14"/>
        <w:jc w:val="center"/>
        <w:rPr>
          <w:rFonts w:ascii="Arial" w:hAnsi="Arial"/>
          <w:sz w:val="24"/>
          <w:szCs w:val="24"/>
        </w:rPr>
      </w:pPr>
      <w:r>
        <w:rPr>
          <w:rFonts w:ascii="Arial" w:hAnsi="Arial"/>
          <w:sz w:val="24"/>
          <w:szCs w:val="24"/>
        </w:rPr>
        <w:t>Thalita Ribeiro Rodrigues</w:t>
      </w:r>
      <w:r>
        <w:rPr>
          <w:rStyle w:val="Refdenotaderodap"/>
          <w:rFonts w:ascii="Arial" w:hAnsi="Arial"/>
          <w:sz w:val="24"/>
          <w:szCs w:val="24"/>
        </w:rPr>
        <w:footnoteReference w:id="19"/>
      </w:r>
      <w:r>
        <w:rPr>
          <w:rFonts w:ascii="Arial" w:hAnsi="Arial"/>
          <w:sz w:val="24"/>
          <w:szCs w:val="24"/>
        </w:rPr>
        <w:t xml:space="preserve">  </w:t>
      </w:r>
    </w:p>
    <w:p w:rsidR="009D60B7" w:rsidRDefault="00425C09">
      <w:pPr>
        <w:ind w:left="14" w:right="29" w:hanging="14"/>
        <w:jc w:val="center"/>
        <w:rPr>
          <w:rFonts w:ascii="Arial" w:hAnsi="Arial"/>
          <w:sz w:val="24"/>
          <w:szCs w:val="24"/>
        </w:rPr>
      </w:pPr>
      <w:r>
        <w:rPr>
          <w:rFonts w:ascii="Arial" w:hAnsi="Arial"/>
          <w:sz w:val="24"/>
          <w:szCs w:val="24"/>
        </w:rPr>
        <w:t>Simone de Fatima Silva</w:t>
      </w:r>
      <w:r>
        <w:rPr>
          <w:rStyle w:val="Refdenotaderodap"/>
          <w:rFonts w:ascii="Arial" w:hAnsi="Arial"/>
          <w:sz w:val="24"/>
          <w:szCs w:val="24"/>
        </w:rPr>
        <w:footnoteReference w:id="20"/>
      </w:r>
      <w:r>
        <w:rPr>
          <w:rFonts w:ascii="Arial" w:hAnsi="Arial"/>
          <w:sz w:val="24"/>
          <w:szCs w:val="24"/>
        </w:rPr>
        <w:t xml:space="preserve">   </w:t>
      </w:r>
    </w:p>
    <w:p w:rsidR="009D60B7" w:rsidRPr="00E8635F" w:rsidRDefault="009D60B7">
      <w:pPr>
        <w:tabs>
          <w:tab w:val="left" w:pos="4260"/>
        </w:tabs>
        <w:spacing w:line="360" w:lineRule="auto"/>
        <w:ind w:right="2"/>
        <w:rPr>
          <w:rFonts w:ascii="Arial" w:hAnsi="Arial"/>
          <w:sz w:val="24"/>
          <w:szCs w:val="24"/>
        </w:rPr>
      </w:pPr>
    </w:p>
    <w:p w:rsidR="009D60B7" w:rsidRPr="00E8635F" w:rsidRDefault="00425C09">
      <w:pPr>
        <w:spacing w:line="360" w:lineRule="auto"/>
        <w:ind w:right="2"/>
        <w:jc w:val="center"/>
        <w:rPr>
          <w:rFonts w:ascii="Arial" w:hAnsi="Arial"/>
          <w:sz w:val="20"/>
          <w:szCs w:val="20"/>
        </w:rPr>
      </w:pPr>
      <w:r w:rsidRPr="00E8635F">
        <w:rPr>
          <w:rFonts w:ascii="Arial" w:eastAsia="Times New Roman" w:hAnsi="Arial" w:cs="Arial"/>
          <w:sz w:val="24"/>
          <w:szCs w:val="24"/>
        </w:rPr>
        <w:t>RESUMO</w:t>
      </w:r>
    </w:p>
    <w:p w:rsidR="009D60B7" w:rsidRDefault="00425C09">
      <w:pPr>
        <w:ind w:left="-1" w:right="42"/>
        <w:jc w:val="both"/>
        <w:rPr>
          <w:rFonts w:ascii="Arial" w:hAnsi="Arial"/>
          <w:sz w:val="20"/>
          <w:szCs w:val="20"/>
        </w:rPr>
      </w:pPr>
      <w:r>
        <w:rPr>
          <w:rFonts w:ascii="Arial" w:hAnsi="Arial"/>
          <w:sz w:val="20"/>
          <w:szCs w:val="20"/>
        </w:rPr>
        <w:t xml:space="preserve">O presente trabalho analisa a alienação parental no âmbito do Direito de Família, com enfoque em seus efeitos jurídicos e na atuação do Poder Judiciário na proteção da criança e do adolescente. A alienação parental, prevista na Lei nº 12.318/2010, configura-se como forma de violência psicológica que interfere na formação emocional do menor, prejudicando o vínculo com um dos genitores. Inicialmente, o estudo aborda a origem e evolução do conceito, bem como os principais dispositivos legais que disciplinam a matéria. Em seguida, examinam-se as consequências jurídicas decorrentes dessa prática, incluindo medidas aplicáveis ao alienador, como advertência, multa, ampliação do regime de convivência e alteração da guarda. Analisa-se, ainda, o papel do Poder Judiciário na identificação e repressão da alienação parental, destacando a importância da produção de provas técnicas e da observância do princípio do melhor interesse da criança. Por fim, discutem-se os desafios na aplicação da legislação, especialmente quanto ao uso indevido do instituto em disputas familiares. A pesquisa foi desenvolvida por meio de revisão bibliográfica e documental, com base na legislação, doutrina e jurisprudência brasileiras. </w:t>
      </w:r>
    </w:p>
    <w:p w:rsidR="009D60B7" w:rsidRDefault="00425C09">
      <w:pPr>
        <w:spacing w:after="103" w:line="259" w:lineRule="auto"/>
        <w:ind w:left="569"/>
        <w:rPr>
          <w:rFonts w:ascii="Arial" w:hAnsi="Arial"/>
          <w:sz w:val="20"/>
          <w:szCs w:val="20"/>
        </w:rPr>
      </w:pPr>
      <w:r>
        <w:rPr>
          <w:rFonts w:ascii="Arial" w:eastAsia="Arial" w:hAnsi="Arial" w:cs="Arial"/>
          <w:sz w:val="20"/>
          <w:szCs w:val="20"/>
        </w:rPr>
        <w:t xml:space="preserve"> </w:t>
      </w:r>
    </w:p>
    <w:p w:rsidR="009D60B7" w:rsidRDefault="00425C09">
      <w:pPr>
        <w:spacing w:line="247" w:lineRule="auto"/>
        <w:ind w:left="-1" w:right="42"/>
        <w:rPr>
          <w:rFonts w:ascii="Arial" w:hAnsi="Arial"/>
          <w:sz w:val="20"/>
          <w:szCs w:val="20"/>
        </w:rPr>
      </w:pPr>
      <w:r>
        <w:rPr>
          <w:rFonts w:ascii="Arial" w:hAnsi="Arial"/>
          <w:b/>
          <w:sz w:val="20"/>
          <w:szCs w:val="20"/>
        </w:rPr>
        <w:t>PALAVRAS-CHAVE:</w:t>
      </w:r>
      <w:r>
        <w:rPr>
          <w:rFonts w:ascii="Arial" w:hAnsi="Arial"/>
          <w:sz w:val="20"/>
          <w:szCs w:val="20"/>
        </w:rPr>
        <w:t xml:space="preserve"> Alienação parental; Direito de família; Criança e adolescente; Poder Judiciário; Lei nº 12.318/2010. </w:t>
      </w:r>
    </w:p>
    <w:p w:rsidR="009D60B7" w:rsidRDefault="009D60B7">
      <w:pPr>
        <w:spacing w:after="14" w:line="259" w:lineRule="auto"/>
        <w:ind w:left="14"/>
        <w:rPr>
          <w:rFonts w:ascii="Arial" w:hAnsi="Arial"/>
          <w:sz w:val="20"/>
          <w:szCs w:val="20"/>
        </w:rPr>
      </w:pPr>
    </w:p>
    <w:p w:rsidR="009D60B7" w:rsidRDefault="00425C09">
      <w:pPr>
        <w:pStyle w:val="Ttulo1"/>
        <w:spacing w:before="0" w:line="360" w:lineRule="auto"/>
        <w:ind w:left="9" w:hanging="10"/>
        <w:jc w:val="both"/>
        <w:rPr>
          <w:rFonts w:ascii="Arial" w:hAnsi="Arial"/>
          <w:sz w:val="24"/>
          <w:szCs w:val="24"/>
        </w:rPr>
      </w:pPr>
      <w:r>
        <w:rPr>
          <w:rFonts w:ascii="Arial" w:hAnsi="Arial"/>
          <w:sz w:val="24"/>
          <w:szCs w:val="24"/>
        </w:rPr>
        <w:t xml:space="preserve">INTRODUÇÃO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alienação parental é um fenômeno que se manifesta nas relações familiares, principalmente após a dissolução conjugal, quando um dos genitores, avós ou responsáveis interfere na formação psicológica da criança ou do adolescente com o objetivo de afastá-los do outro genitor. Tal prática, reconhecida juridicamente pela Lei nº 12.318/2010, representa uma forma de violência psicológica e constitui um dos maiores desafios contemporâneos no campo do Direito de Família. O estudo sobre o tema é relevante por envolver aspectos jurídicos e psicológicos, especialmente quanto à proteção integral dos direitos da criança e do adolescente garantidos pela Constituição Federal de 1988 e pelo Estatuto da Criança e do Adolescente (ECA).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Diante desse contexto, a presente pesquisa busca responder ao seguinte problema de pesquisa: de que forma a prática da alienação parental, reconhecida </w:t>
      </w:r>
      <w:r>
        <w:rPr>
          <w:rFonts w:ascii="Arial" w:hAnsi="Arial"/>
          <w:sz w:val="24"/>
          <w:szCs w:val="24"/>
        </w:rPr>
        <w:lastRenderedPageBreak/>
        <w:t xml:space="preserve">juridicamente pela Lei nº 12.318/2010, apresenta-se no âmbito do Direito de Família, e quais são as consequências jurídicas e os desafios enfrentados pelo Poder Judiciário brasileiro na efetiva proteção desses direitos fundamentais?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Além disso, a escolha do tema justifica-se pela relevância social e jurídica da alienação parental, que afeta diretamente o convívio familiar e a formação emocional da criança. Trata-se de um tema de grande importância no cenário atual, uma vez que envolve conflitos familiares que, muitas vezes, resultam em disputas judiciais pela guarda dos filhos. Além disso, o estudo é significativo por promover uma reflexão crítica sobre a aplicação da Lei nº 12.318/2010, buscando compreender se a legislação tem sido efetiva na proteção da criança e do adolescente em casos de alienação parental.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Dessa forma, a pesquisa tem como objetivo geral analisar a alienação parental no âmbito do Direito de Família, investigando suas consequências jurídicas e examinando a atuação do Poder Judiciário na proteção da criança e do adolescente. Como objetivos específicos, busca-se descrever a alienação parental, identificando seus impactos no desenvolvimento da criança e do adolescente; identificar os casos em que genitores abusadores utilizam indevidamente a lei como forma de proteção; e investigar a atuação do Poder Judiciário na prevenção e repressão da alienação parental, analisando jurisprudências e os desafios enfrentados para a efetiva proteção da criança e do adolescente.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metodologia adotada será de natureza qualitativa, desenvolvida por meio de revisão bibliográfica e documental. Conforme Gil (2022), a pesquisa bibliográfica é realizada a partir de materiais já elaborados, como livros, artigos científicos, legislações e jurisprudências, permitindo uma compreensão crítica e aprofundada sobre o tema. O estudo será delimitado ao contexto jurídico brasileiro, com foco na Lei nº 12.318/2010. Compreendendo decisões e entendimentos do Superior Tribunal de Justiça (STJ) e do Supremo Tribunal Federal (STF), em virtude de seu papel na uniformização da jurisprudência nacional.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pesquisa será estruturada em três </w:t>
      </w:r>
      <w:r>
        <w:rPr>
          <w:rFonts w:ascii="Arial" w:hAnsi="Arial"/>
          <w:sz w:val="24"/>
          <w:szCs w:val="24"/>
          <w:lang w:val="pt-BR"/>
        </w:rPr>
        <w:t>seções</w:t>
      </w:r>
      <w:r>
        <w:rPr>
          <w:rFonts w:ascii="Arial" w:hAnsi="Arial"/>
          <w:sz w:val="24"/>
          <w:szCs w:val="24"/>
        </w:rPr>
        <w:t xml:space="preserve"> principais. O primeiro abordará a alienação parental, seu conceito, origem e evolução, bem como os principais dispositivos da Lei nº 12.318/2010. O segundo tratará das consequências jurídicas da alienação parental, destacando seus impactos jurídicos, além das penalidades previstas em lei. Por fim, o terceiro capítulo analisará a atuação do Poder Judiciário na proteção da criança e do adolescente, examinando a aplicação prática da legislação, decisões </w:t>
      </w:r>
      <w:r>
        <w:rPr>
          <w:rFonts w:ascii="Arial" w:hAnsi="Arial"/>
          <w:sz w:val="24"/>
          <w:szCs w:val="24"/>
        </w:rPr>
        <w:lastRenderedPageBreak/>
        <w:t xml:space="preserve">jurisprudenciais e os desafios enfrentados para garantir a proteção integral. </w:t>
      </w:r>
    </w:p>
    <w:p w:rsidR="009D60B7" w:rsidRDefault="00425C09">
      <w:pPr>
        <w:spacing w:line="360" w:lineRule="auto"/>
        <w:ind w:left="14"/>
        <w:jc w:val="both"/>
        <w:rPr>
          <w:rFonts w:ascii="Arial" w:hAnsi="Arial"/>
          <w:sz w:val="24"/>
          <w:szCs w:val="24"/>
        </w:rPr>
      </w:pPr>
      <w:r>
        <w:rPr>
          <w:rFonts w:ascii="Arial" w:hAnsi="Arial"/>
          <w:sz w:val="24"/>
          <w:szCs w:val="24"/>
        </w:rPr>
        <w:t xml:space="preserve"> </w:t>
      </w:r>
    </w:p>
    <w:p w:rsidR="009D60B7" w:rsidRPr="00E8635F" w:rsidRDefault="00425C09">
      <w:pPr>
        <w:spacing w:line="360" w:lineRule="auto"/>
        <w:ind w:right="42"/>
        <w:jc w:val="both"/>
        <w:rPr>
          <w:rFonts w:ascii="Arial" w:hAnsi="Arial"/>
          <w:bCs/>
          <w:sz w:val="24"/>
          <w:szCs w:val="24"/>
        </w:rPr>
      </w:pPr>
      <w:r w:rsidRPr="00E8635F">
        <w:rPr>
          <w:rFonts w:ascii="Arial" w:hAnsi="Arial"/>
          <w:bCs/>
          <w:sz w:val="24"/>
          <w:szCs w:val="24"/>
          <w:lang w:val="pt-BR"/>
        </w:rPr>
        <w:t xml:space="preserve">1 </w:t>
      </w:r>
      <w:r w:rsidRPr="00E8635F">
        <w:rPr>
          <w:rFonts w:ascii="Arial" w:hAnsi="Arial"/>
          <w:bCs/>
          <w:sz w:val="24"/>
          <w:szCs w:val="24"/>
        </w:rPr>
        <w:t xml:space="preserve">ALIENAÇÃO PARENTAL: CONCEITO, ORIGEM E EVOLUÇÃO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O presente capítulo aborda a alienação parental, explorando inicialmente sua origem e evolução como conceito. Em sequência, será analisada a legislação específica que trata do tema, destacando a Lei nº 12.318/2010 e seus principais dispositivos, os quais objetivam prevenir e coibir a prática da alienação, protegendo os direitos da criança e do adolescente.  </w:t>
      </w:r>
    </w:p>
    <w:p w:rsidR="009D60B7" w:rsidRDefault="00425C09">
      <w:pPr>
        <w:spacing w:line="360" w:lineRule="auto"/>
        <w:ind w:left="14"/>
        <w:jc w:val="both"/>
        <w:rPr>
          <w:rFonts w:ascii="Arial" w:hAnsi="Arial"/>
          <w:sz w:val="24"/>
          <w:szCs w:val="24"/>
        </w:rPr>
      </w:pPr>
      <w:r>
        <w:rPr>
          <w:rFonts w:ascii="Arial" w:hAnsi="Arial"/>
          <w:b/>
          <w:sz w:val="24"/>
          <w:szCs w:val="24"/>
        </w:rPr>
        <w:t xml:space="preserve"> </w:t>
      </w:r>
    </w:p>
    <w:p w:rsidR="009D60B7" w:rsidRDefault="00425C09">
      <w:pPr>
        <w:spacing w:line="360" w:lineRule="auto"/>
        <w:ind w:left="-1" w:right="42"/>
        <w:jc w:val="both"/>
        <w:rPr>
          <w:rFonts w:ascii="Arial" w:hAnsi="Arial"/>
          <w:sz w:val="24"/>
          <w:szCs w:val="24"/>
        </w:rPr>
      </w:pPr>
      <w:r>
        <w:rPr>
          <w:rFonts w:ascii="Arial" w:hAnsi="Arial"/>
          <w:sz w:val="24"/>
          <w:szCs w:val="24"/>
        </w:rPr>
        <w:t>1.1. Origem e evolução do conceito de alienação parental</w:t>
      </w:r>
      <w:r>
        <w:rPr>
          <w:rFonts w:ascii="Arial" w:hAnsi="Arial"/>
          <w:b/>
          <w:sz w:val="24"/>
          <w:szCs w:val="24"/>
        </w:rPr>
        <w:t xml:space="preserv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O conceito de alienação parental começou a ser discutido a partir da década de 1980 nos Estados Unidos, quando pesquisadores e profissionais da psicologia e do direito de família passaram a identificar comportamentos em que um dos genitores influenciava negativamente a criança, levando-a a rejeitar injustificadamente o outro responsável. Essa prática resultava em prejuízos emocionais significativos, como ansiedade, insegurança e ruptura dos vínculos afetivos.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Entre os estudiosos que analisaram o fenômeno sob uma perspectiva relacional, Kelly e Johnston (2001) destacam que situações de alta conflituosidade entre os pais podem criar um ambiente emocionalmente instável para a criança, dificultando sua adaptação ao processo de separação. Os autores afirmam que o envolvimento dos filhos nos conflitos adultos gera sobrecarga emocional e pode contribuir para a formação de alianças disfuncionais ou rejeições injustificadas.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Dessa forma, a alienação parental caracteriza-se pela manipulação da criança, que é levada a rejeitar um dos genitores sem justificativa. Nesses casos, o menor frequentemente desqualifica o outro genitor, tornando-se um instrumento de persuasão motivado pelo ressentimento ou sentimento de injustiça entre os adultos envolvidos, comprometendo sua percepção sobre relações familiares saudáveis (Gonçalves, 2018).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Com isso, a publicação da Lei de Alienação Parental, em 2010, reforçou a proteção jurídica da criança e do adolescente, conferindo maior poder aos magistrados para assegurar a convivência familiar. Conforme Gonçalves (2018), a Constituição Federal de 1988 já previa a proteção integral do menor, determinando que ele deve estar resguardado de abusos, negligência e violência, cabendo à família, à sociedade e ao Estado zelar pelo seu bem-estar. </w:t>
      </w:r>
    </w:p>
    <w:p w:rsidR="009D60B7" w:rsidRDefault="00425C09">
      <w:pPr>
        <w:spacing w:line="360" w:lineRule="auto"/>
        <w:ind w:left="14" w:firstLine="708"/>
        <w:jc w:val="both"/>
        <w:rPr>
          <w:rFonts w:ascii="Arial" w:hAnsi="Arial"/>
          <w:sz w:val="24"/>
          <w:szCs w:val="24"/>
        </w:rPr>
      </w:pPr>
      <w:r>
        <w:rPr>
          <w:rFonts w:ascii="Arial" w:hAnsi="Arial"/>
          <w:sz w:val="24"/>
          <w:szCs w:val="24"/>
        </w:rPr>
        <w:lastRenderedPageBreak/>
        <w:t xml:space="preserve">Nesse sentido para Madaleno (2023), o processo de alienação parental configura abuso psicológico, manifestando-se por medo, hostilidade ou desrespeito injustificado em relação ao genitor alienado. Comumente associado a separações litigiosas, esse comportamento prejudica o desenvolvimento saudável da criança e interfere na preservação dos princípios fundamentais de direitos humanos e de proteção infantil.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Diante disso, em situações mais graves, o alienador insere falsas memórias na mente da criança, incluindo alegações de abuso físico ou sexual. Essa manipulação sistemática provoca insegurança, ansiedade, culpa e angústia, tornando a percepção da realidade confusa para o menor e aprofundando os danos emocionais decorrentes do afastamento do genitor alienado (Madaleno, 2023).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Com isso, a jurisprudência brasileira evidencia a gravidade do fenômeno, mostrando casos em que o guardião tenta romper os vínculos da criança com o outro genitor por vias legais. Figueiredo (2025), destaca por exemplo, decisões do Tribunal de Justiça do Rio Grande do Sul ressaltam que a criação de vínculos com terceiros não justifica a destituição do poder familiar, quando há intenção de impedir o contato do menor com o genitor biológico.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Dessa forma, a alienação parental pode envolver múltiplos agentes, não se restringindo apenas ao guardião. Familiares, tutores ou pessoas com influência sobre a criança podem atuar como alienadores, ampliando os contextos de manipulação. Isso demonstra que o fenômeno não se limita à disputa pela guarda, mas se estende a diversos conflitos familiares que afetam a integridade emocional do menor (Figueiredo, 2025).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Além disso, o conceito de alienação parental abrange comportamentos conscientes ou inconscientes que perturbam a relação da criança com o outro genitor, indo além de questões de guarda. Disputas por bens, alimentos ou novas famílias, associadas à manipulação emocional e relatos induzidos, podem causar ansiedade, depressão, agressividade e problemas de identidade, comprometendo o desenvolvimento saudável da criança e o equilíbrio familiar.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Portanto, após compreender a origem e a evolução do conceito de alienação parental, percebe-se a importância de analisar o arcabouço legal que protege os direitos da criança e do adolescente. A Lei nº 12.318/2010 surge como instrumento fundamental para coibir a prática da alienação, estabelecendo mecanismos de prevenção, responsabilização e proteção dos menores. Este entendimento nos conduz </w:t>
      </w:r>
      <w:r>
        <w:rPr>
          <w:rFonts w:ascii="Arial" w:hAnsi="Arial"/>
          <w:sz w:val="24"/>
          <w:szCs w:val="24"/>
        </w:rPr>
        <w:lastRenderedPageBreak/>
        <w:t xml:space="preserve">naturalmente à análise de seus principais dispositivos e impactos na proteção familiar. </w:t>
      </w:r>
    </w:p>
    <w:p w:rsidR="009D60B7" w:rsidRDefault="00425C09">
      <w:pPr>
        <w:spacing w:line="360" w:lineRule="auto"/>
        <w:ind w:left="14"/>
        <w:jc w:val="both"/>
        <w:rPr>
          <w:rFonts w:ascii="Arial" w:hAnsi="Arial"/>
          <w:sz w:val="24"/>
          <w:szCs w:val="24"/>
        </w:rPr>
      </w:pPr>
      <w:r>
        <w:rPr>
          <w:rFonts w:ascii="Arial" w:hAnsi="Arial"/>
          <w:sz w:val="24"/>
          <w:szCs w:val="24"/>
        </w:rPr>
        <w:t xml:space="preserve"> </w:t>
      </w:r>
    </w:p>
    <w:p w:rsidR="009D60B7" w:rsidRDefault="00425C09">
      <w:pPr>
        <w:spacing w:line="360" w:lineRule="auto"/>
        <w:ind w:left="-1" w:right="42"/>
        <w:jc w:val="both"/>
        <w:rPr>
          <w:rFonts w:ascii="Arial" w:hAnsi="Arial"/>
          <w:sz w:val="24"/>
          <w:szCs w:val="24"/>
        </w:rPr>
      </w:pPr>
      <w:r>
        <w:rPr>
          <w:rFonts w:ascii="Arial" w:hAnsi="Arial"/>
          <w:sz w:val="24"/>
          <w:szCs w:val="24"/>
        </w:rPr>
        <w:t>1.2. A L</w:t>
      </w:r>
      <w:r>
        <w:rPr>
          <w:rFonts w:ascii="Arial" w:hAnsi="Arial"/>
          <w:sz w:val="24"/>
          <w:szCs w:val="24"/>
          <w:lang w:val="pt-BR"/>
        </w:rPr>
        <w:t>ei n</w:t>
      </w:r>
      <w:r>
        <w:rPr>
          <w:rFonts w:ascii="Arial" w:hAnsi="Arial"/>
          <w:sz w:val="24"/>
          <w:szCs w:val="24"/>
        </w:rPr>
        <w:t xml:space="preserve">º 12.318/2010 e seus principais dispositivos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Lei 12.318/2010, conhecida como a Lei da Alienação Parental, é apresentada como um grande marco da legislação brasileira, reconhecendo a prática de alienação parental como um fator prejudicial ao desenvolvimento psicológico da criança afetada. O intuito desta Lei é dar ênfase de forma processual, bem como criar medidas protetivas em relação a algumas condutas que dificultam o vínculo entre a criança e o genitor, cuidando judicialmente que exista a preservação do melhor interesse para a criança, principalmente no que diz respeito ao crescimento, manutenção da educação, e principalmente do relacionamento afetivo com seus genitores.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Deste modo, segundo Silva Barros (2018), percebe-se que o legislador procurou, através do Princípio do Interesse do Menor, garantir o princípio da Dignidade Humana que se encontra normatizado no Artigo 5°, caput, bem como no artigo 1º, ambos da Constituição Federal de 1988, uma vez que ao longo da história, a criança e ao adolescente se encontravam à mercê do poder familiar patriarcal. Não obstante, visando a garantia de direitos da criança e do adolescente, o Estatuto da Criança e do Adolescente (ECA), enseja no artigo 3º: </w:t>
      </w:r>
    </w:p>
    <w:p w:rsidR="009D60B7" w:rsidRDefault="00425C09">
      <w:pPr>
        <w:spacing w:line="360" w:lineRule="auto"/>
        <w:ind w:left="722"/>
        <w:jc w:val="both"/>
        <w:rPr>
          <w:rFonts w:ascii="Arial" w:hAnsi="Arial"/>
          <w:sz w:val="24"/>
          <w:szCs w:val="24"/>
        </w:rPr>
      </w:pPr>
      <w:r>
        <w:rPr>
          <w:rFonts w:ascii="Arial" w:hAnsi="Arial"/>
          <w:sz w:val="24"/>
          <w:szCs w:val="24"/>
        </w:rPr>
        <w:t xml:space="preserve"> </w:t>
      </w:r>
    </w:p>
    <w:p w:rsidR="009D60B7" w:rsidRDefault="00425C09">
      <w:pPr>
        <w:spacing w:after="20"/>
        <w:ind w:left="2283"/>
        <w:jc w:val="both"/>
        <w:rPr>
          <w:rFonts w:ascii="Arial" w:hAnsi="Arial"/>
          <w:sz w:val="20"/>
          <w:szCs w:val="20"/>
        </w:rPr>
      </w:pPr>
      <w:r>
        <w:rPr>
          <w:rFonts w:ascii="Arial" w:hAnsi="Arial"/>
          <w:sz w:val="20"/>
          <w:szCs w:val="20"/>
        </w:rPr>
        <w:t>Art. 3º A criança e ao adolescente gozam de todos os direitos fundamentais inerentes à pessoa humana, sem prejuízo da proteção integral de que trata esta Lei, assegurando-lhes, por lei ou por outros meios, todas as oportunidades e facilidades, a fim de lhes facultar o desenvolvimento físico, mental, moral, espiritual e social, em condições de liberdade e de dignidade (Brasil, 1990</w:t>
      </w:r>
      <w:r>
        <w:rPr>
          <w:rFonts w:ascii="Arial" w:hAnsi="Arial"/>
          <w:sz w:val="20"/>
          <w:szCs w:val="20"/>
          <w:lang w:val="pt-BR"/>
        </w:rPr>
        <w:t xml:space="preserve">, </w:t>
      </w:r>
      <w:r>
        <w:rPr>
          <w:rFonts w:ascii="Arial" w:hAnsi="Arial"/>
          <w:i/>
          <w:iCs/>
          <w:sz w:val="20"/>
          <w:szCs w:val="20"/>
          <w:lang w:val="pt-BR"/>
        </w:rPr>
        <w:t>online</w:t>
      </w:r>
      <w:r>
        <w:rPr>
          <w:rFonts w:ascii="Arial" w:hAnsi="Arial"/>
          <w:sz w:val="20"/>
          <w:szCs w:val="20"/>
        </w:rPr>
        <w:t xml:space="preserve">). </w:t>
      </w:r>
    </w:p>
    <w:p w:rsidR="009D60B7" w:rsidRDefault="00425C09">
      <w:pPr>
        <w:spacing w:after="144" w:line="259" w:lineRule="auto"/>
        <w:ind w:left="864"/>
        <w:jc w:val="both"/>
        <w:rPr>
          <w:rFonts w:ascii="Arial" w:hAnsi="Arial"/>
          <w:sz w:val="20"/>
          <w:szCs w:val="20"/>
        </w:rPr>
      </w:pPr>
      <w:r>
        <w:rPr>
          <w:rFonts w:ascii="Arial" w:eastAsia="Arial" w:hAnsi="Arial" w:cs="Arial"/>
          <w:sz w:val="20"/>
          <w:szCs w:val="20"/>
        </w:rPr>
        <w:t xml:space="preserv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Com isso, o artigo 2º da Lei 12.318/2010, identifica de modo objetivo, como sendo alienação parental, a interferência na formação psicológica da criança induzida por um dos genitores, com a finalidade de criar um conflito entre um dos genitores e a criança, prejudicando o vínculo parental. Logo, condutas que configuram a alienação parental, se intensificam na dificuldade de contato com um de seus genitores devido a escolha do outro, informando a criança de fatos que podem causar uma distorção da imagem do outro genitor, impedindo que o genitor participe de decisões relacionadas a criança, de forma direta ou indireta, até mesmo induzindo a criança a dizer que não gosta do genitor, dentre muitos outros exemplos (Brasil, 2010). </w:t>
      </w:r>
    </w:p>
    <w:p w:rsidR="009D60B7" w:rsidRDefault="00425C09">
      <w:pPr>
        <w:spacing w:line="360" w:lineRule="auto"/>
        <w:ind w:left="-1" w:right="42" w:firstLine="698"/>
        <w:jc w:val="both"/>
        <w:rPr>
          <w:rFonts w:ascii="Arial" w:hAnsi="Arial"/>
          <w:sz w:val="24"/>
          <w:szCs w:val="24"/>
        </w:rPr>
      </w:pPr>
      <w:r>
        <w:rPr>
          <w:rFonts w:ascii="Arial" w:hAnsi="Arial"/>
          <w:sz w:val="24"/>
          <w:szCs w:val="24"/>
        </w:rPr>
        <w:lastRenderedPageBreak/>
        <w:t xml:space="preserve">Desta maneira, o poder familiar torna-se impossível, e pode, de acordo com o poder judiciário, ser reconhecido o ato e ser sancionado. Gonçalves (2011), afirma que a perda do poder familiar constitui espécie de extinção, podendo ser determinada por decisão judicial, nos termos do artigo 1.635, V, e 1.638. Assim como a suspensão, constitui sanção aplicada aos pais pela infração ao dever genérico de exercer a pátria em consonância com as normas regulamentares, visando atender o melhor interesse do menor.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Conforme, o artigo 4º </w:t>
      </w:r>
      <w:r>
        <w:rPr>
          <w:rFonts w:ascii="Arial" w:hAnsi="Arial"/>
          <w:sz w:val="24"/>
          <w:szCs w:val="24"/>
          <w:lang w:val="pt-BR"/>
        </w:rPr>
        <w:t xml:space="preserve">da Lei 12.318 (2010) </w:t>
      </w:r>
      <w:r>
        <w:rPr>
          <w:rFonts w:ascii="Arial" w:hAnsi="Arial"/>
          <w:sz w:val="24"/>
          <w:szCs w:val="24"/>
        </w:rPr>
        <w:t xml:space="preserve">estabelece medidas em que o juiz pode aplicar de forma isolada ou não, de acordo com a gravidade do caso, sem que exista um prejuízo das esferas cíveis, penais e administrativas. Medidas como: advertência e multa ao alienador, ampliar o regime de convivência em favor do genitor prejudicado e até mesmo alteração da guarda.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O conselho nacional de justiça, informa que a lei tem investigações de alegação em ações que são autônomas ou incidentais, prevendo a atuação de uma equipe técnica para uma avaliação mais profunda a respeito da intensidade dos atos de alienação parental.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Dias (2022) fala a respeito da Lei 14.340/2022 que é uma evolução natural da 12.318/2010, onde complementa o objetivo de proporcionar uma proteção mais eficiente ao interesse da criança. E ainda ressaltado que a caracterização deve exigir provas a respeito das condutas reiteradas e dolosas, que são voltadas a romper ou prejudicar o vínculo entre a criança e o genitor, não sendo suficiente os atos isolados sem a reiteração. A atuação judicial, segundo alguns relatórios e decisões tomadas, a tendência é sempre priorizar as medidas que podem restabelecer a convivência, ao invés de tomar decisões punitivas de uma forma imediata. </w:t>
      </w:r>
    </w:p>
    <w:p w:rsidR="009D60B7" w:rsidRDefault="00425C09">
      <w:pPr>
        <w:spacing w:line="360" w:lineRule="auto"/>
        <w:ind w:left="-1" w:right="42" w:firstLine="698"/>
        <w:jc w:val="both"/>
        <w:rPr>
          <w:rFonts w:ascii="Arial" w:hAnsi="Arial"/>
          <w:sz w:val="24"/>
          <w:szCs w:val="24"/>
        </w:rPr>
      </w:pPr>
      <w:r>
        <w:rPr>
          <w:rFonts w:ascii="Arial" w:hAnsi="Arial"/>
          <w:sz w:val="24"/>
          <w:szCs w:val="24"/>
        </w:rPr>
        <w:t>Contudo segundo os dados informados pelo Diagnóstico Nacional Da Primeira Infância de 2015 a 2021, embora seja um instrumento importante para a proteção desses direitos de convivência, existem algumas questões que são metodológicas que dificultam algumas estimativas precisas sobre sua incidência no Brasil. Alguns relatórios apresentados podem até mesmo apontar um p</w:t>
      </w:r>
      <w:r>
        <w:rPr>
          <w:rFonts w:ascii="Arial" w:hAnsi="Arial"/>
          <w:sz w:val="24"/>
          <w:szCs w:val="24"/>
          <w:lang w:val="pt-BR"/>
        </w:rPr>
        <w:t>e</w:t>
      </w:r>
      <w:r>
        <w:rPr>
          <w:rFonts w:ascii="Arial" w:hAnsi="Arial"/>
          <w:sz w:val="24"/>
          <w:szCs w:val="24"/>
        </w:rPr>
        <w:t xml:space="preserve">rcentual, portanto, são casos muito frequentes em demandas do Direito de Família e que existe uma variação considerável na forma como os magistrados e peritos interpretam e aplicam a norma. Os estudos empíricos e as revisões críticas podem analisar a aplicação dessa lei e seus riscos, identificando assim as melhores práticas (Brasil, 2019). </w:t>
      </w:r>
    </w:p>
    <w:p w:rsidR="009D60B7" w:rsidRDefault="00425C09">
      <w:pPr>
        <w:spacing w:line="360" w:lineRule="auto"/>
        <w:ind w:left="-1" w:right="42" w:firstLine="698"/>
        <w:jc w:val="both"/>
        <w:rPr>
          <w:rFonts w:ascii="Arial" w:hAnsi="Arial"/>
          <w:sz w:val="24"/>
          <w:szCs w:val="24"/>
        </w:rPr>
      </w:pPr>
      <w:r>
        <w:rPr>
          <w:rFonts w:ascii="Arial" w:hAnsi="Arial"/>
          <w:sz w:val="24"/>
          <w:szCs w:val="24"/>
        </w:rPr>
        <w:lastRenderedPageBreak/>
        <w:t xml:space="preserve">Segundo o Superior Tribunal de Justiça, existe a necessidade de produção de provas que comprovem o ato, para que haja a decretação da alienação parental. Deste modo, exige uma análise técnica e cautelosa mais profunda para a aplicação de sanções que possam, de fato, priorizar o interesse do menor. Logo, muitos precedentes, impondo o acompanhamento psicológico e a fixação de regimes para a convivência, aparecem como algumas medidas preferenciais (Brasil, 2019).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Portanto, a Lei nº 12.318/2010 constitui um avanço legislativo reconhecido e tipificado para um conjunto de condutas que podem lesar o direito de convivência do menor e seu(a) genitor(a). Desta maneira, medidas que privilegiam a reparação do vínculo aplicado como uma cautela para a não instrumentalização da criança em uma disputa entre adultos, devem ser adotadas como remédio para o conflito. </w:t>
      </w:r>
    </w:p>
    <w:p w:rsidR="009D60B7" w:rsidRDefault="00425C09">
      <w:pPr>
        <w:spacing w:after="115" w:line="360" w:lineRule="auto"/>
        <w:ind w:left="722"/>
        <w:jc w:val="both"/>
        <w:rPr>
          <w:rFonts w:ascii="Arial" w:hAnsi="Arial"/>
          <w:sz w:val="24"/>
          <w:szCs w:val="24"/>
        </w:rPr>
      </w:pPr>
      <w:r>
        <w:rPr>
          <w:rFonts w:ascii="Arial" w:hAnsi="Arial"/>
          <w:sz w:val="24"/>
          <w:szCs w:val="24"/>
        </w:rPr>
        <w:t xml:space="preserve"> </w:t>
      </w:r>
    </w:p>
    <w:p w:rsidR="009D60B7" w:rsidRPr="00E8635F" w:rsidRDefault="00425C09">
      <w:pPr>
        <w:spacing w:after="112" w:line="259" w:lineRule="auto"/>
        <w:ind w:right="42"/>
        <w:jc w:val="both"/>
        <w:rPr>
          <w:rFonts w:ascii="Arial" w:hAnsi="Arial"/>
          <w:sz w:val="20"/>
          <w:szCs w:val="20"/>
        </w:rPr>
      </w:pPr>
      <w:r w:rsidRPr="00E8635F">
        <w:rPr>
          <w:rFonts w:ascii="Arial" w:hAnsi="Arial"/>
          <w:bCs/>
          <w:sz w:val="24"/>
          <w:szCs w:val="24"/>
          <w:lang w:val="pt-BR"/>
        </w:rPr>
        <w:t xml:space="preserve">2 </w:t>
      </w:r>
      <w:r w:rsidRPr="00E8635F">
        <w:rPr>
          <w:rFonts w:ascii="Arial" w:hAnsi="Arial"/>
          <w:bCs/>
          <w:sz w:val="24"/>
          <w:szCs w:val="24"/>
        </w:rPr>
        <w:t xml:space="preserve">CONSEQUÊNCIAS JURÍDICAS DA ALIENAÇÃO PARENTAL </w:t>
      </w:r>
      <w:r w:rsidRPr="00E8635F">
        <w:rPr>
          <w:rFonts w:ascii="Arial" w:hAnsi="Arial"/>
          <w:sz w:val="20"/>
          <w:szCs w:val="20"/>
        </w:rPr>
        <w:t xml:space="preserv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O presente </w:t>
      </w:r>
      <w:r>
        <w:rPr>
          <w:rFonts w:ascii="Arial" w:hAnsi="Arial"/>
          <w:sz w:val="24"/>
          <w:szCs w:val="24"/>
          <w:lang w:val="pt-BR"/>
        </w:rPr>
        <w:t>tópico</w:t>
      </w:r>
      <w:r>
        <w:rPr>
          <w:rFonts w:ascii="Arial" w:hAnsi="Arial"/>
          <w:sz w:val="24"/>
          <w:szCs w:val="24"/>
        </w:rPr>
        <w:t xml:space="preserve"> aborda as consequências jurídicas da alienação parental, analisando sua configuração como violação aos direitos da criança e do adolescente. Examina-se, ainda, as medidas legais aplicáveis aos genitores e responsáveis, bem como os questionamentos acerca do uso indevido da Lei nº 12.318/2010. </w:t>
      </w:r>
    </w:p>
    <w:p w:rsidR="009D60B7" w:rsidRDefault="009D60B7">
      <w:pPr>
        <w:spacing w:line="360" w:lineRule="auto"/>
        <w:ind w:left="-1" w:right="42" w:firstLine="698"/>
        <w:jc w:val="both"/>
        <w:rPr>
          <w:rFonts w:ascii="Arial" w:hAnsi="Arial"/>
          <w:sz w:val="24"/>
          <w:szCs w:val="24"/>
        </w:rPr>
      </w:pPr>
    </w:p>
    <w:p w:rsidR="009D60B7" w:rsidRDefault="00425C09">
      <w:pPr>
        <w:spacing w:line="360" w:lineRule="auto"/>
        <w:ind w:left="-1" w:right="42"/>
        <w:jc w:val="both"/>
        <w:rPr>
          <w:rFonts w:ascii="Arial" w:hAnsi="Arial"/>
          <w:sz w:val="24"/>
          <w:szCs w:val="24"/>
        </w:rPr>
      </w:pPr>
      <w:r>
        <w:rPr>
          <w:rFonts w:ascii="Arial" w:hAnsi="Arial"/>
          <w:sz w:val="24"/>
          <w:szCs w:val="24"/>
          <w:lang w:val="pt-BR"/>
        </w:rPr>
        <w:t>2</w:t>
      </w:r>
      <w:r>
        <w:rPr>
          <w:rFonts w:ascii="Arial" w:hAnsi="Arial"/>
          <w:sz w:val="24"/>
          <w:szCs w:val="24"/>
        </w:rPr>
        <w:t>.1 Alienação parental como violação ao direito da criança e do adolescente</w:t>
      </w:r>
      <w:r>
        <w:rPr>
          <w:rFonts w:ascii="Arial" w:hAnsi="Arial"/>
          <w:b/>
          <w:sz w:val="24"/>
          <w:szCs w:val="24"/>
        </w:rPr>
        <w:t xml:space="preserv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proteção integral à criança e ao adolescente no Brasil resulta de um processo histórico marcado por avanços normativos graduais, culminando na Constituição Federal de 1988 e no Estatuto da Criança e do Adolescente (ECA). Antes desse marco, prevaleciam legislações de caráter repressivo, voltadas à punição de menores em situação de abandono ou conflito com a lei, sem reconhecimento de direitos fundamentais ou da dignidade humana.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No início do século XX, a criação do Instituto de Proteção e Assistência à Infância, no Rio de Janeiro, representou a primeira iniciativa estatal voltada à infância, ainda que marcada por forte viés assistencialista. Nesse contexto, consolidou-se a distinção entre “criança” e “menor”, sendo este último associado à marginalização social, o que reforçava práticas excludentes e discriminatórias no tratamento jurídico da infância (Nascimento, 2020).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Com isso, a mudança de paradigma teve início no plano internacional com a </w:t>
      </w:r>
      <w:r>
        <w:rPr>
          <w:rFonts w:ascii="Arial" w:hAnsi="Arial"/>
          <w:sz w:val="24"/>
          <w:szCs w:val="24"/>
        </w:rPr>
        <w:lastRenderedPageBreak/>
        <w:t xml:space="preserve">Declaração dos Direitos da Criança, aprovada pela Assembleia Geral da ONU em 1959, que reconheceu a criança como sujeito de direitos universais. Segundo Nascimento (2020), no Brasil, essa concepção foi incorporada pela Constituição Federal de 1988, especialmente nos artigos 226 a 230, e consolidada pelo ECA, que instituiu os princípios da proteção integral, da prioridade absoluta e da dignidade da pessoa humana em desenvolvimento.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Entre os princípios estruturantes da proteção infantojuvenil, destaca-se o da prioridade absoluta, previsto no artigo 227 da Constituição Federal e no artigo 4º do ECA. Esse princípio impõe à família, à sociedade e ao Estado o dever de assegurar, com primazia, direitos fundamentais como convivência familiar, respeito, dignidade e desenvolvimento pleno, conforme destaca Dias (2023).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Nesse cenário normativo, o direito à convivência familiar saudável assume centralidade, sendo diretamente violado nos casos de alienação parental. Tal prática caracteriza-se pela manipulação psicológica da criança ou do adolescente por um dos genitores ou responsáveis, com o objetivo de afastá-lo do outro, comprometendo sua formação emocional, afetiva e social (Bernardes, 2024).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Dessa forma, a Lei nº 12.318/2010 define a alienação parental como interferência na formação psicológica da criança ou do adolescente, capaz de induzir ao repúdio injustificado ao outro genitor. Segundo Bernardes (2024), esse processo cria uma percepção maniqueísta da realidade familiar, na qual a criança passa a enxergar um genitor como inteiramente bom e o outro como totalmente mau, resultado de manipulação emocional, muitas vezes inconsciente.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Dias (2023), ao estudar conflitos de guarda, identificou padrões recorrentes da denominada Síndrome da Alienação Parental, como campanhas de desqualificação, ausência de ambivalência afetiva e implantação de falsas memórias. Reforçando que tais práticas acarretam danos profundos à saúde psíquica da criança ou adolescente, refletindo negativamente em seu desempenho escolar, social e emocional.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Portanto, a alienação parental configura grave violação aos direitos fundamentais da criança e do adolescente, conforme reconhece expressamente o artigo 3º da Lei nº 12.318/2010. Diante da omissão da família ou da sociedade, impõe-se a intervenção estatal para assegurar o melhor interesse do menor, preservar sua dignidade e garantir o direito à convivência familiar saudável, em consonância com a Constituição Federal de 1988 e os princípios do ECA. </w:t>
      </w:r>
    </w:p>
    <w:p w:rsidR="009D60B7" w:rsidRDefault="00425C09">
      <w:pPr>
        <w:spacing w:line="360" w:lineRule="auto"/>
        <w:ind w:left="14"/>
        <w:jc w:val="both"/>
        <w:rPr>
          <w:rFonts w:ascii="Arial" w:hAnsi="Arial"/>
          <w:sz w:val="24"/>
          <w:szCs w:val="24"/>
        </w:rPr>
      </w:pPr>
      <w:r>
        <w:rPr>
          <w:rFonts w:ascii="Arial" w:hAnsi="Arial"/>
          <w:sz w:val="24"/>
          <w:szCs w:val="24"/>
        </w:rPr>
        <w:lastRenderedPageBreak/>
        <w:t xml:space="preserve"> </w:t>
      </w:r>
    </w:p>
    <w:p w:rsidR="009D60B7" w:rsidRDefault="00425C09">
      <w:pPr>
        <w:spacing w:line="360" w:lineRule="auto"/>
        <w:ind w:left="-1" w:right="42"/>
        <w:jc w:val="both"/>
        <w:rPr>
          <w:rFonts w:ascii="Arial" w:hAnsi="Arial"/>
          <w:sz w:val="24"/>
          <w:szCs w:val="24"/>
        </w:rPr>
      </w:pPr>
      <w:r>
        <w:rPr>
          <w:rFonts w:ascii="Arial" w:hAnsi="Arial"/>
          <w:sz w:val="24"/>
          <w:szCs w:val="24"/>
        </w:rPr>
        <w:t xml:space="preserve">2.2 Consequências jurídicas para os genitores e responsáveis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alienação parental constitui grave violação aos direitos fundamentais da criança e do adolescente, especialmente ao direito à convivência familiar saudável, conforme expressamente previsto no artigo 3º da Lei nº 12.318/2010. Tal prática compromete a realização de afeto nas relações familiares, configura abuso moral e representa descumprimento dos deveres inerentes à autoridade parental.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Diante da suspeita ou constatação de alienação parental, torna-se essencial a produção de prova técnica, especialmente por meio de laudos psicológicos ou biopsicossociais. Esses instrumentos permitem avaliar o estado emocional da criança ou adolescente e identificar os prejuízos decorrentes da manipulação afetiva, subsidiando a atuação do Poder Judiciário na adoção de medidas adequadas (Silveira, 2023).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Segundo Silveira (2023), confirmada a prática de atos de alienação parental, o juiz poderá aplicar sanções jurídicas proporcionais à gravidade da conduta, conforme prevê a Lei nº 12.318/2010. Entre as medidas possíveis estão a advertência, a imposição de multa, a ampliação do regime de convivência do genitor alienado e, nos casos mais graves, a alteração ou a inversão da guarda.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Além disso, a legislação adota um rol exemplificativo de medidas, permitindo ao magistrado avaliar outras providências cabíveis conforme as peculiaridades do caso concreto. Conforme Siqueira (2024), essa flexibilidade decorre do reconhecimento de que a alienação parental pode se manifestar de diversas formas e em diferentes graus de intensidade, exigindo respostas jurisdicionais individualizadas.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Dessa forma, a jurisprudência tem reafirmado a possibilidade de alteração da guarda como instrumento legítimo de proteção ao melhor interesse da criança. Exemplo disso é o entendimento do Tribunal de Justiça do Paraná, no Agravo de Instrumento nº 823738-3, julgado em 2012, que manteve a transferência da guarda ao genitor alienado diante da prática comprovada de alienação parental, em observância à Lei nº 12.318/2010 (Brasil, 2010).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Embora a alienação parental não seja tipificada como crime, o ordenamento jurídico brasileiro prevê severas consequências civis e familiares aos responsáveis por sua prática. As medidas judiciais visam não à punição isolada do alienador, mas à restauração dos vínculos afetivos e à proteção da integridade psíquica da criança ou </w:t>
      </w:r>
      <w:r>
        <w:rPr>
          <w:rFonts w:ascii="Arial" w:hAnsi="Arial"/>
          <w:sz w:val="24"/>
          <w:szCs w:val="24"/>
        </w:rPr>
        <w:lastRenderedPageBreak/>
        <w:t xml:space="preserve">adolescente (Siqueira, 2024).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Com isso, os impactos da alienação parental extrapolam o campo jurídico, alcançando dimensões psicológicas profundas. Estudos citados pelo Instituto Brasileiro de Direito de Família (IBDFAM) e por Carivali e Azevedo (2024) apontam efeitos como ansiedade, depressão, estresse tóxico, dificuldades escolares e prejuízos ao desenvolvimento emocional, especialmente em contextos de conflitos familiares intensos.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Por fim, a intervenção precoce do Poder Judiciário revela-se fundamental para evitar danos irreversíveis à formação da criança ou do adolescente. As consequências jurídicas impostas aos genitores ou responsáveis alienadores têm como finalidade assegurar o melhor interesse do menor, preservar sua dignidade e garantir um ambiente familiar saudável, conforme os princípios constitucionais e estatutários de proteção integral. </w:t>
      </w:r>
    </w:p>
    <w:p w:rsidR="009D60B7" w:rsidRDefault="00425C09">
      <w:pPr>
        <w:spacing w:line="360" w:lineRule="auto"/>
        <w:ind w:left="14"/>
        <w:jc w:val="both"/>
        <w:rPr>
          <w:rFonts w:ascii="Arial" w:hAnsi="Arial"/>
          <w:sz w:val="24"/>
          <w:szCs w:val="24"/>
        </w:rPr>
      </w:pPr>
      <w:r>
        <w:rPr>
          <w:rFonts w:ascii="Arial" w:hAnsi="Arial"/>
          <w:sz w:val="24"/>
          <w:szCs w:val="24"/>
        </w:rPr>
        <w:t xml:space="preserve"> </w:t>
      </w:r>
    </w:p>
    <w:p w:rsidR="009D60B7" w:rsidRDefault="00425C09">
      <w:pPr>
        <w:spacing w:line="360" w:lineRule="auto"/>
        <w:ind w:left="-1" w:right="42"/>
        <w:jc w:val="both"/>
        <w:rPr>
          <w:rFonts w:ascii="Arial" w:hAnsi="Arial"/>
          <w:sz w:val="24"/>
          <w:szCs w:val="24"/>
        </w:rPr>
      </w:pPr>
      <w:r>
        <w:rPr>
          <w:rFonts w:ascii="Arial" w:hAnsi="Arial"/>
          <w:sz w:val="24"/>
          <w:szCs w:val="24"/>
        </w:rPr>
        <w:t xml:space="preserve">2.3 Uso indevido da lei e o questionamento sobre sua aplicação na proteção de abusadores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 Lei nº 12.318/2010, conhecida como Lei de Alienação Parental, foi instituída com o propósito de proteger crianças e adolescentes contra interferências indevidas na formação de vínculos afetivos com seus genitores, especialmente em contextos de separações conflituosas. A norma estende sua aplicação não apenas aos pais, mas também a avós, tutores e demais responsáveis, buscando assegurar o direito fundamental à convivência familiar previsto na Constituição Federal e no Estatuto da Criança e do Adolescente.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Entretanto, a prática forense tem revelado distorções relevantes na aplicação da referida lei, sobretudo quando utilizada como instrumento de retaliação ou coerção processual. Em disputas envolvendo guarda, visitas e alimentos, a alegação de alienação parental passou, em alguns casos, a servir para inverter o polo de vulnerabilidade e deslegitimar denúncias legítimas, deslocando o foco da proteção integral da criança para o conflito entre os adultos envolvidos (Sousa; Lisbino, 2024).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Após os primeiros anos de vigência da lei, intensificaram-se os questionamentos no âmbito do Direito de Família quanto ao uso excessivo e retórico do conceito de alienação parental nas petições judiciais. Sousa e Lisbino (2024), apontam que o crescimento exponencial de alegações e publicações, muitas delas desprovidas de rigor </w:t>
      </w:r>
      <w:r>
        <w:rPr>
          <w:rFonts w:ascii="Arial" w:hAnsi="Arial"/>
          <w:sz w:val="24"/>
          <w:szCs w:val="24"/>
        </w:rPr>
        <w:lastRenderedPageBreak/>
        <w:t xml:space="preserve">científico, dificultou a adequada compreensão do instituto pelo Judiciário, favorecendo interpretações mecânicas e pouco criteriosas.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Sob o ponto de vista científico, Fuller (2024), destaca que a Síndrome da Alienação Parental não foi objeto de estudos consistentes na psiquiatria, em razão da ausência de pesquisas empíricas robustas sobre o tema. Ainda assim, a Lei nº 12.318/2010 incorporou definições que descrevem a alienação parental como interferência psicológica destinada a afastar a criança de um de seus genitores, conforme previsto em seu artigo 2º.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Nesse contexto, críticas relevantes surgem quanto à possibilidade de a lei ser instrumentalizada por genitores abusadores como estratégia defensiva. Conforme alerta Fuller (2024), há situações em que denúncias de abuso ou violência são desqualificadas sob a alegação de alienação parental, configurando grave risco de silenciamento da criança e do genitor denunciante, especialmente em um cenário marcado por desigualdades de gênero.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Dessa forma, o Conselho Nacional de Justiça, atento a essas distorções, editou em 2021 o Protocolo para Julgamento com Perspectiva de Gênero, orientando magistrados a identificarem o uso indevido da Lei de Alienação Parental como forma de enfraquecer denúncias de violência doméstica ou sexual. O documento recomenda a escuta protegida da criança, o depoimento especial e a ampla produção probatória antes de qualquer decisão definitiva, reforçando a centralidade do melhor interesse do menor (Braz, 2022).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Além disso, ainda que se reconheça a existência de acusações falsas, inclusive de abuso sexual, utilizadas como estratégia de litígio familiar, tais situações não podem justificar a banalização do instituto da alienação parental. Conforme entendimento do Judiciário segundo Braz (2022), não se deve utilizar a alienação parental para invalidar, de forma automática, denúncias de violência, sob pena de revitimização da criança e comprometimento da atuação do sistema de proteção. </w:t>
      </w:r>
    </w:p>
    <w:p w:rsidR="009D60B7" w:rsidRDefault="00425C09">
      <w:pPr>
        <w:spacing w:line="360" w:lineRule="auto"/>
        <w:ind w:left="-1" w:right="42" w:firstLine="698"/>
        <w:jc w:val="both"/>
        <w:rPr>
          <w:rFonts w:ascii="Arial" w:hAnsi="Arial"/>
          <w:sz w:val="24"/>
          <w:szCs w:val="24"/>
        </w:rPr>
      </w:pPr>
      <w:r>
        <w:rPr>
          <w:rFonts w:ascii="Arial" w:hAnsi="Arial"/>
          <w:sz w:val="24"/>
          <w:szCs w:val="24"/>
        </w:rPr>
        <w:t xml:space="preserve">Por fim, ressalta-se que a alienação parental, quando devidamente comprovada, deve ser combatida com rigor, pois constitui forma de violência psicológica contra a criança. Todavia, sua aplicação exige cautela, técnica e sensibilidade, de modo que a Lei nº 12.318/2010 não seja convertida em instrumento de opressão ou silenciamento, mas permaneça alinhada à sua finalidade original de proteção integral, conforme os princípios do Estatuto da Criança e do Adolescente e da dignidade da pessoa humana. </w:t>
      </w:r>
    </w:p>
    <w:p w:rsidR="009D60B7" w:rsidRDefault="00425C09">
      <w:pPr>
        <w:spacing w:line="360" w:lineRule="auto"/>
        <w:ind w:left="14"/>
        <w:jc w:val="both"/>
        <w:rPr>
          <w:rFonts w:ascii="Arial" w:hAnsi="Arial"/>
          <w:sz w:val="24"/>
          <w:szCs w:val="24"/>
        </w:rPr>
      </w:pPr>
      <w:r>
        <w:rPr>
          <w:rFonts w:ascii="Arial" w:hAnsi="Arial"/>
          <w:b/>
          <w:sz w:val="24"/>
          <w:szCs w:val="24"/>
        </w:rPr>
        <w:lastRenderedPageBreak/>
        <w:t xml:space="preserve"> </w:t>
      </w:r>
    </w:p>
    <w:p w:rsidR="009D60B7" w:rsidRPr="00E8635F" w:rsidRDefault="00425C09">
      <w:pPr>
        <w:spacing w:line="360" w:lineRule="auto"/>
        <w:ind w:right="42"/>
        <w:jc w:val="both"/>
        <w:rPr>
          <w:rFonts w:ascii="Arial" w:hAnsi="Arial"/>
          <w:sz w:val="24"/>
          <w:szCs w:val="24"/>
        </w:rPr>
      </w:pPr>
      <w:r w:rsidRPr="00E8635F">
        <w:rPr>
          <w:rFonts w:ascii="Arial" w:hAnsi="Arial"/>
          <w:bCs/>
          <w:sz w:val="24"/>
          <w:szCs w:val="24"/>
          <w:lang w:val="pt-BR"/>
        </w:rPr>
        <w:t xml:space="preserve">3 </w:t>
      </w:r>
      <w:r w:rsidRPr="00E8635F">
        <w:rPr>
          <w:rFonts w:ascii="Arial" w:hAnsi="Arial"/>
          <w:bCs/>
          <w:sz w:val="24"/>
          <w:szCs w:val="24"/>
        </w:rPr>
        <w:t xml:space="preserve">A ATUAÇÃO DO PODER JUDICIÁRIO NA PROTEÇÃO DA CRIANÇA E DO ADOLESCENTE  </w:t>
      </w:r>
      <w:r w:rsidRPr="00E8635F">
        <w:rPr>
          <w:rFonts w:ascii="Arial" w:hAnsi="Arial"/>
          <w:sz w:val="24"/>
          <w:szCs w:val="24"/>
        </w:rPr>
        <w:t xml:space="preserve">  </w:t>
      </w:r>
    </w:p>
    <w:p w:rsidR="009D60B7" w:rsidRDefault="00425C09">
      <w:pPr>
        <w:spacing w:line="360" w:lineRule="auto"/>
        <w:ind w:left="-1" w:right="42" w:firstLine="526"/>
        <w:jc w:val="both"/>
        <w:rPr>
          <w:rFonts w:ascii="Arial" w:hAnsi="Arial"/>
          <w:sz w:val="24"/>
          <w:szCs w:val="24"/>
        </w:rPr>
      </w:pPr>
      <w:r>
        <w:rPr>
          <w:rFonts w:ascii="Arial" w:hAnsi="Arial"/>
          <w:sz w:val="24"/>
          <w:szCs w:val="24"/>
        </w:rPr>
        <w:t xml:space="preserve">     A proteção da criança e do adolescente é um dos pilares do ordenamento jurídico, contendo um fundamento plausível no artigo 227 da Constituição Federal de 1988, e no estatuto da criança e do adolescente (Lei nº 8.069/1990). Com base nesses fatos, o poder judiciário acaba exercendo um grande papel para garantir os direitos que são fundamentais a criança e ao adolescente que está em desenvolvimento, principalmente nas situações de conflito familiar, como em casos da alienação parental. Conforme o entendimento de Zapater “Têm por finalidade coesão lógica às normas jurídicas e constitucionais de uma determinada área de estudo e exercício do Direitos, bem como indicar formas de interpretação quando houver conflito ou mesmo ausência de normas específicas diante de um determinado caso concreto submetido à apreciação judicial” (Zapater 2019, p. 72).  </w:t>
      </w:r>
    </w:p>
    <w:p w:rsidR="009D60B7" w:rsidRDefault="00425C09">
      <w:pPr>
        <w:spacing w:line="360" w:lineRule="auto"/>
        <w:ind w:left="-1" w:right="42" w:firstLine="526"/>
        <w:jc w:val="both"/>
        <w:rPr>
          <w:rFonts w:ascii="Arial" w:hAnsi="Arial"/>
          <w:sz w:val="24"/>
          <w:szCs w:val="24"/>
          <w:lang w:val="pt-BR"/>
        </w:rPr>
      </w:pPr>
      <w:r>
        <w:rPr>
          <w:rFonts w:ascii="Arial" w:hAnsi="Arial"/>
          <w:sz w:val="24"/>
          <w:szCs w:val="24"/>
        </w:rPr>
        <w:t xml:space="preserve">    A alienação parental é caracterizada por interferir na formação psicológica da criança e do adolescente, sendo produzida pelo genitor, podendo ser os pais ou por quem detenha sua guarda, sendo o responsável legal. Essa prática acaba violando de forma direta os princípios da dignidade da pessoa humana, e do interesse da criança na convivência familiar saudável, exigindo judicialmente uma atuação firme e técnica. Lucas Coelhos</w:t>
      </w:r>
      <w:r>
        <w:rPr>
          <w:rFonts w:ascii="Arial" w:hAnsi="Arial"/>
          <w:sz w:val="24"/>
          <w:szCs w:val="24"/>
          <w:lang w:val="pt-BR"/>
        </w:rPr>
        <w:t xml:space="preserve"> afirma que:</w:t>
      </w:r>
    </w:p>
    <w:p w:rsidR="009D60B7" w:rsidRDefault="00425C09">
      <w:pPr>
        <w:ind w:leftChars="945" w:left="2079" w:right="43"/>
        <w:jc w:val="both"/>
        <w:rPr>
          <w:rFonts w:ascii="Arial" w:hAnsi="Arial"/>
          <w:sz w:val="24"/>
          <w:szCs w:val="24"/>
        </w:rPr>
      </w:pPr>
      <w:r>
        <w:rPr>
          <w:rFonts w:ascii="Arial" w:hAnsi="Arial"/>
          <w:sz w:val="20"/>
          <w:szCs w:val="20"/>
        </w:rPr>
        <w:t>Os direitos de todas as crianças e adolescentes devem ser universalmente reconhecidos. São direitos especiais e específicos, pela condição de pessoas em desenvolvimento. Assim, as leis internas e o direito de cada sistema nacional devem garantir a satisfação de todas as necessidades das pessoas de até 18 anos, não incluindo apenas o aspecto penal do ato praticado pela ou contra a criança, mas o seu direito à vida, saúde, educação, convivência, lazer, profissionalização, liberdade e outros (Coelhos, 1992</w:t>
      </w:r>
      <w:r>
        <w:rPr>
          <w:rFonts w:ascii="Arial" w:hAnsi="Arial"/>
          <w:sz w:val="20"/>
          <w:szCs w:val="20"/>
          <w:lang w:val="pt-BR"/>
        </w:rPr>
        <w:t>, p. 25</w:t>
      </w:r>
      <w:r>
        <w:rPr>
          <w:rFonts w:ascii="Arial" w:hAnsi="Arial"/>
          <w:sz w:val="20"/>
          <w:szCs w:val="20"/>
        </w:rPr>
        <w:t xml:space="preserve">). </w:t>
      </w:r>
      <w:r>
        <w:rPr>
          <w:rFonts w:ascii="Arial" w:hAnsi="Arial"/>
          <w:sz w:val="24"/>
          <w:szCs w:val="24"/>
        </w:rPr>
        <w:t xml:space="preserve"> </w:t>
      </w:r>
    </w:p>
    <w:p w:rsidR="009D60B7" w:rsidRDefault="009D60B7">
      <w:pPr>
        <w:ind w:leftChars="945" w:left="2079" w:right="43"/>
        <w:jc w:val="both"/>
        <w:rPr>
          <w:rFonts w:ascii="Arial" w:hAnsi="Arial"/>
          <w:sz w:val="24"/>
          <w:szCs w:val="24"/>
        </w:rPr>
      </w:pPr>
    </w:p>
    <w:p w:rsidR="009D60B7" w:rsidRDefault="00425C09">
      <w:pPr>
        <w:spacing w:line="360" w:lineRule="auto"/>
        <w:ind w:left="-1" w:right="42" w:firstLine="526"/>
        <w:jc w:val="both"/>
        <w:rPr>
          <w:rFonts w:ascii="Arial" w:hAnsi="Arial"/>
          <w:sz w:val="24"/>
          <w:szCs w:val="24"/>
        </w:rPr>
      </w:pPr>
      <w:r>
        <w:rPr>
          <w:rFonts w:ascii="Arial" w:hAnsi="Arial"/>
          <w:sz w:val="24"/>
          <w:szCs w:val="24"/>
        </w:rPr>
        <w:t xml:space="preserve">     O poder judiciário não pode se limitar para uma simples resolução de litígio entre os genitores, devendo sempre priorizar a proteção da criança ou do adolescente dentro de seus direitos. Essa atuação judicial deve observar o princípio do interesse da criança, orientando as decisões de preservação do seu desenvolvimento geral. Dessa forma, o magistrado assume uma função ativa, identificando a alienação parental e o impacto dela no vínculo familiar.   </w:t>
      </w:r>
    </w:p>
    <w:p w:rsidR="009D60B7" w:rsidRDefault="00425C09">
      <w:pPr>
        <w:spacing w:line="360" w:lineRule="auto"/>
        <w:ind w:left="-1" w:right="42" w:firstLine="526"/>
        <w:jc w:val="both"/>
        <w:rPr>
          <w:rFonts w:ascii="Arial" w:hAnsi="Arial"/>
          <w:sz w:val="24"/>
          <w:szCs w:val="24"/>
        </w:rPr>
      </w:pPr>
      <w:r>
        <w:rPr>
          <w:rFonts w:ascii="Arial" w:hAnsi="Arial"/>
          <w:sz w:val="24"/>
          <w:szCs w:val="24"/>
        </w:rPr>
        <w:t xml:space="preserve">     A Lei impõe ao judiciário alguns instrumentos que podem ser específicos para coibir e reparar as práticas de alienação, impondo advertência ao alienador, ampliação </w:t>
      </w:r>
      <w:r>
        <w:rPr>
          <w:rFonts w:ascii="Arial" w:hAnsi="Arial"/>
          <w:sz w:val="24"/>
          <w:szCs w:val="24"/>
        </w:rPr>
        <w:lastRenderedPageBreak/>
        <w:t xml:space="preserve">do regime de convivência familiar, aplicação de multa, a alteração da guarda, e em casos que podem ser mais graves, a suspensão da autoridade parental. O juiz ainda pode determinar a realização de estudos psicossociais e perícias técnicas dentro do caso de alienação, que são fundamentais para a identificação real da alienação e para a tomada de decisões que atendam ao interesse da criança ou do adolescente.  </w:t>
      </w:r>
    </w:p>
    <w:p w:rsidR="009D60B7" w:rsidRDefault="009D60B7">
      <w:pPr>
        <w:tabs>
          <w:tab w:val="left" w:pos="440"/>
        </w:tabs>
        <w:spacing w:line="360" w:lineRule="auto"/>
        <w:ind w:right="42"/>
        <w:jc w:val="both"/>
        <w:rPr>
          <w:rFonts w:ascii="Arial" w:hAnsi="Arial"/>
          <w:sz w:val="24"/>
          <w:szCs w:val="24"/>
          <w:lang w:val="pt-BR"/>
        </w:rPr>
      </w:pPr>
    </w:p>
    <w:p w:rsidR="009D60B7" w:rsidRDefault="00425C09">
      <w:pPr>
        <w:tabs>
          <w:tab w:val="left" w:pos="440"/>
        </w:tabs>
        <w:spacing w:line="360" w:lineRule="auto"/>
        <w:ind w:right="42"/>
        <w:jc w:val="both"/>
        <w:rPr>
          <w:rFonts w:ascii="Arial" w:hAnsi="Arial"/>
          <w:sz w:val="24"/>
          <w:szCs w:val="24"/>
        </w:rPr>
      </w:pPr>
      <w:r>
        <w:rPr>
          <w:rFonts w:ascii="Arial" w:hAnsi="Arial"/>
          <w:sz w:val="24"/>
          <w:szCs w:val="24"/>
          <w:lang w:val="pt-BR"/>
        </w:rPr>
        <w:t xml:space="preserve">3.1 </w:t>
      </w:r>
      <w:r>
        <w:rPr>
          <w:rFonts w:ascii="Arial" w:hAnsi="Arial"/>
          <w:sz w:val="24"/>
          <w:szCs w:val="24"/>
        </w:rPr>
        <w:t xml:space="preserve">O Papel constitucional do poder judiciário na garantia dos direitos fundamentais da criança e do adolescente </w:t>
      </w:r>
    </w:p>
    <w:p w:rsidR="009D60B7" w:rsidRDefault="00425C09">
      <w:pPr>
        <w:spacing w:line="360" w:lineRule="auto"/>
        <w:ind w:right="43" w:firstLine="526"/>
        <w:jc w:val="both"/>
        <w:rPr>
          <w:rFonts w:ascii="Arial" w:hAnsi="Arial"/>
          <w:sz w:val="24"/>
          <w:szCs w:val="24"/>
        </w:rPr>
      </w:pPr>
      <w:r>
        <w:rPr>
          <w:rFonts w:ascii="Arial" w:hAnsi="Arial"/>
          <w:sz w:val="24"/>
          <w:szCs w:val="24"/>
        </w:rPr>
        <w:t xml:space="preserve">Pode-se afirmar de forma indireta que o poder Judiciário atua como uma forma de instrumento para a concretização dos direitos fundamentais que interferem em situações de violação ou ameaça a esses direitos, de forma que assegura a aplicação de normas constitucionais, como o Estatuto da Criança e do Adolescente (ECA).  </w:t>
      </w:r>
    </w:p>
    <w:p w:rsidR="009D60B7" w:rsidRDefault="00425C09">
      <w:pPr>
        <w:spacing w:line="360" w:lineRule="auto"/>
        <w:ind w:right="43" w:firstLine="554"/>
        <w:jc w:val="both"/>
        <w:rPr>
          <w:rFonts w:ascii="Arial" w:hAnsi="Arial"/>
          <w:sz w:val="24"/>
          <w:szCs w:val="24"/>
        </w:rPr>
      </w:pPr>
      <w:r>
        <w:rPr>
          <w:rFonts w:ascii="Arial" w:hAnsi="Arial"/>
          <w:sz w:val="24"/>
          <w:szCs w:val="24"/>
        </w:rPr>
        <w:t xml:space="preserve">No relações familiares, pode ser destacado a problemática da alienação parental, que é disciplinada pela Lei nº 12.318/2010, configurando uma interferência na formação psicológica da criança ou do adolescente que é promovida por um dos genitores, com o objetivo de prejudicar o vínculo parental. Nesse quesito, o Poder Judiciário acaba exercendo uma função protetiva ao identificar práticas que violem o direito fundamental à convivência saudável no âmbito familiar. </w:t>
      </w:r>
    </w:p>
    <w:p w:rsidR="009D60B7" w:rsidRDefault="00425C09">
      <w:pPr>
        <w:spacing w:after="170"/>
        <w:ind w:left="1994" w:right="42"/>
        <w:jc w:val="both"/>
        <w:rPr>
          <w:rFonts w:ascii="Arial" w:hAnsi="Arial"/>
          <w:sz w:val="20"/>
          <w:szCs w:val="20"/>
        </w:rPr>
      </w:pPr>
      <w:r>
        <w:rPr>
          <w:rFonts w:ascii="Arial" w:hAnsi="Arial"/>
          <w:sz w:val="20"/>
          <w:szCs w:val="20"/>
        </w:rPr>
        <w:t>alienação parental pode representar uma grave afronta aos direitos de personalidade da criança, especialmente ao direito à dignidade e ao desenvolvimento psicológico saudável. Conforme o entendimento de Maria Berenice Dias, o Judiciário não deve se omitir e deve intervir de forma rápida para proteger o menor contra condutas abusivas, incluindo a mudança de guarda ou, em casos graves, o afastamento do genitor alienador para garantir a saúde emocional da criança (D</w:t>
      </w:r>
      <w:r>
        <w:rPr>
          <w:rFonts w:ascii="Arial" w:hAnsi="Arial"/>
          <w:sz w:val="20"/>
          <w:szCs w:val="20"/>
          <w:lang w:val="pt-BR"/>
        </w:rPr>
        <w:t>ias</w:t>
      </w:r>
      <w:r>
        <w:rPr>
          <w:rFonts w:ascii="Arial" w:hAnsi="Arial"/>
          <w:sz w:val="20"/>
          <w:szCs w:val="20"/>
        </w:rPr>
        <w:t>, 2011</w:t>
      </w:r>
      <w:r>
        <w:rPr>
          <w:rFonts w:ascii="Arial" w:hAnsi="Arial"/>
          <w:sz w:val="20"/>
          <w:szCs w:val="20"/>
          <w:lang w:val="pt-BR"/>
        </w:rPr>
        <w:t>, p. 15</w:t>
      </w:r>
      <w:r>
        <w:rPr>
          <w:rFonts w:ascii="Arial" w:hAnsi="Arial"/>
          <w:sz w:val="20"/>
          <w:szCs w:val="20"/>
        </w:rPr>
        <w:t xml:space="preserve">). </w:t>
      </w:r>
    </w:p>
    <w:p w:rsidR="009D60B7" w:rsidRDefault="00425C09">
      <w:pPr>
        <w:spacing w:line="360" w:lineRule="auto"/>
        <w:ind w:left="-1" w:right="42" w:firstLine="554"/>
        <w:jc w:val="both"/>
        <w:rPr>
          <w:rFonts w:ascii="Arial" w:hAnsi="Arial"/>
          <w:sz w:val="24"/>
          <w:szCs w:val="24"/>
        </w:rPr>
      </w:pPr>
      <w:r>
        <w:rPr>
          <w:rFonts w:ascii="Arial" w:hAnsi="Arial"/>
          <w:sz w:val="24"/>
          <w:szCs w:val="24"/>
        </w:rPr>
        <w:t>Ainda destacando o que se entende pela fala de Rodrigo da Cunha Pereira, que afirma: “a alienação parental constitui uma forma de abuso emocional que compromete o desenvolvimento saudável da criança, exigindo intervenção firme do Poder Judiciário para sua repressão” (P</w:t>
      </w:r>
      <w:r>
        <w:rPr>
          <w:rFonts w:ascii="Arial" w:hAnsi="Arial"/>
          <w:sz w:val="24"/>
          <w:szCs w:val="24"/>
          <w:lang w:val="pt-BR"/>
        </w:rPr>
        <w:t>ereira</w:t>
      </w:r>
      <w:r>
        <w:rPr>
          <w:rFonts w:ascii="Arial" w:hAnsi="Arial"/>
          <w:sz w:val="24"/>
          <w:szCs w:val="24"/>
        </w:rPr>
        <w:t>, 2012</w:t>
      </w:r>
      <w:r>
        <w:rPr>
          <w:rFonts w:ascii="Arial" w:hAnsi="Arial"/>
          <w:sz w:val="24"/>
          <w:szCs w:val="24"/>
          <w:lang w:val="pt-BR"/>
        </w:rPr>
        <w:t>, p.12</w:t>
      </w:r>
      <w:r>
        <w:rPr>
          <w:rFonts w:ascii="Arial" w:hAnsi="Arial"/>
          <w:sz w:val="24"/>
          <w:szCs w:val="24"/>
        </w:rPr>
        <w:t xml:space="preserve">). </w:t>
      </w:r>
    </w:p>
    <w:p w:rsidR="009D60B7" w:rsidRDefault="00425C09">
      <w:pPr>
        <w:spacing w:line="259" w:lineRule="auto"/>
        <w:ind w:left="5"/>
        <w:jc w:val="both"/>
        <w:rPr>
          <w:rFonts w:ascii="Arial" w:hAnsi="Arial"/>
          <w:sz w:val="24"/>
          <w:szCs w:val="24"/>
        </w:rPr>
      </w:pPr>
      <w:r>
        <w:rPr>
          <w:rFonts w:ascii="Arial" w:hAnsi="Arial"/>
          <w:sz w:val="24"/>
          <w:szCs w:val="24"/>
        </w:rPr>
        <w:t xml:space="preserve"> </w:t>
      </w:r>
    </w:p>
    <w:p w:rsidR="009D60B7" w:rsidRDefault="00425C09">
      <w:pPr>
        <w:spacing w:line="259" w:lineRule="auto"/>
        <w:ind w:right="42"/>
        <w:jc w:val="both"/>
        <w:rPr>
          <w:rFonts w:ascii="Arial" w:hAnsi="Arial"/>
          <w:sz w:val="24"/>
          <w:szCs w:val="24"/>
        </w:rPr>
      </w:pPr>
      <w:r>
        <w:rPr>
          <w:rFonts w:ascii="Arial" w:hAnsi="Arial"/>
          <w:sz w:val="24"/>
          <w:szCs w:val="24"/>
          <w:lang w:val="pt-BR"/>
        </w:rPr>
        <w:t xml:space="preserve">3.2 </w:t>
      </w:r>
      <w:r>
        <w:rPr>
          <w:rFonts w:ascii="Arial" w:hAnsi="Arial"/>
          <w:sz w:val="24"/>
          <w:szCs w:val="24"/>
        </w:rPr>
        <w:t xml:space="preserve">O Estatudo da </w:t>
      </w:r>
      <w:r>
        <w:rPr>
          <w:rFonts w:ascii="Arial" w:hAnsi="Arial"/>
          <w:sz w:val="24"/>
          <w:szCs w:val="24"/>
          <w:lang w:val="pt-BR"/>
        </w:rPr>
        <w:t>C</w:t>
      </w:r>
      <w:r>
        <w:rPr>
          <w:rFonts w:ascii="Arial" w:hAnsi="Arial"/>
          <w:sz w:val="24"/>
          <w:szCs w:val="24"/>
        </w:rPr>
        <w:t xml:space="preserve">riança e do </w:t>
      </w:r>
      <w:r>
        <w:rPr>
          <w:rFonts w:ascii="Arial" w:hAnsi="Arial"/>
          <w:sz w:val="24"/>
          <w:szCs w:val="24"/>
          <w:lang w:val="pt-BR"/>
        </w:rPr>
        <w:t>A</w:t>
      </w:r>
      <w:r>
        <w:rPr>
          <w:rFonts w:ascii="Arial" w:hAnsi="Arial"/>
          <w:sz w:val="24"/>
          <w:szCs w:val="24"/>
        </w:rPr>
        <w:t xml:space="preserve">dolescente </w:t>
      </w:r>
      <w:r>
        <w:rPr>
          <w:rFonts w:ascii="Arial" w:hAnsi="Arial"/>
          <w:sz w:val="24"/>
          <w:szCs w:val="24"/>
          <w:lang w:val="pt-BR"/>
        </w:rPr>
        <w:t>(ECA</w:t>
      </w:r>
      <w:r>
        <w:rPr>
          <w:rFonts w:ascii="Arial" w:hAnsi="Arial"/>
          <w:sz w:val="24"/>
          <w:szCs w:val="24"/>
        </w:rPr>
        <w:t xml:space="preserve">) como marco jurídico da proteção integral </w:t>
      </w:r>
    </w:p>
    <w:p w:rsidR="009D60B7" w:rsidRDefault="00425C09">
      <w:pPr>
        <w:spacing w:line="360" w:lineRule="auto"/>
        <w:ind w:left="-1" w:right="42"/>
        <w:jc w:val="both"/>
        <w:rPr>
          <w:rFonts w:ascii="Arial" w:hAnsi="Arial"/>
          <w:sz w:val="24"/>
          <w:szCs w:val="24"/>
        </w:rPr>
      </w:pPr>
      <w:r>
        <w:rPr>
          <w:rFonts w:ascii="Arial" w:hAnsi="Arial"/>
          <w:sz w:val="24"/>
          <w:szCs w:val="24"/>
        </w:rPr>
        <w:t xml:space="preserve">         É entendida a alienação parental como a interferência na formação psicológica da criança ou adolescente que é promovida por um dos genitores, e encontra um respaldo normativo no ECA (Estatuto da Criança e do Adolescente), porém, no que se refere à proteção da integridade psíquica e ao direito à convivência familiar saudável. Nesse </w:t>
      </w:r>
      <w:r>
        <w:rPr>
          <w:rFonts w:ascii="Arial" w:hAnsi="Arial"/>
          <w:sz w:val="24"/>
          <w:szCs w:val="24"/>
        </w:rPr>
        <w:lastRenderedPageBreak/>
        <w:t>quesito, é observada a fala de Madaleno e Madaleno (2018) afirmando que a alienação parental constitui uma forma de abuso emocional, violando direitos fundamentais da criança ao comprometer seus vínculos afetivos e sua formação psicológica, (</w:t>
      </w:r>
      <w:r>
        <w:rPr>
          <w:rFonts w:ascii="Arial" w:hAnsi="Arial"/>
          <w:sz w:val="24"/>
          <w:szCs w:val="24"/>
          <w:lang w:val="pt-BR"/>
        </w:rPr>
        <w:t>M</w:t>
      </w:r>
      <w:r>
        <w:rPr>
          <w:rFonts w:ascii="Arial" w:hAnsi="Arial"/>
          <w:sz w:val="24"/>
          <w:szCs w:val="24"/>
        </w:rPr>
        <w:t xml:space="preserve">adaleno, 2018, p. 67).  </w:t>
      </w:r>
    </w:p>
    <w:p w:rsidR="009D60B7" w:rsidRDefault="00425C09">
      <w:pPr>
        <w:spacing w:line="360" w:lineRule="auto"/>
        <w:ind w:left="-1" w:right="42"/>
        <w:jc w:val="both"/>
        <w:rPr>
          <w:rFonts w:ascii="Arial" w:hAnsi="Arial"/>
          <w:sz w:val="24"/>
          <w:szCs w:val="24"/>
        </w:rPr>
      </w:pPr>
      <w:r>
        <w:rPr>
          <w:rFonts w:ascii="Arial" w:hAnsi="Arial"/>
          <w:sz w:val="24"/>
          <w:szCs w:val="24"/>
        </w:rPr>
        <w:t xml:space="preserve">        O artigo 5º do ECA (Estatuto da Criança e do Adolescente), estabelece que nenhuma criança ou adolescente será objeto de negligência, discriminação, exploração, violência, crueldade ou opressão. Dessa forma, a alienação parental, ao manipular de maneira emocional o menor, pode-se enquadrar como um tipo de violência psicológica, e conforme o entendimento de Tartuce (2021), a alienação parental deve ser compreendida como violação aos direitos da personalidade da criança, sendo dever do Estado intervir para preservar seu melhor interesse, (Tartuce, 2021, p. 389). </w:t>
      </w:r>
    </w:p>
    <w:p w:rsidR="009D60B7" w:rsidRDefault="00425C09">
      <w:pPr>
        <w:spacing w:line="360" w:lineRule="auto"/>
        <w:ind w:left="-1" w:right="42" w:firstLine="554"/>
        <w:jc w:val="both"/>
        <w:rPr>
          <w:rFonts w:ascii="Arial" w:hAnsi="Arial"/>
          <w:sz w:val="24"/>
          <w:szCs w:val="24"/>
        </w:rPr>
      </w:pPr>
      <w:r>
        <w:rPr>
          <w:rFonts w:ascii="Arial" w:hAnsi="Arial"/>
          <w:sz w:val="24"/>
          <w:szCs w:val="24"/>
        </w:rPr>
        <w:t xml:space="preserve">Pode-se aplicar também o princípio do melhor interesse da criança e do adolescente, que está em todo o sistema do ECA (Estatuto da Criança e do Adolescente), orientando a atuação do Judiciário nos casos em que ocorre a alienação parental. </w:t>
      </w:r>
    </w:p>
    <w:p w:rsidR="009D60B7" w:rsidRDefault="00425C09">
      <w:pPr>
        <w:spacing w:line="360" w:lineRule="auto"/>
        <w:ind w:left="-1" w:right="42" w:firstLine="554"/>
        <w:jc w:val="both"/>
        <w:rPr>
          <w:rFonts w:ascii="Arial" w:hAnsi="Arial"/>
          <w:sz w:val="24"/>
          <w:szCs w:val="24"/>
        </w:rPr>
      </w:pPr>
      <w:r>
        <w:rPr>
          <w:rFonts w:ascii="Arial" w:hAnsi="Arial"/>
          <w:sz w:val="24"/>
          <w:szCs w:val="24"/>
        </w:rPr>
        <w:t xml:space="preserve">Conforme a Lei nº 12.318/2010, que trata de forma especifica do tema, e deve ser interpretada em conjunto com o ECA (Estatuto da Criança e do Adolescente), formando um sistema de proteção para esses casos, dentro da convivência familiar saudável. Dentro deste contexto, Farias e Rosenvald (2020) destacam que “a proteção integral impõe ao intérprete a análise cuidadosa das relações familiares, a fim de evitar que conflitos parentais prejudiquem o desenvolvimento do menor” (Farias; ROsenvald, 2020, p. 245). </w:t>
      </w:r>
    </w:p>
    <w:p w:rsidR="009D60B7" w:rsidRDefault="00425C09">
      <w:pPr>
        <w:spacing w:line="360" w:lineRule="auto"/>
        <w:ind w:left="-1" w:right="42" w:firstLine="554"/>
        <w:jc w:val="both"/>
        <w:rPr>
          <w:rFonts w:ascii="Arial" w:hAnsi="Arial"/>
          <w:sz w:val="24"/>
          <w:szCs w:val="24"/>
        </w:rPr>
      </w:pPr>
      <w:r>
        <w:rPr>
          <w:rFonts w:ascii="Arial" w:hAnsi="Arial"/>
          <w:sz w:val="24"/>
          <w:szCs w:val="24"/>
        </w:rPr>
        <w:t xml:space="preserve">Ainda no artigo 3º do ECA (Estatuto da Criança e do Adolescente), assegura às crianças e adolescentes todos os direitos que são fundamentais e inerentes à pessoa humana, garantindo uma condição para o desenvolvimento físico, mental, moral, espiritual e social. Essa prática da alienação parental pode prejudicar o convívio dos genitores com a criança, e afronta diretamente esse dispositivo. Para Dias (2016), existe o entendimento de que “impedir ou dificultar a convivência familiar saudável por meio de práticas alienadoras é uma forma de violência que atinge a dignidade da criança e deve ser coibida com rigor pelo ordenamento jurídico” (Dias, 2016, p. 112). </w:t>
      </w:r>
    </w:p>
    <w:p w:rsidR="009D60B7" w:rsidRDefault="00425C09">
      <w:pPr>
        <w:spacing w:line="360" w:lineRule="auto"/>
        <w:ind w:left="-1" w:right="42" w:firstLine="554"/>
        <w:jc w:val="both"/>
        <w:rPr>
          <w:rFonts w:ascii="Arial" w:hAnsi="Arial"/>
          <w:sz w:val="24"/>
          <w:szCs w:val="24"/>
        </w:rPr>
      </w:pPr>
      <w:r>
        <w:rPr>
          <w:rFonts w:ascii="Arial" w:hAnsi="Arial"/>
          <w:sz w:val="24"/>
          <w:szCs w:val="24"/>
        </w:rPr>
        <w:t xml:space="preserve">Entretanto, o ECA (Estatuto da Criança e do Adolescente), consolida como uma base normativa e essencial no combate à alienação parental, assegurando a proteção integral e o desenvolvimento saudável da criança e do adolescente. Ao reconhecer a </w:t>
      </w:r>
      <w:r>
        <w:rPr>
          <w:rFonts w:ascii="Arial" w:hAnsi="Arial"/>
          <w:sz w:val="24"/>
          <w:szCs w:val="24"/>
        </w:rPr>
        <w:lastRenderedPageBreak/>
        <w:t xml:space="preserve">alienação como forma de violência psicológica, o ordenamento jurídico brasileiro reafirma o compromisso com a preservação dos vínculos familiares e com o melhor interesse do menor. </w:t>
      </w:r>
    </w:p>
    <w:p w:rsidR="009D60B7" w:rsidRDefault="00425C09">
      <w:pPr>
        <w:spacing w:line="259" w:lineRule="auto"/>
        <w:ind w:left="5"/>
        <w:jc w:val="both"/>
        <w:rPr>
          <w:rFonts w:ascii="Arial" w:hAnsi="Arial"/>
          <w:sz w:val="20"/>
          <w:szCs w:val="20"/>
        </w:rPr>
      </w:pPr>
      <w:r>
        <w:rPr>
          <w:rFonts w:ascii="Arial" w:hAnsi="Arial"/>
          <w:sz w:val="20"/>
          <w:szCs w:val="20"/>
        </w:rPr>
        <w:t xml:space="preserve"> </w:t>
      </w:r>
    </w:p>
    <w:p w:rsidR="009D60B7" w:rsidRDefault="00425C09">
      <w:pPr>
        <w:spacing w:line="360" w:lineRule="auto"/>
        <w:ind w:right="43"/>
        <w:jc w:val="both"/>
        <w:rPr>
          <w:rFonts w:ascii="Arial" w:hAnsi="Arial"/>
          <w:sz w:val="24"/>
          <w:szCs w:val="24"/>
        </w:rPr>
      </w:pPr>
      <w:r>
        <w:rPr>
          <w:rFonts w:ascii="Arial" w:hAnsi="Arial"/>
          <w:sz w:val="24"/>
          <w:szCs w:val="24"/>
          <w:lang w:val="pt-BR"/>
        </w:rPr>
        <w:t xml:space="preserve">3.3 </w:t>
      </w:r>
      <w:r>
        <w:rPr>
          <w:rFonts w:ascii="Arial" w:hAnsi="Arial"/>
          <w:sz w:val="24"/>
          <w:szCs w:val="24"/>
        </w:rPr>
        <w:t>Jurisprudência e desafios práticos na aplicação da L</w:t>
      </w:r>
      <w:r>
        <w:rPr>
          <w:rFonts w:ascii="Arial" w:hAnsi="Arial"/>
          <w:sz w:val="24"/>
          <w:szCs w:val="24"/>
          <w:lang w:val="pt-BR"/>
        </w:rPr>
        <w:t>ei</w:t>
      </w:r>
      <w:r>
        <w:rPr>
          <w:rFonts w:ascii="Arial" w:hAnsi="Arial"/>
          <w:sz w:val="24"/>
          <w:szCs w:val="24"/>
        </w:rPr>
        <w:t xml:space="preserve"> </w:t>
      </w:r>
      <w:r>
        <w:rPr>
          <w:rFonts w:ascii="Arial" w:hAnsi="Arial"/>
          <w:sz w:val="24"/>
          <w:szCs w:val="24"/>
          <w:lang w:val="pt-BR"/>
        </w:rPr>
        <w:t>n</w:t>
      </w:r>
      <w:r>
        <w:rPr>
          <w:rFonts w:ascii="Arial" w:hAnsi="Arial"/>
          <w:sz w:val="24"/>
          <w:szCs w:val="24"/>
        </w:rPr>
        <w:t xml:space="preserve">° 12.318/2010  </w:t>
      </w:r>
    </w:p>
    <w:p w:rsidR="009D60B7" w:rsidRDefault="00425C09">
      <w:pPr>
        <w:spacing w:line="360" w:lineRule="auto"/>
        <w:ind w:right="43" w:firstLineChars="440" w:firstLine="1056"/>
        <w:jc w:val="both"/>
        <w:rPr>
          <w:rFonts w:ascii="Arial" w:hAnsi="Arial"/>
          <w:sz w:val="24"/>
          <w:szCs w:val="24"/>
        </w:rPr>
      </w:pPr>
      <w:r>
        <w:rPr>
          <w:rFonts w:ascii="Arial" w:hAnsi="Arial"/>
          <w:sz w:val="24"/>
          <w:szCs w:val="24"/>
          <w:lang w:val="pt-BR"/>
        </w:rPr>
        <w:t xml:space="preserve">A </w:t>
      </w:r>
      <w:r>
        <w:rPr>
          <w:rFonts w:ascii="Arial" w:hAnsi="Arial"/>
          <w:sz w:val="24"/>
          <w:szCs w:val="24"/>
        </w:rPr>
        <w:t xml:space="preserve">jurisprudência brasileira tem um grande desempenho e um papel fundamental na concretização da norma, de forma especial reconhecendo a alienação parental como uma forma de violência psicológica. Dessa forma, o Superior Tribunal de Justiça (STJ) já consolidou o entendimento de que atos de alienação parental violam o direito fundamental à convivência familiar saudável, podendo ensejar algumas medidas como a inversão da guarda ou a regulamentação mais rigorosa do regime de visitas. Nesse sentido, as decisões devem reiterar que o melhor interesse da criança deve prevalecer sobre conflitos entre os genitores. </w:t>
      </w:r>
    </w:p>
    <w:p w:rsidR="009D60B7" w:rsidRDefault="00425C09">
      <w:pPr>
        <w:spacing w:line="360" w:lineRule="auto"/>
        <w:ind w:right="43" w:firstLineChars="440" w:firstLine="1056"/>
        <w:jc w:val="both"/>
        <w:rPr>
          <w:rFonts w:ascii="Arial" w:hAnsi="Arial"/>
          <w:sz w:val="24"/>
          <w:szCs w:val="24"/>
        </w:rPr>
      </w:pPr>
      <w:r>
        <w:rPr>
          <w:rFonts w:ascii="Arial" w:hAnsi="Arial"/>
          <w:sz w:val="24"/>
          <w:szCs w:val="24"/>
        </w:rPr>
        <w:t xml:space="preserve">Existem debates dentro desta doutrina e também na jurisprudência acerca da compatibilidade da Lei de Alienação Parental com a proteção de vítimas de violência doméstica. Que em alguns casos, a alegação de alienação parental pode ser utilizada para deslegitimar denúncias de abuso, o que exige uma atuação ainda mais sensível por parte do Judiciário, fazendo assim que esses casos não se encaixem dentro do papel fundamental, que é a convivência familiar saudável de pais e filhos. Tartuce (2021) alerta que “a banalização do instituto pode comprometer sua credibilidade, sendo essencial que o Judiciário atue com cautela e base em provas consistentes” (Tartuce, 2021, p. 392). </w:t>
      </w:r>
    </w:p>
    <w:p w:rsidR="009D60B7" w:rsidRDefault="00425C09">
      <w:pPr>
        <w:spacing w:line="360" w:lineRule="auto"/>
        <w:ind w:right="43" w:firstLineChars="440" w:firstLine="1056"/>
        <w:jc w:val="both"/>
        <w:rPr>
          <w:rFonts w:ascii="Arial" w:hAnsi="Arial"/>
          <w:sz w:val="24"/>
          <w:szCs w:val="24"/>
        </w:rPr>
      </w:pPr>
      <w:r>
        <w:rPr>
          <w:rFonts w:ascii="Arial" w:hAnsi="Arial"/>
          <w:sz w:val="24"/>
          <w:szCs w:val="24"/>
        </w:rPr>
        <w:t xml:space="preserve">A jurisprudência também evidencia a grande importância da atuação preventiva, priorizando a mediação e a orientação familiar como formas de evitar a escalada de conflitos. Medidas como acompanhamento psicológico, fixação de guarda compartilhada e advertência aos genitores têm sido frequentemente adotadas pelos tribunais para que tratem do tema. </w:t>
      </w:r>
    </w:p>
    <w:p w:rsidR="009D60B7" w:rsidRDefault="00425C09">
      <w:pPr>
        <w:spacing w:line="360" w:lineRule="auto"/>
        <w:ind w:right="43" w:firstLineChars="440" w:firstLine="1056"/>
        <w:jc w:val="both"/>
        <w:rPr>
          <w:rFonts w:ascii="Arial" w:hAnsi="Arial"/>
          <w:sz w:val="24"/>
          <w:szCs w:val="24"/>
        </w:rPr>
      </w:pPr>
      <w:r>
        <w:rPr>
          <w:rFonts w:ascii="Arial" w:hAnsi="Arial"/>
          <w:sz w:val="24"/>
          <w:szCs w:val="24"/>
        </w:rPr>
        <w:t>Nesse sentido, Tartuce (2021) adverte com base na situação que “a invocação indiscriminada da alienação parental pode desvirtuar o instituto, exigindo do Judiciário rigor na análise probatória” (T</w:t>
      </w:r>
      <w:r>
        <w:rPr>
          <w:rFonts w:ascii="Arial" w:hAnsi="Arial"/>
          <w:sz w:val="24"/>
          <w:szCs w:val="24"/>
          <w:lang w:val="pt-BR"/>
        </w:rPr>
        <w:t>a</w:t>
      </w:r>
      <w:r>
        <w:rPr>
          <w:rFonts w:ascii="Arial" w:hAnsi="Arial"/>
          <w:sz w:val="24"/>
          <w:szCs w:val="24"/>
        </w:rPr>
        <w:t xml:space="preserve">rtuce, 2021, p. 393). </w:t>
      </w:r>
    </w:p>
    <w:p w:rsidR="009D60B7" w:rsidRDefault="00425C09">
      <w:pPr>
        <w:spacing w:line="360" w:lineRule="auto"/>
        <w:ind w:right="43" w:firstLineChars="440" w:firstLine="1056"/>
        <w:jc w:val="both"/>
        <w:rPr>
          <w:rFonts w:ascii="Arial" w:hAnsi="Arial"/>
          <w:sz w:val="24"/>
          <w:szCs w:val="24"/>
        </w:rPr>
      </w:pPr>
      <w:r>
        <w:rPr>
          <w:rFonts w:ascii="Arial" w:hAnsi="Arial"/>
          <w:sz w:val="24"/>
          <w:szCs w:val="24"/>
        </w:rPr>
        <w:t xml:space="preserve">A jurisprudência evidencia a importância de uma prova técnica. Conforme entendimento dos tribunais, de forma que pode evidenciar indícios de alienação parental, e é imprescindível a realização de perícia psicológica ou biopsicossocial antes </w:t>
      </w:r>
      <w:r>
        <w:rPr>
          <w:rFonts w:ascii="Arial" w:hAnsi="Arial"/>
          <w:sz w:val="24"/>
          <w:szCs w:val="24"/>
        </w:rPr>
        <w:lastRenderedPageBreak/>
        <w:t xml:space="preserve">da adoção de medidas mais gravosas. Nesse sentido, o Tribunal de Justiça do Rio Grande do Sul decidiu que: “Havendo indício da prática de ato de alienação parental é indispensável a realização de perícia psicológica, a fim de apurar a situação”.  </w:t>
      </w:r>
    </w:p>
    <w:p w:rsidR="009D60B7" w:rsidRDefault="00425C09">
      <w:pPr>
        <w:spacing w:line="360" w:lineRule="auto"/>
        <w:ind w:right="43" w:firstLineChars="440" w:firstLine="1056"/>
        <w:jc w:val="both"/>
        <w:rPr>
          <w:rFonts w:ascii="Arial" w:hAnsi="Arial"/>
          <w:sz w:val="24"/>
          <w:szCs w:val="24"/>
          <w:lang w:val="pt-BR"/>
        </w:rPr>
      </w:pPr>
      <w:r>
        <w:rPr>
          <w:rFonts w:ascii="Arial" w:hAnsi="Arial"/>
          <w:sz w:val="24"/>
          <w:szCs w:val="24"/>
        </w:rPr>
        <w:t xml:space="preserve">Semelhantemente, o Tribunal de Justiça de Minas Gerais firmou também um entendimento de que a produção de prova técnica é extremamente essencial para a definição da guarda da criança, destacando que o bem-estar da deve ter um norte para decisão judicial: “O juiz pode determinar a realização de perícia psicológica para escolher o melhor guardião para a criança”.  </w:t>
      </w:r>
      <w:r>
        <w:rPr>
          <w:rFonts w:ascii="Arial" w:hAnsi="Arial"/>
          <w:sz w:val="24"/>
          <w:szCs w:val="24"/>
          <w:lang w:val="pt-BR"/>
        </w:rPr>
        <w:t xml:space="preserve">(Brasil, </w:t>
      </w:r>
      <w:r>
        <w:rPr>
          <w:rFonts w:ascii="Arial" w:hAnsi="Arial"/>
          <w:i/>
          <w:iCs/>
          <w:sz w:val="24"/>
          <w:szCs w:val="24"/>
          <w:lang w:val="pt-BR"/>
        </w:rPr>
        <w:t>online</w:t>
      </w:r>
      <w:r>
        <w:rPr>
          <w:rFonts w:ascii="Arial" w:hAnsi="Arial"/>
          <w:sz w:val="24"/>
          <w:szCs w:val="24"/>
          <w:lang w:val="pt-BR"/>
        </w:rPr>
        <w:t>)</w:t>
      </w:r>
    </w:p>
    <w:p w:rsidR="009D60B7" w:rsidRDefault="00425C09">
      <w:pPr>
        <w:spacing w:line="360" w:lineRule="auto"/>
        <w:ind w:right="43" w:firstLineChars="440" w:firstLine="1056"/>
        <w:jc w:val="both"/>
        <w:rPr>
          <w:rFonts w:ascii="Arial" w:hAnsi="Arial"/>
          <w:sz w:val="24"/>
          <w:szCs w:val="24"/>
        </w:rPr>
      </w:pPr>
      <w:r>
        <w:rPr>
          <w:rFonts w:ascii="Arial" w:hAnsi="Arial"/>
          <w:sz w:val="24"/>
          <w:szCs w:val="24"/>
        </w:rPr>
        <w:t xml:space="preserve">Essas decisões acabam demonstrando que a jurisprudência brasileira tem adotado uma postura muito cautelosa, priorizando sempre a produção de provas antes da aplicação das medidas previstas na Lei nº 12.318/2010. </w:t>
      </w:r>
    </w:p>
    <w:p w:rsidR="009D60B7" w:rsidRDefault="00425C09">
      <w:pPr>
        <w:spacing w:line="259" w:lineRule="auto"/>
        <w:ind w:left="14"/>
        <w:jc w:val="both"/>
        <w:rPr>
          <w:rFonts w:ascii="Arial" w:hAnsi="Arial"/>
          <w:sz w:val="20"/>
          <w:szCs w:val="20"/>
        </w:rPr>
      </w:pPr>
      <w:r>
        <w:rPr>
          <w:rFonts w:ascii="Arial" w:hAnsi="Arial"/>
          <w:sz w:val="20"/>
          <w:szCs w:val="20"/>
        </w:rPr>
        <w:t xml:space="preserve"> </w:t>
      </w:r>
    </w:p>
    <w:p w:rsidR="009D60B7" w:rsidRDefault="00425C09">
      <w:pPr>
        <w:pStyle w:val="Ttulo1"/>
        <w:spacing w:before="0" w:after="112"/>
        <w:jc w:val="both"/>
        <w:rPr>
          <w:rFonts w:ascii="Arial" w:hAnsi="Arial"/>
          <w:sz w:val="24"/>
          <w:szCs w:val="24"/>
        </w:rPr>
      </w:pPr>
      <w:r>
        <w:rPr>
          <w:rFonts w:ascii="Arial" w:hAnsi="Arial"/>
          <w:sz w:val="24"/>
          <w:szCs w:val="24"/>
        </w:rPr>
        <w:t xml:space="preserve">CONCLUSÃO </w:t>
      </w:r>
    </w:p>
    <w:p w:rsidR="009D60B7" w:rsidRDefault="00425C09">
      <w:pPr>
        <w:spacing w:line="360" w:lineRule="auto"/>
        <w:ind w:left="-1" w:right="42" w:firstLine="571"/>
        <w:jc w:val="both"/>
        <w:rPr>
          <w:rFonts w:ascii="Arial" w:hAnsi="Arial"/>
          <w:sz w:val="24"/>
          <w:szCs w:val="24"/>
        </w:rPr>
      </w:pPr>
      <w:r>
        <w:rPr>
          <w:rFonts w:ascii="Arial" w:hAnsi="Arial"/>
          <w:sz w:val="24"/>
          <w:szCs w:val="24"/>
        </w:rPr>
        <w:t xml:space="preserve">Conclui-se que a alienação parental é constituída por um fenômeno complexo e com grande relevância no âmbito do Direito de Família, podendo envolver não apenas os aspectos jurídicos, mas também aspectos psicológicos e sociais. Tratando de uma prática que acaba violando diretamente os direitos fundamentais da criança e do adolescente, especialmente o direito à convivência familiar saudável </w:t>
      </w:r>
    </w:p>
    <w:p w:rsidR="009D60B7" w:rsidRDefault="00425C09">
      <w:pPr>
        <w:spacing w:line="360" w:lineRule="auto"/>
        <w:ind w:left="-1" w:right="42" w:firstLine="571"/>
        <w:jc w:val="both"/>
        <w:rPr>
          <w:rFonts w:ascii="Arial" w:hAnsi="Arial"/>
          <w:sz w:val="24"/>
          <w:szCs w:val="24"/>
        </w:rPr>
      </w:pPr>
      <w:r>
        <w:rPr>
          <w:rFonts w:ascii="Arial" w:hAnsi="Arial"/>
          <w:sz w:val="24"/>
          <w:szCs w:val="24"/>
        </w:rPr>
        <w:t xml:space="preserve">A Lei nº 12.318/2010 representa um importante avanço legislativo ao reconhecer e disciplinar a alienação parental, estabelecendo identificação e repressão para tal situação. Porém, sua aplicação acaba exigindo uma cautela de análise mais criteriosa, considerando a necessidade de produção de provas técnicas e a observância do princípio do melhor interesse da criança. </w:t>
      </w:r>
    </w:p>
    <w:p w:rsidR="009D60B7" w:rsidRDefault="00425C09">
      <w:pPr>
        <w:spacing w:line="360" w:lineRule="auto"/>
        <w:ind w:left="-1" w:right="42" w:firstLine="571"/>
        <w:jc w:val="both"/>
        <w:rPr>
          <w:rFonts w:ascii="Arial" w:hAnsi="Arial"/>
          <w:sz w:val="24"/>
          <w:szCs w:val="24"/>
        </w:rPr>
      </w:pPr>
      <w:r>
        <w:rPr>
          <w:rFonts w:ascii="Arial" w:hAnsi="Arial"/>
          <w:sz w:val="24"/>
          <w:szCs w:val="24"/>
        </w:rPr>
        <w:t xml:space="preserve">Pode-se verificar, ainda, que as consequências jurídicas da alienação parental podem ser significativas, incluindo advertências ou até mesmo a alteração ou inversão da guarda da criança, sempre com o objetivo de proteger a integridade psicológica do menor e restabelecer vínculos afetivos saudáveis que foram prejudicados. Com este entendimento, o Poder Judiciário desempenha um papel fundamental, atuando não apenas na resolução de conflitos, mas na efetiva proteção dos direitos da criança e do adolescente. </w:t>
      </w:r>
    </w:p>
    <w:p w:rsidR="009D60B7" w:rsidRDefault="00425C09">
      <w:pPr>
        <w:spacing w:line="360" w:lineRule="auto"/>
        <w:ind w:left="-1" w:right="42" w:firstLine="571"/>
        <w:jc w:val="both"/>
        <w:rPr>
          <w:rFonts w:ascii="Arial" w:hAnsi="Arial"/>
          <w:sz w:val="24"/>
          <w:szCs w:val="24"/>
        </w:rPr>
      </w:pPr>
      <w:r>
        <w:rPr>
          <w:rFonts w:ascii="Arial" w:hAnsi="Arial"/>
          <w:sz w:val="24"/>
          <w:szCs w:val="24"/>
        </w:rPr>
        <w:t xml:space="preserve">Por outro lado, também pode ser evidenciado alguns desafios que são relevantes na aplicação da legislação, especialmente quanto ao uso indevido do instituto como instrumento de defesa por genitores em situações de conflito. </w:t>
      </w:r>
    </w:p>
    <w:p w:rsidR="009D60B7" w:rsidRDefault="00425C09">
      <w:pPr>
        <w:spacing w:line="360" w:lineRule="auto"/>
        <w:ind w:left="-1" w:right="42" w:firstLine="571"/>
        <w:jc w:val="both"/>
        <w:rPr>
          <w:rFonts w:ascii="Arial" w:hAnsi="Arial"/>
          <w:sz w:val="24"/>
          <w:szCs w:val="24"/>
        </w:rPr>
      </w:pPr>
      <w:r>
        <w:rPr>
          <w:rFonts w:ascii="Arial" w:hAnsi="Arial"/>
          <w:sz w:val="24"/>
          <w:szCs w:val="24"/>
        </w:rPr>
        <w:lastRenderedPageBreak/>
        <w:t xml:space="preserve">Conclui-se que o enfrentamento da alienação parental demanda uma atuação integrada entre o Direito e outras áreas do conhecimento, bem como uma postura sensível, técnica e responsável por parte do Poder Judiciário. Somente por meio de uma aplicação equilibrada da legislação será possível assegurar a proteção integral da criança e do adolescente, garantindo-lhes um ambiente familiar saudável e o pleno exercício de seus direitos fundamentais. </w:t>
      </w:r>
    </w:p>
    <w:p w:rsidR="009D60B7" w:rsidRDefault="009D60B7">
      <w:pPr>
        <w:spacing w:line="259" w:lineRule="auto"/>
        <w:rPr>
          <w:rFonts w:ascii="Arial" w:hAnsi="Arial"/>
          <w:sz w:val="20"/>
          <w:szCs w:val="20"/>
        </w:rPr>
      </w:pPr>
    </w:p>
    <w:p w:rsidR="009D60B7" w:rsidRDefault="00425C09">
      <w:pPr>
        <w:pStyle w:val="Ttulo1"/>
        <w:ind w:left="9" w:hanging="10"/>
        <w:jc w:val="both"/>
        <w:rPr>
          <w:rFonts w:ascii="Arial" w:hAnsi="Arial"/>
          <w:sz w:val="24"/>
          <w:szCs w:val="24"/>
        </w:rPr>
      </w:pPr>
      <w:r>
        <w:rPr>
          <w:rFonts w:ascii="Arial" w:hAnsi="Arial"/>
          <w:sz w:val="24"/>
          <w:szCs w:val="24"/>
        </w:rPr>
        <w:t xml:space="preserve">REFERÊNCIAS  </w:t>
      </w:r>
    </w:p>
    <w:p w:rsidR="009D60B7" w:rsidRDefault="00425C09">
      <w:pPr>
        <w:spacing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BERNARDES, Sarah Vitória de Oliveira. </w:t>
      </w:r>
      <w:r>
        <w:rPr>
          <w:rFonts w:ascii="Arial" w:hAnsi="Arial"/>
          <w:b/>
          <w:bCs/>
          <w:i/>
          <w:sz w:val="24"/>
          <w:szCs w:val="24"/>
        </w:rPr>
        <w:t>A alienação parental como violação dos direitos fundamentais da criança e do adolescente</w:t>
      </w:r>
      <w:r>
        <w:rPr>
          <w:rFonts w:ascii="Arial" w:hAnsi="Arial"/>
          <w:sz w:val="24"/>
          <w:szCs w:val="24"/>
        </w:rPr>
        <w:t xml:space="preserve">. 2024. Trabalho de Conclusão de Curso (Bacharelado em Direito) – Pontifícia Universidade Católica de Goiás, Goiânia, 2024.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 w:right="42"/>
        <w:rPr>
          <w:sz w:val="24"/>
          <w:szCs w:val="24"/>
        </w:rPr>
      </w:pPr>
      <w:r>
        <w:rPr>
          <w:rFonts w:ascii="Arial" w:hAnsi="Arial"/>
          <w:sz w:val="24"/>
          <w:szCs w:val="24"/>
        </w:rPr>
        <w:t xml:space="preserve">BRASIL. </w:t>
      </w:r>
      <w:r>
        <w:rPr>
          <w:rFonts w:ascii="Arial" w:hAnsi="Arial"/>
          <w:i/>
          <w:sz w:val="24"/>
          <w:szCs w:val="24"/>
        </w:rPr>
        <w:t>Lei nº 8.069, de 13 de julho de 1990</w:t>
      </w:r>
      <w:r>
        <w:rPr>
          <w:rFonts w:ascii="Arial" w:hAnsi="Arial"/>
          <w:sz w:val="24"/>
          <w:szCs w:val="24"/>
        </w:rPr>
        <w:t xml:space="preserve">. </w:t>
      </w:r>
      <w:r>
        <w:rPr>
          <w:rFonts w:ascii="Arial" w:hAnsi="Arial"/>
          <w:b/>
          <w:bCs/>
          <w:sz w:val="24"/>
          <w:szCs w:val="24"/>
        </w:rPr>
        <w:t>Dispõe sobre o Estatuto da Criança e do Adolescente e dá outras providências</w:t>
      </w:r>
      <w:r>
        <w:rPr>
          <w:rFonts w:ascii="Arial" w:hAnsi="Arial"/>
          <w:sz w:val="24"/>
          <w:szCs w:val="24"/>
        </w:rPr>
        <w:t xml:space="preserve">. Brasília: Planalto, 1990. Disponível em: </w:t>
      </w:r>
      <w:hyperlink r:id="rId108">
        <w:r>
          <w:rPr>
            <w:rFonts w:ascii="Arial" w:hAnsi="Arial"/>
            <w:color w:val="6D6D6D"/>
            <w:sz w:val="24"/>
            <w:szCs w:val="24"/>
            <w:u w:val="single" w:color="6D6D6D"/>
          </w:rPr>
          <w:t>https://www.planalto.gov.br/ccivil_03/leis/l8069.htm</w:t>
        </w:r>
      </w:hyperlink>
      <w:hyperlink r:id="rId109">
        <w:r>
          <w:rPr>
            <w:rFonts w:ascii="Arial" w:hAnsi="Arial"/>
            <w:sz w:val="24"/>
            <w:szCs w:val="24"/>
          </w:rPr>
          <w:t>.</w:t>
        </w:r>
      </w:hyperlink>
      <w:r>
        <w:rPr>
          <w:rFonts w:ascii="Arial" w:hAnsi="Arial"/>
          <w:sz w:val="24"/>
          <w:szCs w:val="24"/>
        </w:rPr>
        <w:t xml:space="preserve"> Acesso em: 27 out. 2025.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Pr="00E8635F" w:rsidRDefault="00425C09" w:rsidP="00E8635F">
      <w:pPr>
        <w:ind w:right="43"/>
        <w:rPr>
          <w:rFonts w:ascii="Arial" w:hAnsi="Arial"/>
          <w:sz w:val="24"/>
          <w:szCs w:val="24"/>
        </w:rPr>
      </w:pPr>
      <w:r>
        <w:rPr>
          <w:rFonts w:ascii="Arial" w:hAnsi="Arial"/>
          <w:sz w:val="24"/>
          <w:szCs w:val="24"/>
        </w:rPr>
        <w:t xml:space="preserve">BRASIL. </w:t>
      </w:r>
      <w:r>
        <w:rPr>
          <w:rFonts w:ascii="Arial" w:hAnsi="Arial"/>
          <w:i/>
          <w:sz w:val="24"/>
          <w:szCs w:val="24"/>
        </w:rPr>
        <w:t>Lei nº 12.318, de 26 de agosto de 2010</w:t>
      </w:r>
      <w:r>
        <w:rPr>
          <w:rFonts w:ascii="Arial" w:hAnsi="Arial"/>
          <w:sz w:val="24"/>
          <w:szCs w:val="24"/>
        </w:rPr>
        <w:t xml:space="preserve">. </w:t>
      </w:r>
      <w:r>
        <w:rPr>
          <w:rFonts w:ascii="Arial" w:hAnsi="Arial"/>
          <w:b/>
          <w:bCs/>
          <w:sz w:val="24"/>
          <w:szCs w:val="24"/>
        </w:rPr>
        <w:t>Dispõe sobre a alienação parental.</w:t>
      </w:r>
      <w:r>
        <w:rPr>
          <w:rFonts w:ascii="Arial" w:hAnsi="Arial"/>
          <w:sz w:val="24"/>
          <w:szCs w:val="24"/>
        </w:rPr>
        <w:t xml:space="preserve"> Brasília: Planalto, 2010. Disponível em:</w:t>
      </w:r>
      <w:r w:rsidR="00E8635F">
        <w:rPr>
          <w:rFonts w:ascii="Arial" w:hAnsi="Arial"/>
          <w:sz w:val="24"/>
          <w:szCs w:val="24"/>
        </w:rPr>
        <w:t xml:space="preserve"> </w:t>
      </w:r>
      <w:hyperlink r:id="rId110" w:history="1">
        <w:r w:rsidR="00653C36" w:rsidRPr="00933623">
          <w:rPr>
            <w:rStyle w:val="Hyperlink"/>
            <w:rFonts w:ascii="Arial" w:hAnsi="Arial"/>
            <w:sz w:val="24"/>
            <w:szCs w:val="24"/>
          </w:rPr>
          <w:t>https://www.planalto.gov.br/ccivil_03/_ato2007</w:t>
        </w:r>
      </w:hyperlink>
      <w:hyperlink r:id="rId111">
        <w:r>
          <w:rPr>
            <w:rFonts w:ascii="Arial" w:hAnsi="Arial"/>
            <w:color w:val="6D6D6D"/>
            <w:sz w:val="24"/>
            <w:szCs w:val="24"/>
            <w:u w:val="single" w:color="6D6D6D"/>
          </w:rPr>
          <w:t>2010/2010/lei/l12318.htm</w:t>
        </w:r>
      </w:hyperlink>
      <w:hyperlink r:id="rId112">
        <w:r>
          <w:rPr>
            <w:rFonts w:ascii="Arial" w:hAnsi="Arial"/>
            <w:sz w:val="24"/>
            <w:szCs w:val="24"/>
          </w:rPr>
          <w:t>.</w:t>
        </w:r>
      </w:hyperlink>
      <w:r>
        <w:rPr>
          <w:rFonts w:ascii="Arial" w:hAnsi="Arial"/>
          <w:sz w:val="24"/>
          <w:szCs w:val="24"/>
        </w:rPr>
        <w:t xml:space="preserve"> Acesso em: 27 out. 2025.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4" w:hanging="14"/>
        <w:rPr>
          <w:rFonts w:ascii="Arial" w:hAnsi="Arial"/>
          <w:sz w:val="24"/>
          <w:szCs w:val="24"/>
        </w:rPr>
      </w:pPr>
      <w:r>
        <w:rPr>
          <w:rFonts w:ascii="Arial" w:hAnsi="Arial"/>
          <w:sz w:val="24"/>
          <w:szCs w:val="24"/>
        </w:rPr>
        <w:t xml:space="preserve">BRASIL. Superior Tribunal de Justiça. </w:t>
      </w:r>
      <w:r>
        <w:rPr>
          <w:rFonts w:ascii="Arial" w:hAnsi="Arial"/>
          <w:b/>
          <w:bCs/>
          <w:i/>
          <w:sz w:val="24"/>
          <w:szCs w:val="24"/>
        </w:rPr>
        <w:t>O empenho da Justiça para evitar os danos da alienação parental</w:t>
      </w:r>
      <w:r>
        <w:rPr>
          <w:rFonts w:ascii="Arial" w:hAnsi="Arial"/>
          <w:sz w:val="24"/>
          <w:szCs w:val="24"/>
        </w:rPr>
        <w:t xml:space="preserve">. 2019. Disponível em: </w:t>
      </w:r>
    </w:p>
    <w:p w:rsidR="009D60B7" w:rsidRDefault="00425C09">
      <w:pPr>
        <w:spacing w:after="2" w:line="355" w:lineRule="auto"/>
        <w:ind w:left="9" w:hanging="10"/>
        <w:rPr>
          <w:sz w:val="24"/>
          <w:szCs w:val="24"/>
        </w:rPr>
      </w:pPr>
      <w:hyperlink r:id="rId113">
        <w:r>
          <w:rPr>
            <w:rFonts w:ascii="Arial" w:hAnsi="Arial"/>
            <w:color w:val="6D6D6D"/>
            <w:sz w:val="24"/>
            <w:szCs w:val="24"/>
            <w:u w:val="single" w:color="6D6D6D"/>
          </w:rPr>
          <w:t>https://www.stj.jus.br/sites/portalp/Paginas/Comunicacao/Noticiasantigas/2019/O</w:t>
        </w:r>
      </w:hyperlink>
      <w:hyperlink r:id="rId114">
        <w:r>
          <w:rPr>
            <w:rFonts w:ascii="Arial" w:hAnsi="Arial"/>
            <w:color w:val="6D6D6D"/>
            <w:sz w:val="24"/>
            <w:szCs w:val="24"/>
            <w:u w:val="single" w:color="6D6D6D"/>
          </w:rPr>
          <w:t>-</w:t>
        </w:r>
      </w:hyperlink>
      <w:hyperlink r:id="rId115">
        <w:r>
          <w:rPr>
            <w:rFonts w:ascii="Arial" w:hAnsi="Arial"/>
            <w:color w:val="6D6D6D"/>
            <w:sz w:val="24"/>
            <w:szCs w:val="24"/>
            <w:u w:val="single" w:color="6D6D6D"/>
          </w:rPr>
          <w:t>empenho</w:t>
        </w:r>
      </w:hyperlink>
      <w:hyperlink r:id="rId116">
        <w:r>
          <w:rPr>
            <w:rFonts w:ascii="Arial" w:hAnsi="Arial"/>
            <w:color w:val="6D6D6D"/>
            <w:sz w:val="24"/>
            <w:szCs w:val="24"/>
            <w:u w:val="single" w:color="6D6D6D"/>
          </w:rPr>
          <w:t>da</w:t>
        </w:r>
      </w:hyperlink>
      <w:hyperlink r:id="rId117">
        <w:r>
          <w:rPr>
            <w:rFonts w:ascii="Arial" w:hAnsi="Arial"/>
            <w:color w:val="6D6D6D"/>
            <w:sz w:val="24"/>
            <w:szCs w:val="24"/>
            <w:u w:val="single" w:color="6D6D6D"/>
          </w:rPr>
          <w:t>-</w:t>
        </w:r>
      </w:hyperlink>
      <w:hyperlink r:id="rId118">
        <w:r>
          <w:rPr>
            <w:rFonts w:ascii="Arial" w:hAnsi="Arial"/>
            <w:color w:val="6D6D6D"/>
            <w:sz w:val="24"/>
            <w:szCs w:val="24"/>
            <w:u w:val="single" w:color="6D6D6D"/>
          </w:rPr>
          <w:t>Justica</w:t>
        </w:r>
      </w:hyperlink>
      <w:hyperlink r:id="rId119">
        <w:r>
          <w:rPr>
            <w:rFonts w:ascii="Arial" w:hAnsi="Arial"/>
            <w:color w:val="6D6D6D"/>
            <w:sz w:val="24"/>
            <w:szCs w:val="24"/>
            <w:u w:val="single" w:color="6D6D6D"/>
          </w:rPr>
          <w:t>-</w:t>
        </w:r>
      </w:hyperlink>
      <w:hyperlink r:id="rId120">
        <w:r>
          <w:rPr>
            <w:rFonts w:ascii="Arial" w:hAnsi="Arial"/>
            <w:color w:val="6D6D6D"/>
            <w:sz w:val="24"/>
            <w:szCs w:val="24"/>
            <w:u w:val="single" w:color="6D6D6D"/>
          </w:rPr>
          <w:t>para</w:t>
        </w:r>
      </w:hyperlink>
      <w:hyperlink r:id="rId121">
        <w:r>
          <w:rPr>
            <w:rFonts w:ascii="Arial" w:hAnsi="Arial"/>
            <w:color w:val="6D6D6D"/>
            <w:sz w:val="24"/>
            <w:szCs w:val="24"/>
            <w:u w:val="single" w:color="6D6D6D"/>
          </w:rPr>
          <w:t>-</w:t>
        </w:r>
      </w:hyperlink>
      <w:hyperlink r:id="rId122">
        <w:r>
          <w:rPr>
            <w:rFonts w:ascii="Arial" w:hAnsi="Arial"/>
            <w:color w:val="6D6D6D"/>
            <w:sz w:val="24"/>
            <w:szCs w:val="24"/>
            <w:u w:val="single" w:color="6D6D6D"/>
          </w:rPr>
          <w:t>evitar</w:t>
        </w:r>
      </w:hyperlink>
      <w:hyperlink r:id="rId123">
        <w:r>
          <w:rPr>
            <w:rFonts w:ascii="Arial" w:hAnsi="Arial"/>
            <w:color w:val="6D6D6D"/>
            <w:sz w:val="24"/>
            <w:szCs w:val="24"/>
            <w:u w:val="single" w:color="6D6D6D"/>
          </w:rPr>
          <w:t>-</w:t>
        </w:r>
      </w:hyperlink>
      <w:hyperlink r:id="rId124">
        <w:r>
          <w:rPr>
            <w:rFonts w:ascii="Arial" w:hAnsi="Arial"/>
            <w:color w:val="6D6D6D"/>
            <w:sz w:val="24"/>
            <w:szCs w:val="24"/>
            <w:u w:val="single" w:color="6D6D6D"/>
          </w:rPr>
          <w:t>os</w:t>
        </w:r>
      </w:hyperlink>
      <w:hyperlink r:id="rId125">
        <w:r>
          <w:rPr>
            <w:rFonts w:ascii="Arial" w:hAnsi="Arial"/>
            <w:color w:val="6D6D6D"/>
            <w:sz w:val="24"/>
            <w:szCs w:val="24"/>
            <w:u w:val="single" w:color="6D6D6D"/>
          </w:rPr>
          <w:t>-</w:t>
        </w:r>
      </w:hyperlink>
      <w:hyperlink r:id="rId126">
        <w:r>
          <w:rPr>
            <w:rFonts w:ascii="Arial" w:hAnsi="Arial"/>
            <w:color w:val="6D6D6D"/>
            <w:sz w:val="24"/>
            <w:szCs w:val="24"/>
            <w:u w:val="single" w:color="6D6D6D"/>
          </w:rPr>
          <w:t>danos</w:t>
        </w:r>
      </w:hyperlink>
      <w:hyperlink r:id="rId127">
        <w:r>
          <w:rPr>
            <w:rFonts w:ascii="Arial" w:hAnsi="Arial"/>
            <w:color w:val="6D6D6D"/>
            <w:sz w:val="24"/>
            <w:szCs w:val="24"/>
            <w:u w:val="single" w:color="6D6D6D"/>
          </w:rPr>
          <w:t>-</w:t>
        </w:r>
      </w:hyperlink>
      <w:hyperlink r:id="rId128">
        <w:r>
          <w:rPr>
            <w:rFonts w:ascii="Arial" w:hAnsi="Arial"/>
            <w:color w:val="6D6D6D"/>
            <w:sz w:val="24"/>
            <w:szCs w:val="24"/>
            <w:u w:val="single" w:color="6D6D6D"/>
          </w:rPr>
          <w:t>da</w:t>
        </w:r>
      </w:hyperlink>
      <w:hyperlink r:id="rId129">
        <w:r>
          <w:rPr>
            <w:rFonts w:ascii="Arial" w:hAnsi="Arial"/>
            <w:color w:val="6D6D6D"/>
            <w:sz w:val="24"/>
            <w:szCs w:val="24"/>
            <w:u w:val="single" w:color="6D6D6D"/>
          </w:rPr>
          <w:t>-</w:t>
        </w:r>
      </w:hyperlink>
      <w:hyperlink r:id="rId130">
        <w:r>
          <w:rPr>
            <w:rFonts w:ascii="Arial" w:hAnsi="Arial"/>
            <w:color w:val="6D6D6D"/>
            <w:sz w:val="24"/>
            <w:szCs w:val="24"/>
            <w:u w:val="single" w:color="6D6D6D"/>
          </w:rPr>
          <w:t>alienacao</w:t>
        </w:r>
      </w:hyperlink>
      <w:hyperlink r:id="rId131">
        <w:r>
          <w:rPr>
            <w:rFonts w:ascii="Arial" w:hAnsi="Arial"/>
            <w:color w:val="6D6D6D"/>
            <w:sz w:val="24"/>
            <w:szCs w:val="24"/>
            <w:u w:val="single" w:color="6D6D6D"/>
          </w:rPr>
          <w:t>-</w:t>
        </w:r>
      </w:hyperlink>
      <w:hyperlink r:id="rId132">
        <w:r>
          <w:rPr>
            <w:rFonts w:ascii="Arial" w:hAnsi="Arial"/>
            <w:color w:val="6D6D6D"/>
            <w:sz w:val="24"/>
            <w:szCs w:val="24"/>
            <w:u w:val="single" w:color="6D6D6D"/>
          </w:rPr>
          <w:t>parental.aspx</w:t>
        </w:r>
      </w:hyperlink>
      <w:hyperlink r:id="rId133">
        <w:r>
          <w:rPr>
            <w:rFonts w:ascii="Arial" w:hAnsi="Arial"/>
            <w:sz w:val="24"/>
            <w:szCs w:val="24"/>
          </w:rPr>
          <w:t>.</w:t>
        </w:r>
      </w:hyperlink>
      <w:r>
        <w:rPr>
          <w:rFonts w:ascii="Arial" w:hAnsi="Arial"/>
          <w:sz w:val="24"/>
          <w:szCs w:val="24"/>
        </w:rPr>
        <w:t xml:space="preserve"> Acesso em: 20 dez. 2025.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spacing w:after="1"/>
        <w:ind w:left="9" w:hanging="10"/>
        <w:rPr>
          <w:rFonts w:ascii="Arial" w:hAnsi="Arial"/>
          <w:sz w:val="24"/>
          <w:szCs w:val="24"/>
        </w:rPr>
      </w:pPr>
      <w:r>
        <w:rPr>
          <w:rFonts w:ascii="Arial" w:hAnsi="Arial"/>
          <w:sz w:val="24"/>
          <w:szCs w:val="24"/>
        </w:rPr>
        <w:t xml:space="preserve">BRAZ, Rafael. </w:t>
      </w:r>
      <w:r>
        <w:rPr>
          <w:rFonts w:ascii="Arial" w:hAnsi="Arial"/>
          <w:b/>
          <w:bCs/>
          <w:i/>
          <w:sz w:val="24"/>
          <w:szCs w:val="24"/>
        </w:rPr>
        <w:t>O abandono afetivo e suas consequências jurídica</w:t>
      </w:r>
      <w:r>
        <w:rPr>
          <w:rFonts w:ascii="Arial" w:hAnsi="Arial"/>
          <w:i/>
          <w:sz w:val="24"/>
          <w:szCs w:val="24"/>
        </w:rPr>
        <w:t>s</w:t>
      </w:r>
      <w:r>
        <w:rPr>
          <w:rFonts w:ascii="Arial" w:hAnsi="Arial"/>
          <w:sz w:val="24"/>
          <w:szCs w:val="24"/>
        </w:rPr>
        <w:t xml:space="preserve">. Rio de Janeiro: Forense, 2022.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pPr>
        <w:ind w:left="-1" w:right="42"/>
        <w:rPr>
          <w:sz w:val="24"/>
          <w:szCs w:val="24"/>
        </w:rPr>
      </w:pPr>
      <w:r>
        <w:rPr>
          <w:rFonts w:ascii="Arial" w:hAnsi="Arial"/>
          <w:sz w:val="24"/>
          <w:szCs w:val="24"/>
        </w:rPr>
        <w:t xml:space="preserve">CARIVALI, Gabriela Oliveira Batista; AZEVEDO, Flávia Regina Porto de. </w:t>
      </w:r>
      <w:r>
        <w:rPr>
          <w:rFonts w:ascii="Arial" w:hAnsi="Arial"/>
          <w:b/>
          <w:bCs/>
          <w:sz w:val="24"/>
          <w:szCs w:val="24"/>
        </w:rPr>
        <w:t>Alienação parental: a violação de direitos fundamentais da criança e do adolescente.</w:t>
      </w:r>
      <w:r>
        <w:rPr>
          <w:rFonts w:ascii="Arial" w:hAnsi="Arial"/>
          <w:sz w:val="24"/>
          <w:szCs w:val="24"/>
        </w:rPr>
        <w:t xml:space="preserve"> </w:t>
      </w:r>
      <w:r>
        <w:rPr>
          <w:rFonts w:ascii="Arial" w:hAnsi="Arial"/>
          <w:i/>
          <w:sz w:val="24"/>
          <w:szCs w:val="24"/>
        </w:rPr>
        <w:t>Revista IberoAmericana de Humanidades, Ciências e Educação</w:t>
      </w:r>
      <w:r>
        <w:rPr>
          <w:rFonts w:ascii="Arial" w:hAnsi="Arial"/>
          <w:sz w:val="24"/>
          <w:szCs w:val="24"/>
        </w:rPr>
        <w:t xml:space="preserve">, v. 10, n. 5, p. 1503–1516, 2024. Disponível em: </w:t>
      </w:r>
      <w:hyperlink r:id="rId134">
        <w:r>
          <w:rPr>
            <w:rFonts w:ascii="Arial" w:hAnsi="Arial"/>
            <w:color w:val="6D6D6D"/>
            <w:sz w:val="24"/>
            <w:szCs w:val="24"/>
            <w:u w:val="single" w:color="6D6D6D"/>
          </w:rPr>
          <w:t>https://periodicorease.pro.br/rease/article/view/13548</w:t>
        </w:r>
      </w:hyperlink>
      <w:hyperlink r:id="rId135">
        <w:r>
          <w:rPr>
            <w:rFonts w:ascii="Arial" w:hAnsi="Arial"/>
            <w:sz w:val="24"/>
            <w:szCs w:val="24"/>
          </w:rPr>
          <w:t>.</w:t>
        </w:r>
      </w:hyperlink>
      <w:r>
        <w:rPr>
          <w:rFonts w:ascii="Arial" w:hAnsi="Arial"/>
          <w:sz w:val="24"/>
          <w:szCs w:val="24"/>
        </w:rPr>
        <w:t xml:space="preserve"> Acesso em: 8 fev. 2026.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DIAS, Maria Berenice. </w:t>
      </w:r>
      <w:r>
        <w:rPr>
          <w:rFonts w:ascii="Arial" w:hAnsi="Arial"/>
          <w:b/>
          <w:bCs/>
          <w:i/>
          <w:sz w:val="24"/>
          <w:szCs w:val="24"/>
        </w:rPr>
        <w:t>Manual de Direito das Família</w:t>
      </w:r>
      <w:r>
        <w:rPr>
          <w:rFonts w:ascii="Arial" w:hAnsi="Arial"/>
          <w:i/>
          <w:sz w:val="24"/>
          <w:szCs w:val="24"/>
        </w:rPr>
        <w:t>s</w:t>
      </w:r>
      <w:r>
        <w:rPr>
          <w:rFonts w:ascii="Arial" w:hAnsi="Arial"/>
          <w:sz w:val="24"/>
          <w:szCs w:val="24"/>
        </w:rPr>
        <w:t xml:space="preserve">. 11. ed. São Paulo: Revista dos Tribunais, 2016.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rsidP="00E8635F">
      <w:pPr>
        <w:spacing w:after="112" w:line="259" w:lineRule="auto"/>
        <w:ind w:left="9" w:hanging="10"/>
        <w:rPr>
          <w:rFonts w:ascii="Arial" w:hAnsi="Arial"/>
          <w:sz w:val="24"/>
          <w:szCs w:val="24"/>
        </w:rPr>
      </w:pPr>
      <w:r>
        <w:rPr>
          <w:rFonts w:ascii="Arial" w:hAnsi="Arial"/>
          <w:sz w:val="24"/>
          <w:szCs w:val="24"/>
        </w:rPr>
        <w:lastRenderedPageBreak/>
        <w:t xml:space="preserve">DIAS, Maria Berenice. </w:t>
      </w:r>
      <w:r>
        <w:rPr>
          <w:rFonts w:ascii="Arial" w:hAnsi="Arial"/>
          <w:b/>
          <w:bCs/>
          <w:i/>
          <w:sz w:val="24"/>
          <w:szCs w:val="24"/>
        </w:rPr>
        <w:t>Alienação parental: uma nova lei para um velho problema</w:t>
      </w:r>
      <w:r>
        <w:rPr>
          <w:rFonts w:ascii="Arial" w:hAnsi="Arial"/>
          <w:sz w:val="24"/>
          <w:szCs w:val="24"/>
        </w:rPr>
        <w:t xml:space="preserve">. São Paulo: Atlas, 2022.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rsidP="00E8635F">
      <w:pPr>
        <w:spacing w:after="115" w:line="259" w:lineRule="auto"/>
        <w:ind w:left="9" w:hanging="10"/>
        <w:rPr>
          <w:rFonts w:ascii="Arial" w:hAnsi="Arial"/>
          <w:sz w:val="24"/>
          <w:szCs w:val="24"/>
        </w:rPr>
      </w:pPr>
      <w:r>
        <w:rPr>
          <w:rFonts w:ascii="Arial" w:hAnsi="Arial"/>
          <w:sz w:val="24"/>
          <w:szCs w:val="24"/>
        </w:rPr>
        <w:t xml:space="preserve">DIAS, Maria Berenice. </w:t>
      </w:r>
      <w:r>
        <w:rPr>
          <w:rFonts w:ascii="Arial" w:hAnsi="Arial"/>
          <w:b/>
          <w:bCs/>
          <w:i/>
          <w:sz w:val="24"/>
          <w:szCs w:val="24"/>
        </w:rPr>
        <w:t>Alienação parental: da interdisciplinaridade aos tribunais</w:t>
      </w:r>
      <w:r>
        <w:rPr>
          <w:rFonts w:ascii="Arial" w:hAnsi="Arial"/>
          <w:b/>
          <w:bCs/>
          <w:sz w:val="24"/>
          <w:szCs w:val="24"/>
        </w:rPr>
        <w:t xml:space="preserve">. </w:t>
      </w:r>
      <w:r>
        <w:rPr>
          <w:rFonts w:ascii="Arial" w:hAnsi="Arial"/>
          <w:sz w:val="24"/>
          <w:szCs w:val="24"/>
        </w:rPr>
        <w:t xml:space="preserve">São Paulo: JusPodivm, 2023.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FARIAS, Cristiano Chaves de; ROSENVALD, Nelson. </w:t>
      </w:r>
      <w:r>
        <w:rPr>
          <w:rFonts w:ascii="Arial" w:hAnsi="Arial"/>
          <w:b/>
          <w:bCs/>
          <w:i/>
          <w:sz w:val="24"/>
          <w:szCs w:val="24"/>
        </w:rPr>
        <w:t>Curso de Direito Civil: Famílias</w:t>
      </w:r>
      <w:r>
        <w:rPr>
          <w:rFonts w:ascii="Arial" w:hAnsi="Arial"/>
          <w:sz w:val="24"/>
          <w:szCs w:val="24"/>
        </w:rPr>
        <w:t xml:space="preserve">. 12. ed. Salvador: JusPodivm, 2020.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 w:right="42"/>
        <w:rPr>
          <w:sz w:val="24"/>
          <w:szCs w:val="24"/>
        </w:rPr>
      </w:pPr>
      <w:r>
        <w:rPr>
          <w:rFonts w:ascii="Arial" w:hAnsi="Arial"/>
          <w:sz w:val="24"/>
          <w:szCs w:val="24"/>
        </w:rPr>
        <w:t xml:space="preserve">FIGUEIREDO, Luciana Carvalheira de. </w:t>
      </w:r>
      <w:r>
        <w:rPr>
          <w:rFonts w:ascii="Arial" w:hAnsi="Arial"/>
          <w:b/>
          <w:bCs/>
          <w:sz w:val="24"/>
          <w:szCs w:val="24"/>
        </w:rPr>
        <w:t>Alienação parental no direito de família</w:t>
      </w:r>
      <w:r>
        <w:rPr>
          <w:rFonts w:ascii="Arial" w:hAnsi="Arial"/>
          <w:sz w:val="24"/>
          <w:szCs w:val="24"/>
        </w:rPr>
        <w:t xml:space="preserve">. </w:t>
      </w:r>
      <w:r>
        <w:rPr>
          <w:rFonts w:ascii="Arial" w:hAnsi="Arial"/>
          <w:i/>
          <w:sz w:val="24"/>
          <w:szCs w:val="24"/>
        </w:rPr>
        <w:t>Revista IberoAmericana de Humanidades, Ciências e Educação</w:t>
      </w:r>
      <w:r>
        <w:rPr>
          <w:rFonts w:ascii="Arial" w:hAnsi="Arial"/>
          <w:sz w:val="24"/>
          <w:szCs w:val="24"/>
        </w:rPr>
        <w:t xml:space="preserve">, v. 11, n. 2, p. 12–205, 2025. Disponível em: </w:t>
      </w:r>
      <w:hyperlink r:id="rId136">
        <w:r>
          <w:rPr>
            <w:rFonts w:ascii="Arial" w:hAnsi="Arial"/>
            <w:color w:val="6D6D6D"/>
            <w:sz w:val="24"/>
            <w:szCs w:val="24"/>
            <w:u w:val="single" w:color="6D6D6D"/>
          </w:rPr>
          <w:t>https://periodicorease.pro.br/rease/article/view/18184</w:t>
        </w:r>
      </w:hyperlink>
      <w:hyperlink r:id="rId137">
        <w:r>
          <w:rPr>
            <w:rFonts w:ascii="Arial" w:hAnsi="Arial"/>
            <w:sz w:val="24"/>
            <w:szCs w:val="24"/>
          </w:rPr>
          <w:t>.</w:t>
        </w:r>
      </w:hyperlink>
      <w:r>
        <w:rPr>
          <w:rFonts w:ascii="Arial" w:hAnsi="Arial"/>
          <w:sz w:val="24"/>
          <w:szCs w:val="24"/>
        </w:rPr>
        <w:t xml:space="preserve"> Acesso em: 27 out. 2025.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FULLER, Mayara Oddone Volpe. </w:t>
      </w:r>
      <w:r>
        <w:rPr>
          <w:rFonts w:ascii="Arial" w:hAnsi="Arial"/>
          <w:b/>
          <w:bCs/>
          <w:i/>
          <w:sz w:val="24"/>
          <w:szCs w:val="24"/>
        </w:rPr>
        <w:t>O abandono afetivo parental e suas consequências jurídicas</w:t>
      </w:r>
      <w:r>
        <w:rPr>
          <w:rFonts w:ascii="Arial" w:hAnsi="Arial"/>
          <w:sz w:val="24"/>
          <w:szCs w:val="24"/>
        </w:rPr>
        <w:t xml:space="preserve">. 2024. Dissertação (Mestrado em Direito) – Pontifícia Universidade Católica de São Paulo, São Paulo, 2024.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spacing w:after="112" w:line="259" w:lineRule="auto"/>
        <w:ind w:left="-1" w:right="42"/>
        <w:rPr>
          <w:rFonts w:ascii="Arial" w:hAnsi="Arial"/>
          <w:sz w:val="24"/>
          <w:szCs w:val="24"/>
        </w:rPr>
      </w:pPr>
      <w:r>
        <w:rPr>
          <w:rFonts w:ascii="Arial" w:hAnsi="Arial"/>
          <w:sz w:val="24"/>
          <w:szCs w:val="24"/>
        </w:rPr>
        <w:t xml:space="preserve">GIL, Antônio Carlos. </w:t>
      </w:r>
      <w:r>
        <w:rPr>
          <w:rFonts w:ascii="Arial" w:hAnsi="Arial"/>
          <w:b/>
          <w:bCs/>
          <w:i/>
          <w:sz w:val="24"/>
          <w:szCs w:val="24"/>
        </w:rPr>
        <w:t>Como elaborar projetos de pesquisa</w:t>
      </w:r>
      <w:r>
        <w:rPr>
          <w:rFonts w:ascii="Arial" w:hAnsi="Arial"/>
          <w:b/>
          <w:bCs/>
          <w:sz w:val="24"/>
          <w:szCs w:val="24"/>
        </w:rPr>
        <w:t xml:space="preserve">. </w:t>
      </w:r>
      <w:r>
        <w:rPr>
          <w:rFonts w:ascii="Arial" w:hAnsi="Arial"/>
          <w:sz w:val="24"/>
          <w:szCs w:val="24"/>
        </w:rPr>
        <w:t xml:space="preserve">São Paulo: Atlas, 2022. </w:t>
      </w:r>
    </w:p>
    <w:p w:rsidR="009D60B7" w:rsidRDefault="00425C09">
      <w:pPr>
        <w:spacing w:after="116"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GONÇALVES, Carlos Roberto. </w:t>
      </w:r>
      <w:r>
        <w:rPr>
          <w:rFonts w:ascii="Arial" w:hAnsi="Arial"/>
          <w:b/>
          <w:bCs/>
          <w:i/>
          <w:sz w:val="24"/>
          <w:szCs w:val="24"/>
        </w:rPr>
        <w:t>Direito civil brasileiro: direito de família</w:t>
      </w:r>
      <w:r>
        <w:rPr>
          <w:rFonts w:ascii="Arial" w:hAnsi="Arial"/>
          <w:sz w:val="24"/>
          <w:szCs w:val="24"/>
        </w:rPr>
        <w:t xml:space="preserve">. São Paulo: Saraiva, 2011.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Pr="00761183" w:rsidRDefault="00425C09">
      <w:pPr>
        <w:ind w:left="-1" w:right="42"/>
        <w:rPr>
          <w:rFonts w:ascii="Arial" w:hAnsi="Arial"/>
          <w:sz w:val="24"/>
          <w:szCs w:val="24"/>
          <w:lang w:val="en-US"/>
        </w:rPr>
      </w:pPr>
      <w:r>
        <w:rPr>
          <w:rFonts w:ascii="Arial" w:hAnsi="Arial"/>
          <w:sz w:val="24"/>
          <w:szCs w:val="24"/>
        </w:rPr>
        <w:t xml:space="preserve">GONÇALVES, Carlos Roberto. </w:t>
      </w:r>
      <w:r>
        <w:rPr>
          <w:rFonts w:ascii="Arial" w:hAnsi="Arial"/>
          <w:b/>
          <w:bCs/>
          <w:i/>
          <w:sz w:val="24"/>
          <w:szCs w:val="24"/>
        </w:rPr>
        <w:t>Direito civil: direito de família</w:t>
      </w:r>
      <w:r>
        <w:rPr>
          <w:rFonts w:ascii="Arial" w:hAnsi="Arial"/>
          <w:sz w:val="24"/>
          <w:szCs w:val="24"/>
        </w:rPr>
        <w:t xml:space="preserve">. São Paulo: Saraiva, 2018. KELLY, Joan; JOHNSTON, Janet. A criança alienada: uma reformulação da síndrome de alienação parental. </w:t>
      </w:r>
      <w:r>
        <w:rPr>
          <w:rFonts w:ascii="Arial" w:hAnsi="Arial"/>
          <w:i/>
          <w:sz w:val="24"/>
          <w:szCs w:val="24"/>
          <w:lang w:val="en-US"/>
        </w:rPr>
        <w:t>Family Court Review</w:t>
      </w:r>
      <w:r>
        <w:rPr>
          <w:rFonts w:ascii="Arial" w:hAnsi="Arial"/>
          <w:sz w:val="24"/>
          <w:szCs w:val="24"/>
          <w:lang w:val="en-US"/>
        </w:rPr>
        <w:t xml:space="preserve">, v. 39, n. 3, p. 249–266, 2001. </w:t>
      </w:r>
    </w:p>
    <w:p w:rsidR="009D60B7" w:rsidRPr="00761183" w:rsidRDefault="00425C09">
      <w:pPr>
        <w:spacing w:after="113" w:line="259" w:lineRule="auto"/>
        <w:ind w:left="14"/>
        <w:rPr>
          <w:rFonts w:ascii="Arial" w:hAnsi="Arial"/>
          <w:sz w:val="24"/>
          <w:szCs w:val="24"/>
          <w:lang w:val="en-US"/>
        </w:rPr>
      </w:pPr>
      <w:r>
        <w:rPr>
          <w:rFonts w:ascii="Arial" w:hAnsi="Arial"/>
          <w:sz w:val="24"/>
          <w:szCs w:val="24"/>
          <w:lang w:val="en-US"/>
        </w:rPr>
        <w:t xml:space="preserve"> </w:t>
      </w:r>
    </w:p>
    <w:p w:rsidR="009D60B7" w:rsidRDefault="00425C09">
      <w:pPr>
        <w:spacing w:line="259" w:lineRule="auto"/>
        <w:ind w:left="-1" w:right="42"/>
        <w:rPr>
          <w:rFonts w:ascii="Arial" w:hAnsi="Arial"/>
          <w:sz w:val="24"/>
          <w:szCs w:val="24"/>
        </w:rPr>
      </w:pPr>
      <w:r>
        <w:rPr>
          <w:rFonts w:ascii="Arial" w:hAnsi="Arial"/>
          <w:sz w:val="24"/>
          <w:szCs w:val="24"/>
          <w:lang w:val="en-US"/>
        </w:rPr>
        <w:t xml:space="preserve">MADALENO, Rolf. </w:t>
      </w:r>
      <w:r>
        <w:rPr>
          <w:rFonts w:ascii="Arial" w:hAnsi="Arial"/>
          <w:b/>
          <w:bCs/>
          <w:i/>
          <w:sz w:val="24"/>
          <w:szCs w:val="24"/>
          <w:lang w:val="en-US"/>
        </w:rPr>
        <w:t>Alienação parental</w:t>
      </w:r>
      <w:r>
        <w:rPr>
          <w:rFonts w:ascii="Arial" w:hAnsi="Arial"/>
          <w:sz w:val="24"/>
          <w:szCs w:val="24"/>
          <w:lang w:val="en-US"/>
        </w:rPr>
        <w:t xml:space="preserve">. </w:t>
      </w:r>
      <w:r>
        <w:rPr>
          <w:rFonts w:ascii="Arial" w:hAnsi="Arial"/>
          <w:sz w:val="24"/>
          <w:szCs w:val="24"/>
        </w:rPr>
        <w:t xml:space="preserve">Rio de Janeiro: Forense, 2023.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MADALENO, Rolf; MADALENO, Ana Carolina Carpes. </w:t>
      </w:r>
      <w:r>
        <w:rPr>
          <w:rFonts w:ascii="Arial" w:hAnsi="Arial"/>
          <w:b/>
          <w:bCs/>
          <w:i/>
          <w:sz w:val="24"/>
          <w:szCs w:val="24"/>
        </w:rPr>
        <w:t>Síndrome da alienação parental e a guarda compartilhada</w:t>
      </w:r>
      <w:r>
        <w:rPr>
          <w:rFonts w:ascii="Arial" w:hAnsi="Arial"/>
          <w:sz w:val="24"/>
          <w:szCs w:val="24"/>
        </w:rPr>
        <w:t xml:space="preserve">. Porto Alegre: Forense, 2018.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pPr>
        <w:spacing w:after="1"/>
        <w:ind w:left="9" w:hanging="10"/>
        <w:rPr>
          <w:rFonts w:ascii="Arial" w:hAnsi="Arial"/>
          <w:sz w:val="24"/>
          <w:szCs w:val="24"/>
        </w:rPr>
      </w:pPr>
      <w:r>
        <w:rPr>
          <w:rFonts w:ascii="Arial" w:hAnsi="Arial"/>
          <w:sz w:val="24"/>
          <w:szCs w:val="24"/>
        </w:rPr>
        <w:t xml:space="preserve">NASCIMENTO, Laura. </w:t>
      </w:r>
      <w:r>
        <w:rPr>
          <w:rFonts w:ascii="Arial" w:hAnsi="Arial"/>
          <w:i/>
          <w:sz w:val="24"/>
          <w:szCs w:val="24"/>
        </w:rPr>
        <w:t>A</w:t>
      </w:r>
      <w:r>
        <w:rPr>
          <w:rFonts w:ascii="Arial" w:hAnsi="Arial"/>
          <w:b/>
          <w:bCs/>
          <w:i/>
          <w:sz w:val="24"/>
          <w:szCs w:val="24"/>
        </w:rPr>
        <w:t>lienação parental e a responsabilidade civil por violação aos direitos de personalidade</w:t>
      </w:r>
      <w:r>
        <w:rPr>
          <w:rFonts w:ascii="Arial" w:hAnsi="Arial"/>
          <w:b/>
          <w:bCs/>
          <w:sz w:val="24"/>
          <w:szCs w:val="24"/>
        </w:rPr>
        <w:t>.</w:t>
      </w:r>
      <w:r>
        <w:rPr>
          <w:rFonts w:ascii="Arial" w:hAnsi="Arial"/>
          <w:sz w:val="24"/>
          <w:szCs w:val="24"/>
        </w:rPr>
        <w:t xml:space="preserve"> São Paulo: Lumen Juris, 2020.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PEREIRA, Rodrigo da Cunha. </w:t>
      </w:r>
      <w:r>
        <w:rPr>
          <w:rFonts w:ascii="Arial" w:hAnsi="Arial"/>
          <w:b/>
          <w:bCs/>
          <w:i/>
          <w:sz w:val="24"/>
          <w:szCs w:val="24"/>
        </w:rPr>
        <w:t>Direito de família e o novo Código Civil</w:t>
      </w:r>
      <w:r>
        <w:rPr>
          <w:rFonts w:ascii="Arial" w:hAnsi="Arial"/>
          <w:b/>
          <w:bCs/>
          <w:sz w:val="24"/>
          <w:szCs w:val="24"/>
        </w:rPr>
        <w:t xml:space="preserve">. </w:t>
      </w:r>
      <w:r>
        <w:rPr>
          <w:rFonts w:ascii="Arial" w:hAnsi="Arial"/>
          <w:sz w:val="24"/>
          <w:szCs w:val="24"/>
        </w:rPr>
        <w:t xml:space="preserve">Belo Horizonte: Del Rey, 2012.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pPr>
        <w:ind w:left="-1" w:right="42"/>
        <w:rPr>
          <w:rFonts w:ascii="Arial" w:hAnsi="Arial"/>
          <w:sz w:val="24"/>
          <w:szCs w:val="24"/>
        </w:rPr>
      </w:pPr>
      <w:r>
        <w:rPr>
          <w:rFonts w:ascii="Arial" w:hAnsi="Arial"/>
          <w:sz w:val="24"/>
          <w:szCs w:val="24"/>
        </w:rPr>
        <w:t xml:space="preserve">SILVA BARROS, Ana Carolina. </w:t>
      </w:r>
      <w:r>
        <w:rPr>
          <w:rFonts w:ascii="Arial" w:hAnsi="Arial"/>
          <w:b/>
          <w:bCs/>
          <w:i/>
          <w:sz w:val="24"/>
          <w:szCs w:val="24"/>
        </w:rPr>
        <w:t>Alienação parental: aspectos psicológicos, jurídicos e sociais</w:t>
      </w:r>
      <w:r>
        <w:rPr>
          <w:rFonts w:ascii="Arial" w:hAnsi="Arial"/>
          <w:sz w:val="24"/>
          <w:szCs w:val="24"/>
        </w:rPr>
        <w:t xml:space="preserve">. São Paulo: Editora Jurídica Contemporânea, 2018. </w:t>
      </w:r>
    </w:p>
    <w:p w:rsidR="009D60B7" w:rsidRDefault="00425C09">
      <w:pPr>
        <w:spacing w:after="113" w:line="259" w:lineRule="auto"/>
        <w:ind w:left="14"/>
        <w:rPr>
          <w:rFonts w:ascii="Arial" w:hAnsi="Arial"/>
          <w:sz w:val="24"/>
          <w:szCs w:val="24"/>
        </w:rPr>
      </w:pPr>
      <w:r>
        <w:rPr>
          <w:rFonts w:ascii="Arial" w:hAnsi="Arial"/>
          <w:sz w:val="24"/>
          <w:szCs w:val="24"/>
        </w:rPr>
        <w:t xml:space="preserve"> </w:t>
      </w:r>
    </w:p>
    <w:p w:rsidR="009D60B7" w:rsidRDefault="00425C09">
      <w:pPr>
        <w:spacing w:after="1"/>
        <w:ind w:left="9" w:hanging="10"/>
        <w:rPr>
          <w:rFonts w:ascii="Arial" w:hAnsi="Arial"/>
          <w:sz w:val="24"/>
          <w:szCs w:val="24"/>
        </w:rPr>
      </w:pPr>
      <w:r>
        <w:rPr>
          <w:rFonts w:ascii="Arial" w:hAnsi="Arial"/>
          <w:sz w:val="24"/>
          <w:szCs w:val="24"/>
        </w:rPr>
        <w:lastRenderedPageBreak/>
        <w:t xml:space="preserve">SILVEIRA, Michelle. </w:t>
      </w:r>
      <w:r>
        <w:rPr>
          <w:rFonts w:ascii="Arial" w:hAnsi="Arial"/>
          <w:b/>
          <w:bCs/>
          <w:i/>
          <w:sz w:val="24"/>
          <w:szCs w:val="24"/>
        </w:rPr>
        <w:t>As implicações jurídicas da alienação parental e sua relação com a mediação familiar</w:t>
      </w:r>
      <w:r>
        <w:rPr>
          <w:rFonts w:ascii="Arial" w:hAnsi="Arial"/>
          <w:b/>
          <w:bCs/>
          <w:sz w:val="24"/>
          <w:szCs w:val="24"/>
        </w:rPr>
        <w:t xml:space="preserve">. </w:t>
      </w:r>
      <w:r>
        <w:rPr>
          <w:rFonts w:ascii="Arial" w:hAnsi="Arial"/>
          <w:sz w:val="24"/>
          <w:szCs w:val="24"/>
        </w:rPr>
        <w:t xml:space="preserve">São Paulo: Clube de Autores, 2023.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pPr>
        <w:ind w:left="-1" w:right="42"/>
        <w:rPr>
          <w:sz w:val="24"/>
          <w:szCs w:val="24"/>
        </w:rPr>
      </w:pPr>
      <w:r>
        <w:rPr>
          <w:rFonts w:ascii="Arial" w:hAnsi="Arial"/>
          <w:sz w:val="24"/>
          <w:szCs w:val="24"/>
        </w:rPr>
        <w:t xml:space="preserve">SIQUEIRA, Maria Gabriella. </w:t>
      </w:r>
      <w:r>
        <w:rPr>
          <w:rFonts w:ascii="Arial" w:hAnsi="Arial"/>
          <w:b/>
          <w:bCs/>
          <w:sz w:val="24"/>
          <w:szCs w:val="24"/>
        </w:rPr>
        <w:t>Considerações acerca da responsabilidade civil dos pais por abandono afetivo.</w:t>
      </w:r>
      <w:r>
        <w:rPr>
          <w:rFonts w:ascii="Arial" w:hAnsi="Arial"/>
          <w:sz w:val="24"/>
          <w:szCs w:val="24"/>
        </w:rPr>
        <w:t xml:space="preserve"> </w:t>
      </w:r>
      <w:r>
        <w:rPr>
          <w:rFonts w:ascii="Arial" w:hAnsi="Arial"/>
          <w:i/>
          <w:sz w:val="24"/>
          <w:szCs w:val="24"/>
        </w:rPr>
        <w:t>Repositório Institucional do Unifip</w:t>
      </w:r>
      <w:r>
        <w:rPr>
          <w:rFonts w:ascii="Arial" w:hAnsi="Arial"/>
          <w:sz w:val="24"/>
          <w:szCs w:val="24"/>
        </w:rPr>
        <w:t xml:space="preserve">, v. 4, n. 1, 2024. Disponível em: </w:t>
      </w:r>
      <w:hyperlink r:id="rId138">
        <w:r>
          <w:rPr>
            <w:rFonts w:ascii="Arial" w:hAnsi="Arial"/>
            <w:color w:val="6D6D6D"/>
            <w:sz w:val="24"/>
            <w:szCs w:val="24"/>
            <w:u w:val="single" w:color="6D6D6D"/>
          </w:rPr>
          <w:t>https://editora.unifip.edu.br/repositoriounifip/article/view/5040</w:t>
        </w:r>
      </w:hyperlink>
      <w:hyperlink r:id="rId139">
        <w:r>
          <w:rPr>
            <w:rFonts w:ascii="Arial" w:hAnsi="Arial"/>
            <w:sz w:val="24"/>
            <w:szCs w:val="24"/>
          </w:rPr>
          <w:t>.</w:t>
        </w:r>
      </w:hyperlink>
      <w:r>
        <w:rPr>
          <w:rFonts w:ascii="Arial" w:hAnsi="Arial"/>
          <w:sz w:val="24"/>
          <w:szCs w:val="24"/>
        </w:rPr>
        <w:t xml:space="preserve"> Acesso em: 8 fev. 2026. </w:t>
      </w:r>
    </w:p>
    <w:p w:rsidR="009D60B7" w:rsidRDefault="00425C09">
      <w:pPr>
        <w:spacing w:after="115" w:line="259" w:lineRule="auto"/>
        <w:ind w:left="14"/>
        <w:rPr>
          <w:rFonts w:ascii="Arial" w:hAnsi="Arial"/>
          <w:sz w:val="24"/>
          <w:szCs w:val="24"/>
        </w:rPr>
      </w:pPr>
      <w:r>
        <w:rPr>
          <w:rFonts w:ascii="Arial" w:hAnsi="Arial"/>
          <w:sz w:val="24"/>
          <w:szCs w:val="24"/>
        </w:rPr>
        <w:t xml:space="preserve"> </w:t>
      </w:r>
    </w:p>
    <w:p w:rsidR="009D60B7" w:rsidRDefault="00425C09">
      <w:pPr>
        <w:ind w:left="-1" w:right="42"/>
        <w:rPr>
          <w:sz w:val="24"/>
          <w:szCs w:val="24"/>
        </w:rPr>
      </w:pPr>
      <w:r>
        <w:rPr>
          <w:rFonts w:ascii="Arial" w:hAnsi="Arial"/>
          <w:sz w:val="24"/>
          <w:szCs w:val="24"/>
        </w:rPr>
        <w:t xml:space="preserve">SOUSA, Isadora Camila de Amorim; LISBINO, Jhon Kennedy Teixeira. </w:t>
      </w:r>
      <w:r>
        <w:rPr>
          <w:rFonts w:ascii="Arial" w:hAnsi="Arial"/>
          <w:b/>
          <w:bCs/>
          <w:sz w:val="24"/>
          <w:szCs w:val="24"/>
        </w:rPr>
        <w:t>Alienação parental.</w:t>
      </w:r>
      <w:r>
        <w:rPr>
          <w:rFonts w:ascii="Arial" w:hAnsi="Arial"/>
          <w:sz w:val="24"/>
          <w:szCs w:val="24"/>
        </w:rPr>
        <w:t xml:space="preserve"> </w:t>
      </w:r>
      <w:r>
        <w:rPr>
          <w:rFonts w:ascii="Arial" w:hAnsi="Arial"/>
          <w:i/>
          <w:sz w:val="24"/>
          <w:szCs w:val="24"/>
        </w:rPr>
        <w:t>Revista Ibero-Americana de Humanidades, Ciências e Educação</w:t>
      </w:r>
      <w:r>
        <w:rPr>
          <w:rFonts w:ascii="Arial" w:hAnsi="Arial"/>
          <w:sz w:val="24"/>
          <w:szCs w:val="24"/>
        </w:rPr>
        <w:t xml:space="preserve">, v. 10, n. 5, p. 5768–5781, 2024. Disponível em: </w:t>
      </w:r>
      <w:hyperlink r:id="rId140">
        <w:r>
          <w:rPr>
            <w:rFonts w:ascii="Arial" w:hAnsi="Arial"/>
            <w:color w:val="6D6D6D"/>
            <w:sz w:val="24"/>
            <w:szCs w:val="24"/>
            <w:u w:val="single" w:color="6D6D6D"/>
          </w:rPr>
          <w:t>https://periodicorease.pro.br/rease/article/view/14266</w:t>
        </w:r>
      </w:hyperlink>
      <w:hyperlink r:id="rId141">
        <w:r>
          <w:rPr>
            <w:rFonts w:ascii="Arial" w:hAnsi="Arial"/>
            <w:sz w:val="24"/>
            <w:szCs w:val="24"/>
          </w:rPr>
          <w:t>.</w:t>
        </w:r>
      </w:hyperlink>
      <w:r>
        <w:rPr>
          <w:rFonts w:ascii="Arial" w:hAnsi="Arial"/>
          <w:sz w:val="24"/>
          <w:szCs w:val="24"/>
        </w:rPr>
        <w:t xml:space="preserve"> Acesso em: 8 fev. </w:t>
      </w:r>
    </w:p>
    <w:p w:rsidR="009D60B7" w:rsidRDefault="00425C09">
      <w:pPr>
        <w:spacing w:after="112" w:line="259" w:lineRule="auto"/>
        <w:ind w:left="-1" w:right="42"/>
        <w:rPr>
          <w:rFonts w:ascii="Arial" w:hAnsi="Arial"/>
          <w:sz w:val="24"/>
          <w:szCs w:val="24"/>
        </w:rPr>
      </w:pPr>
      <w:r>
        <w:rPr>
          <w:rFonts w:ascii="Arial" w:hAnsi="Arial"/>
          <w:sz w:val="24"/>
          <w:szCs w:val="24"/>
        </w:rPr>
        <w:t xml:space="preserve">2026. </w:t>
      </w:r>
    </w:p>
    <w:p w:rsidR="009D60B7" w:rsidRDefault="00425C09">
      <w:pPr>
        <w:spacing w:after="116" w:line="259" w:lineRule="auto"/>
        <w:ind w:left="14"/>
        <w:rPr>
          <w:rFonts w:ascii="Arial" w:hAnsi="Arial"/>
          <w:sz w:val="24"/>
          <w:szCs w:val="24"/>
        </w:rPr>
      </w:pPr>
      <w:r>
        <w:rPr>
          <w:rFonts w:ascii="Arial" w:hAnsi="Arial"/>
          <w:sz w:val="24"/>
          <w:szCs w:val="24"/>
        </w:rPr>
        <w:t xml:space="preserve"> </w:t>
      </w:r>
    </w:p>
    <w:p w:rsidR="009D60B7" w:rsidRDefault="00425C09">
      <w:pPr>
        <w:spacing w:after="112" w:line="259" w:lineRule="auto"/>
        <w:ind w:left="-1" w:right="42"/>
        <w:rPr>
          <w:rFonts w:ascii="Arial" w:hAnsi="Arial"/>
          <w:sz w:val="24"/>
          <w:szCs w:val="24"/>
        </w:rPr>
      </w:pPr>
      <w:r>
        <w:rPr>
          <w:rFonts w:ascii="Arial" w:hAnsi="Arial"/>
          <w:sz w:val="24"/>
          <w:szCs w:val="24"/>
        </w:rPr>
        <w:t xml:space="preserve">TARTUCE, Flávio. </w:t>
      </w:r>
      <w:r>
        <w:rPr>
          <w:rFonts w:ascii="Arial" w:hAnsi="Arial"/>
          <w:b/>
          <w:bCs/>
          <w:i/>
          <w:sz w:val="24"/>
          <w:szCs w:val="24"/>
        </w:rPr>
        <w:t>Manual de Direito Civil: volume único</w:t>
      </w:r>
      <w:r>
        <w:rPr>
          <w:rFonts w:ascii="Arial" w:hAnsi="Arial"/>
          <w:b/>
          <w:bCs/>
          <w:sz w:val="24"/>
          <w:szCs w:val="24"/>
        </w:rPr>
        <w:t>.</w:t>
      </w:r>
      <w:r>
        <w:rPr>
          <w:rFonts w:ascii="Arial" w:hAnsi="Arial"/>
          <w:sz w:val="24"/>
          <w:szCs w:val="24"/>
        </w:rPr>
        <w:t xml:space="preserve"> 11. ed. São Paulo: Método, 2021. </w:t>
      </w:r>
    </w:p>
    <w:p w:rsidR="009D60B7" w:rsidRDefault="00425C09">
      <w:pPr>
        <w:spacing w:line="259" w:lineRule="auto"/>
        <w:ind w:left="14"/>
        <w:rPr>
          <w:rFonts w:ascii="Arial" w:hAnsi="Arial"/>
          <w:sz w:val="20"/>
          <w:szCs w:val="20"/>
        </w:rPr>
      </w:pPr>
      <w:r>
        <w:rPr>
          <w:rFonts w:ascii="Arial" w:hAnsi="Arial"/>
          <w:sz w:val="20"/>
          <w:szCs w:val="20"/>
        </w:rPr>
        <w:t xml:space="preserve"> </w:t>
      </w:r>
    </w:p>
    <w:p w:rsidR="009D60B7" w:rsidRDefault="00425C09">
      <w:pPr>
        <w:spacing w:line="259" w:lineRule="auto"/>
        <w:ind w:left="14"/>
        <w:rPr>
          <w:rFonts w:ascii="Arial" w:hAnsi="Arial"/>
          <w:sz w:val="20"/>
          <w:szCs w:val="20"/>
        </w:rPr>
      </w:pPr>
      <w:r>
        <w:rPr>
          <w:rFonts w:ascii="Arial" w:hAnsi="Arial"/>
          <w:sz w:val="20"/>
          <w:szCs w:val="20"/>
        </w:rPr>
        <w:t xml:space="preserve"> </w:t>
      </w:r>
    </w:p>
    <w:p w:rsidR="009D60B7" w:rsidRDefault="009D60B7">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AC16A6" w:rsidRDefault="00AC16A6">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Pr="0013636D" w:rsidRDefault="00425C09" w:rsidP="0013636D">
      <w:pPr>
        <w:pStyle w:val="Ttulo"/>
        <w:ind w:left="102"/>
        <w:rPr>
          <w:rFonts w:ascii="Arial" w:hAnsi="Arial"/>
          <w:sz w:val="28"/>
          <w:szCs w:val="28"/>
        </w:rPr>
      </w:pPr>
      <w:bookmarkStart w:id="20" w:name="_GoBack_Copia_15"/>
      <w:r w:rsidRPr="0013636D">
        <w:rPr>
          <w:rFonts w:ascii="Arial" w:hAnsi="Arial" w:cs="Times New Roman"/>
          <w:sz w:val="28"/>
          <w:szCs w:val="28"/>
        </w:rPr>
        <w:lastRenderedPageBreak/>
        <w:t>DIREITO À APOSENTADORIA RURAL</w:t>
      </w:r>
      <w:bookmarkEnd w:id="20"/>
      <w:r w:rsidRPr="0013636D">
        <w:rPr>
          <w:rFonts w:ascii="Arial" w:hAnsi="Arial" w:cs="Times New Roman"/>
          <w:sz w:val="28"/>
          <w:szCs w:val="28"/>
        </w:rPr>
        <w:t>: DESAFIOS JURÍDICOS E A INSEGURANÇA</w:t>
      </w:r>
      <w:r w:rsidRPr="0013636D">
        <w:rPr>
          <w:rFonts w:ascii="Arial" w:hAnsi="Arial" w:cs="Times New Roman"/>
          <w:spacing w:val="-20"/>
          <w:sz w:val="28"/>
          <w:szCs w:val="28"/>
        </w:rPr>
        <w:t xml:space="preserve"> </w:t>
      </w:r>
      <w:r w:rsidRPr="0013636D">
        <w:rPr>
          <w:rFonts w:ascii="Arial" w:hAnsi="Arial" w:cs="Times New Roman"/>
          <w:sz w:val="28"/>
          <w:szCs w:val="28"/>
        </w:rPr>
        <w:t>GERADA</w:t>
      </w:r>
      <w:r w:rsidRPr="0013636D">
        <w:rPr>
          <w:rFonts w:ascii="Arial" w:hAnsi="Arial" w:cs="Times New Roman"/>
          <w:spacing w:val="-15"/>
          <w:sz w:val="28"/>
          <w:szCs w:val="28"/>
        </w:rPr>
        <w:t xml:space="preserve"> </w:t>
      </w:r>
      <w:r w:rsidRPr="0013636D">
        <w:rPr>
          <w:rFonts w:ascii="Arial" w:hAnsi="Arial" w:cs="Times New Roman"/>
          <w:sz w:val="28"/>
          <w:szCs w:val="28"/>
        </w:rPr>
        <w:t>PELA</w:t>
      </w:r>
      <w:r w:rsidRPr="0013636D">
        <w:rPr>
          <w:rFonts w:ascii="Arial" w:hAnsi="Arial" w:cs="Times New Roman"/>
          <w:spacing w:val="-20"/>
          <w:sz w:val="28"/>
          <w:szCs w:val="28"/>
        </w:rPr>
        <w:t xml:space="preserve"> </w:t>
      </w:r>
      <w:r w:rsidRPr="0013636D">
        <w:rPr>
          <w:rFonts w:ascii="Arial" w:hAnsi="Arial" w:cs="Times New Roman"/>
          <w:sz w:val="28"/>
          <w:szCs w:val="28"/>
        </w:rPr>
        <w:t>INFORMALIDADE</w:t>
      </w:r>
      <w:r w:rsidRPr="0013636D">
        <w:rPr>
          <w:rFonts w:ascii="Arial" w:hAnsi="Arial" w:cs="Times New Roman"/>
          <w:spacing w:val="-9"/>
          <w:sz w:val="28"/>
          <w:szCs w:val="28"/>
        </w:rPr>
        <w:t xml:space="preserve"> </w:t>
      </w:r>
      <w:r w:rsidRPr="0013636D">
        <w:rPr>
          <w:rFonts w:ascii="Arial" w:hAnsi="Arial" w:cs="Times New Roman"/>
          <w:sz w:val="28"/>
          <w:szCs w:val="28"/>
        </w:rPr>
        <w:t>NAS</w:t>
      </w:r>
      <w:r w:rsidRPr="0013636D">
        <w:rPr>
          <w:rFonts w:ascii="Arial" w:hAnsi="Arial" w:cs="Times New Roman"/>
          <w:spacing w:val="-7"/>
          <w:sz w:val="28"/>
          <w:szCs w:val="28"/>
        </w:rPr>
        <w:t xml:space="preserve"> </w:t>
      </w:r>
      <w:r w:rsidRPr="0013636D">
        <w:rPr>
          <w:rFonts w:ascii="Arial" w:hAnsi="Arial" w:cs="Times New Roman"/>
          <w:sz w:val="28"/>
          <w:szCs w:val="28"/>
        </w:rPr>
        <w:t>RELAÇÕES DE TRABALHO NO CAMPO.</w:t>
      </w:r>
    </w:p>
    <w:p w:rsidR="009D60B7" w:rsidRDefault="009D60B7">
      <w:pPr>
        <w:pStyle w:val="Ttulo"/>
        <w:ind w:left="0"/>
        <w:jc w:val="both"/>
        <w:rPr>
          <w:rFonts w:ascii="Arial" w:hAnsi="Arial" w:cs="Arial"/>
          <w:sz w:val="24"/>
          <w:szCs w:val="24"/>
        </w:rPr>
      </w:pPr>
    </w:p>
    <w:p w:rsidR="009D60B7" w:rsidRDefault="00425C09">
      <w:pPr>
        <w:pStyle w:val="Corpodetexto"/>
        <w:jc w:val="center"/>
        <w:rPr>
          <w:rFonts w:ascii="Arial" w:hAnsi="Arial"/>
          <w:sz w:val="24"/>
          <w:szCs w:val="24"/>
        </w:rPr>
      </w:pPr>
      <w:r>
        <w:rPr>
          <w:rFonts w:ascii="Arial" w:hAnsi="Arial" w:cs="Times New Roman"/>
          <w:spacing w:val="-2"/>
          <w:sz w:val="24"/>
          <w:szCs w:val="24"/>
        </w:rPr>
        <w:t>Jakellyne Marques</w:t>
      </w:r>
      <w:r>
        <w:rPr>
          <w:rFonts w:ascii="Arial" w:hAnsi="Arial" w:cs="Times New Roman"/>
          <w:spacing w:val="-5"/>
          <w:sz w:val="24"/>
          <w:szCs w:val="24"/>
        </w:rPr>
        <w:t xml:space="preserve"> </w:t>
      </w:r>
      <w:r>
        <w:rPr>
          <w:rFonts w:ascii="Arial" w:hAnsi="Arial" w:cs="Times New Roman"/>
          <w:spacing w:val="-2"/>
          <w:sz w:val="24"/>
          <w:szCs w:val="24"/>
        </w:rPr>
        <w:t>Ribeiro</w:t>
      </w:r>
      <w:r>
        <w:rPr>
          <w:rStyle w:val="Refdenotaderodap"/>
          <w:rFonts w:ascii="Arial" w:hAnsi="Arial" w:cs="Times New Roman"/>
          <w:spacing w:val="-2"/>
          <w:sz w:val="24"/>
          <w:szCs w:val="24"/>
        </w:rPr>
        <w:footnoteReference w:id="21"/>
      </w:r>
    </w:p>
    <w:p w:rsidR="009D60B7" w:rsidRDefault="00425C09">
      <w:pPr>
        <w:pStyle w:val="Corpodetexto"/>
        <w:jc w:val="center"/>
        <w:rPr>
          <w:rFonts w:ascii="Arial" w:hAnsi="Arial"/>
          <w:sz w:val="24"/>
          <w:szCs w:val="24"/>
        </w:rPr>
      </w:pPr>
      <w:r>
        <w:rPr>
          <w:rFonts w:ascii="Arial" w:hAnsi="Arial" w:cs="Times New Roman"/>
          <w:spacing w:val="-2"/>
          <w:sz w:val="24"/>
          <w:szCs w:val="24"/>
        </w:rPr>
        <w:t>Naiara Fonseca de Oliveira</w:t>
      </w:r>
      <w:r>
        <w:rPr>
          <w:rStyle w:val="Refdenotaderodap"/>
          <w:rFonts w:ascii="Arial" w:hAnsi="Arial" w:cs="Times New Roman"/>
          <w:spacing w:val="-2"/>
          <w:sz w:val="24"/>
          <w:szCs w:val="24"/>
        </w:rPr>
        <w:footnoteReference w:id="22"/>
      </w:r>
    </w:p>
    <w:p w:rsidR="009D60B7" w:rsidRDefault="00425C09">
      <w:pPr>
        <w:pStyle w:val="Corpodetexto"/>
        <w:jc w:val="center"/>
        <w:rPr>
          <w:rFonts w:ascii="Arial" w:hAnsi="Arial"/>
          <w:sz w:val="24"/>
          <w:szCs w:val="24"/>
        </w:rPr>
      </w:pPr>
      <w:r>
        <w:rPr>
          <w:rFonts w:ascii="Arial" w:hAnsi="Arial" w:cs="Times New Roman"/>
          <w:spacing w:val="-2"/>
          <w:sz w:val="24"/>
          <w:szCs w:val="24"/>
        </w:rPr>
        <w:t>Helder Lincoln Calaça</w:t>
      </w:r>
      <w:r>
        <w:rPr>
          <w:rStyle w:val="Refdenotaderodap"/>
          <w:rFonts w:ascii="Arial" w:hAnsi="Arial" w:cs="Times New Roman"/>
          <w:spacing w:val="-2"/>
          <w:sz w:val="24"/>
          <w:szCs w:val="24"/>
        </w:rPr>
        <w:footnoteReference w:id="23"/>
      </w:r>
    </w:p>
    <w:p w:rsidR="009D60B7" w:rsidRDefault="009D60B7">
      <w:pPr>
        <w:pStyle w:val="Ttulo"/>
        <w:spacing w:line="360" w:lineRule="auto"/>
        <w:rPr>
          <w:rFonts w:ascii="Arial" w:hAnsi="Arial" w:cs="Times New Roman"/>
          <w:sz w:val="24"/>
          <w:szCs w:val="24"/>
        </w:rPr>
      </w:pPr>
    </w:p>
    <w:p w:rsidR="009D60B7" w:rsidRPr="0013636D" w:rsidRDefault="00425C09">
      <w:pPr>
        <w:pStyle w:val="Corpodetexto"/>
        <w:spacing w:line="360" w:lineRule="auto"/>
        <w:jc w:val="center"/>
        <w:rPr>
          <w:rFonts w:ascii="Arial" w:hAnsi="Arial"/>
          <w:bCs/>
          <w:sz w:val="24"/>
          <w:szCs w:val="24"/>
        </w:rPr>
      </w:pPr>
      <w:r w:rsidRPr="0013636D">
        <w:rPr>
          <w:rFonts w:ascii="Arial" w:hAnsi="Arial" w:cs="Times New Roman"/>
          <w:bCs/>
          <w:sz w:val="24"/>
          <w:szCs w:val="24"/>
        </w:rPr>
        <w:t>RESUMO</w:t>
      </w:r>
    </w:p>
    <w:p w:rsidR="009D60B7" w:rsidRDefault="00425C09">
      <w:pPr>
        <w:pStyle w:val="NormalWeb"/>
        <w:spacing w:beforeAutospacing="0" w:afterAutospacing="0"/>
        <w:jc w:val="both"/>
        <w:rPr>
          <w:rFonts w:ascii="Arial" w:hAnsi="Arial"/>
          <w:sz w:val="20"/>
          <w:szCs w:val="20"/>
        </w:rPr>
      </w:pPr>
      <w:r>
        <w:rPr>
          <w:rFonts w:ascii="Arial" w:hAnsi="Arial"/>
          <w:sz w:val="20"/>
          <w:szCs w:val="20"/>
        </w:rPr>
        <w:t>A presente pesquisa é intitulada “Direito à Aposentadoria Rural: Desafios Jurídicos e a Insegurança Gerada pela Informalidade nas Relações de Trabalho no Campo”.  A problemática centra-se nos desafios enfrentados pelos trabalhadores rurais para o reconhecimento do direito à aposentadoria rural, especialmente diante das dificuldades de comprovação da atividade laboral e a vulnerabilidade dos trabalhadores informais. O objetivo geral é compreender os entraves ao reconhecimento do direito à aposentadoria rural, os impactos para os trabalhadores e o papel do ordenamento jurídico na repressão e prevenção dessas dificuldades. Os objetivos específicos são a identificação das principais dificuldades enfrentadas pelos trabalhadores rurais informais, analisando a insuficiência dos meios probatórios. A metodologia adotada foi baseada em estudos doutrinários, legislativos e jurisprudenciais, além da análise de estatísticas sobre a informalidade. A pesquisa estruturou-se em quatro tópicos, sendo o primeiro as Vulnerabilidades</w:t>
      </w:r>
      <w:r>
        <w:rPr>
          <w:rFonts w:ascii="Arial" w:hAnsi="Arial"/>
          <w:spacing w:val="39"/>
          <w:sz w:val="20"/>
          <w:szCs w:val="20"/>
        </w:rPr>
        <w:t xml:space="preserve"> </w:t>
      </w:r>
      <w:r>
        <w:rPr>
          <w:rFonts w:ascii="Arial" w:hAnsi="Arial"/>
          <w:sz w:val="20"/>
          <w:szCs w:val="20"/>
        </w:rPr>
        <w:t>do</w:t>
      </w:r>
      <w:r>
        <w:rPr>
          <w:rFonts w:ascii="Arial" w:hAnsi="Arial"/>
          <w:spacing w:val="34"/>
          <w:sz w:val="20"/>
          <w:szCs w:val="20"/>
        </w:rPr>
        <w:t xml:space="preserve"> </w:t>
      </w:r>
      <w:r>
        <w:rPr>
          <w:rFonts w:ascii="Arial" w:hAnsi="Arial"/>
          <w:sz w:val="20"/>
          <w:szCs w:val="20"/>
        </w:rPr>
        <w:t>trabalhador</w:t>
      </w:r>
      <w:r>
        <w:rPr>
          <w:rFonts w:ascii="Arial" w:hAnsi="Arial"/>
          <w:spacing w:val="34"/>
          <w:sz w:val="20"/>
          <w:szCs w:val="20"/>
        </w:rPr>
        <w:t xml:space="preserve"> </w:t>
      </w:r>
      <w:r>
        <w:rPr>
          <w:rFonts w:ascii="Arial" w:hAnsi="Arial"/>
          <w:sz w:val="20"/>
          <w:szCs w:val="20"/>
        </w:rPr>
        <w:t>rural</w:t>
      </w:r>
      <w:r>
        <w:rPr>
          <w:rFonts w:ascii="Arial" w:hAnsi="Arial"/>
          <w:spacing w:val="36"/>
          <w:sz w:val="20"/>
          <w:szCs w:val="20"/>
        </w:rPr>
        <w:t xml:space="preserve"> </w:t>
      </w:r>
      <w:r>
        <w:rPr>
          <w:rFonts w:ascii="Arial" w:hAnsi="Arial"/>
          <w:sz w:val="20"/>
          <w:szCs w:val="20"/>
        </w:rPr>
        <w:t>no</w:t>
      </w:r>
      <w:r>
        <w:rPr>
          <w:rFonts w:ascii="Arial" w:hAnsi="Arial"/>
          <w:spacing w:val="34"/>
          <w:sz w:val="20"/>
          <w:szCs w:val="20"/>
        </w:rPr>
        <w:t xml:space="preserve"> </w:t>
      </w:r>
      <w:r>
        <w:rPr>
          <w:rFonts w:ascii="Arial" w:hAnsi="Arial"/>
          <w:sz w:val="20"/>
          <w:szCs w:val="20"/>
        </w:rPr>
        <w:t>brasil,</w:t>
      </w:r>
      <w:r>
        <w:rPr>
          <w:rFonts w:ascii="Arial" w:hAnsi="Arial"/>
          <w:spacing w:val="39"/>
          <w:sz w:val="20"/>
          <w:szCs w:val="20"/>
        </w:rPr>
        <w:t xml:space="preserve"> </w:t>
      </w:r>
      <w:r>
        <w:rPr>
          <w:rFonts w:ascii="Arial" w:hAnsi="Arial"/>
          <w:sz w:val="20"/>
          <w:szCs w:val="20"/>
        </w:rPr>
        <w:t>reflexos</w:t>
      </w:r>
      <w:r>
        <w:rPr>
          <w:rFonts w:ascii="Arial" w:hAnsi="Arial"/>
          <w:spacing w:val="36"/>
          <w:sz w:val="20"/>
          <w:szCs w:val="20"/>
        </w:rPr>
        <w:t xml:space="preserve"> </w:t>
      </w:r>
      <w:r>
        <w:rPr>
          <w:rFonts w:ascii="Arial" w:hAnsi="Arial"/>
          <w:sz w:val="20"/>
          <w:szCs w:val="20"/>
        </w:rPr>
        <w:t>históricos</w:t>
      </w:r>
      <w:r>
        <w:rPr>
          <w:rFonts w:ascii="Arial" w:hAnsi="Arial"/>
          <w:spacing w:val="39"/>
          <w:sz w:val="20"/>
          <w:szCs w:val="20"/>
        </w:rPr>
        <w:t xml:space="preserve"> </w:t>
      </w:r>
      <w:r>
        <w:rPr>
          <w:rFonts w:ascii="Arial" w:hAnsi="Arial"/>
          <w:sz w:val="20"/>
          <w:szCs w:val="20"/>
        </w:rPr>
        <w:t>e</w:t>
      </w:r>
      <w:r>
        <w:rPr>
          <w:rFonts w:ascii="Arial" w:hAnsi="Arial"/>
          <w:spacing w:val="35"/>
          <w:sz w:val="20"/>
          <w:szCs w:val="20"/>
        </w:rPr>
        <w:t xml:space="preserve"> </w:t>
      </w:r>
      <w:r>
        <w:rPr>
          <w:rFonts w:ascii="Arial" w:hAnsi="Arial"/>
          <w:sz w:val="20"/>
          <w:szCs w:val="20"/>
        </w:rPr>
        <w:t xml:space="preserve">desafios </w:t>
      </w:r>
      <w:r>
        <w:rPr>
          <w:rFonts w:ascii="Arial" w:hAnsi="Arial"/>
          <w:spacing w:val="-2"/>
          <w:sz w:val="20"/>
          <w:szCs w:val="20"/>
        </w:rPr>
        <w:t>atuais</w:t>
      </w:r>
      <w:r>
        <w:rPr>
          <w:rFonts w:ascii="Arial" w:hAnsi="Arial"/>
          <w:sz w:val="20"/>
          <w:szCs w:val="20"/>
        </w:rPr>
        <w:t>,  no segundo as Diferenças entre o segurado especial rural e o empregado rural celetista, no terceiro a Informalidade nas relações de trabalho no campo, e por fim A proteção jurídica do trabalhador rural e a utilização da jurisprudência. Os resultados foram que apesar dos avanços normativos, persistem dificuldades na efetividade das medidas de inclusão previdenciária, especialmente devido à informalidade e à fragilidade na comprovação do vínculo de trabalho.</w:t>
      </w:r>
    </w:p>
    <w:p w:rsidR="009D60B7" w:rsidRDefault="009D60B7">
      <w:pPr>
        <w:pStyle w:val="NormalWeb"/>
        <w:spacing w:beforeAutospacing="0" w:afterAutospacing="0"/>
        <w:jc w:val="both"/>
        <w:rPr>
          <w:rFonts w:ascii="Arial" w:hAnsi="Arial"/>
          <w:sz w:val="20"/>
          <w:szCs w:val="20"/>
        </w:rPr>
      </w:pPr>
    </w:p>
    <w:p w:rsidR="009D60B7" w:rsidRDefault="00425C09">
      <w:pPr>
        <w:pStyle w:val="Corpodetexto"/>
        <w:spacing w:line="360" w:lineRule="auto"/>
        <w:jc w:val="both"/>
        <w:rPr>
          <w:rFonts w:ascii="Arial" w:hAnsi="Arial"/>
        </w:rPr>
      </w:pPr>
      <w:r>
        <w:rPr>
          <w:rStyle w:val="Forte1"/>
          <w:rFonts w:ascii="Arial" w:hAnsi="Arial" w:cs="Times New Roman"/>
          <w:bCs w:val="0"/>
        </w:rPr>
        <w:t>PALAVRAS-CHAVE</w:t>
      </w:r>
      <w:r>
        <w:rPr>
          <w:rStyle w:val="Forte1"/>
          <w:rFonts w:ascii="Arial" w:hAnsi="Arial" w:cs="Times New Roman"/>
          <w:b w:val="0"/>
        </w:rPr>
        <w:t>:</w:t>
      </w:r>
      <w:r>
        <w:rPr>
          <w:rFonts w:ascii="Arial" w:hAnsi="Arial" w:cs="Times New Roman"/>
        </w:rPr>
        <w:t xml:space="preserve"> Trabalho rural informal. Direito previdenciário. Aposentadoria rural.</w:t>
      </w:r>
      <w:r>
        <w:rPr>
          <w:rFonts w:ascii="Arial" w:hAnsi="Arial" w:cs="Times New Roman"/>
          <w:lang w:val="pt-BR"/>
        </w:rPr>
        <w:t xml:space="preserve"> </w:t>
      </w:r>
      <w:r>
        <w:rPr>
          <w:rFonts w:ascii="Arial" w:hAnsi="Arial" w:cs="Times New Roman"/>
        </w:rPr>
        <w:t>Informalidade. Prova material.</w:t>
      </w:r>
    </w:p>
    <w:p w:rsidR="009D60B7" w:rsidRDefault="009D60B7">
      <w:pPr>
        <w:spacing w:line="360" w:lineRule="auto"/>
        <w:rPr>
          <w:rFonts w:ascii="Arial" w:hAnsi="Arial" w:cs="Times New Roman"/>
          <w:sz w:val="20"/>
          <w:szCs w:val="20"/>
        </w:rPr>
      </w:pPr>
    </w:p>
    <w:p w:rsidR="009D60B7" w:rsidRDefault="00425C09" w:rsidP="00CD2DB9">
      <w:pPr>
        <w:spacing w:line="360" w:lineRule="auto"/>
        <w:rPr>
          <w:rFonts w:ascii="Arial" w:hAnsi="Arial"/>
          <w:sz w:val="24"/>
          <w:szCs w:val="24"/>
        </w:rPr>
      </w:pPr>
      <w:r>
        <w:rPr>
          <w:rFonts w:ascii="Arial" w:hAnsi="Arial" w:cs="Times New Roman"/>
          <w:sz w:val="24"/>
          <w:szCs w:val="24"/>
        </w:rPr>
        <w:t>INTRODUÇÃO</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A abordagem metodológica adotada neste estudo baseia-se em pesquisa de natureza bibliográfica e documental, com análise de doutrina, legislação e jurisprudência pertinentes ao tema. A pesquisa busca identificar os principais entraves enfrentados pelos trabalhadores rurais informais, bem como examinar a construção interpretativa dos tribunais diante das limitações probatórias características dessas relações de trabalho.</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 xml:space="preserve">Esta pesquisa é intitulada </w:t>
      </w:r>
      <w:r>
        <w:rPr>
          <w:rFonts w:ascii="Arial" w:hAnsi="Arial" w:cs="Times New Roman"/>
          <w:sz w:val="24"/>
          <w:szCs w:val="24"/>
        </w:rPr>
        <w:t>“Direito à Aposentadoria Rural: Desafios Jurídicos e a Insegurança Gerada pela Informalidade nas Relações de Trabalho no Campo”</w:t>
      </w:r>
      <w:r>
        <w:rPr>
          <w:rFonts w:ascii="Arial" w:eastAsia="Times New Roman" w:hAnsi="Arial" w:cs="Times New Roman"/>
          <w:sz w:val="24"/>
          <w:szCs w:val="24"/>
          <w:lang w:val="pt-BR" w:eastAsia="pt-BR"/>
        </w:rPr>
        <w:t xml:space="preserve">. Este estudo apresenta os obstáculos enfrentados pelo trabalhador rural informal para o reconhecimento de seus direitos previdenciários, especialmente no que se refere ao </w:t>
      </w:r>
      <w:r>
        <w:rPr>
          <w:rFonts w:ascii="Arial" w:eastAsia="Times New Roman" w:hAnsi="Arial" w:cs="Times New Roman"/>
          <w:sz w:val="24"/>
          <w:szCs w:val="24"/>
          <w:lang w:val="pt-BR" w:eastAsia="pt-BR"/>
        </w:rPr>
        <w:lastRenderedPageBreak/>
        <w:t xml:space="preserve">acesso à aposentadoria. A realidade do trabalho no campo, historicamente marcada pela ausência de formalização e pela precariedade das relações laborais, evidencia um cenário de vulnerabilidade social que compromete a efetividade das garantias legais. </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 xml:space="preserve">A problemática consiste na dificuldade de efetivação do direito à aposentadoria rural diante da realidade de informalidade nas relações de trabalho no campo. Ressalta que embora haja previsão legal de proteção previdenciária, muitos trabalhadores rurais não conseguem comprovar o exercício da atividade devido à ausência ou insuficiência de documentação, o que gera insegurança jurídica e impede o acesso ao benefício. Nesse contexto, questiona-se em que medida a informalidade compromete o reconhecimento desse direito e como os mecanismos jurídicos, especialmente a atuação da jurisprudência, podem ser utilizados para garantir sua efetivação. </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O objetivo principal da pesquisa é analisar os entraves enfrentados pelo trabalhador rural informal no acesso aos benefícios previdenciários, com ênfase na dificuldade de comprovação da atividade rural e na insuficiência de documentação. Busca-se compreender de que forma a informalidade impacta o reconhecimento do vínculo de trabalho e, consequentemente, o acesso à aposentadoria, bem como avaliar o papel da jurisprudência na flexibilização das exigências probatórias.</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Para embasar a análise, foram utilizados autores do Direito Previdenciário e do Direito do Trabalho, cujas contribuições permitem compreender as especificidades da proteção social no meio rural, bem como a atuação da jurisprudência na mitigação das exigências formais de prova. A revisão bibliográfica também contempla estudos voltados à informalidade e à vulnerabilidade social, fornecendo suporte teórico para a análise crítica do tema.</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Quanto aos objetivos específicos, buscou-se examinar a informalidade no meio rural e suas implicações jurídicas e sociais; analisar as dificuldades de comprovação do vínculo empregatício rural, especialmente diante da ausência de documentação adequada; compreender a distinção entre trabalhador rural informal e segurado especial; e investigar a atuação da jurisprudência como instrumento de efetivação do direito previdenciário, sobretudo em contextos de vulnerabilidade.</w:t>
      </w:r>
    </w:p>
    <w:p w:rsidR="009D60B7" w:rsidRDefault="00425C09">
      <w:pPr>
        <w:widowControl/>
        <w:suppressAutoHyphens w:val="0"/>
        <w:spacing w:line="360" w:lineRule="auto"/>
        <w:ind w:firstLine="1134"/>
        <w:jc w:val="both"/>
        <w:rPr>
          <w:rFonts w:ascii="Arial" w:hAnsi="Arial"/>
          <w:sz w:val="24"/>
          <w:szCs w:val="24"/>
        </w:rPr>
      </w:pPr>
      <w:r>
        <w:rPr>
          <w:rFonts w:ascii="Arial" w:eastAsia="Times New Roman" w:hAnsi="Arial" w:cs="Times New Roman"/>
          <w:sz w:val="24"/>
          <w:szCs w:val="24"/>
          <w:lang w:val="pt-BR" w:eastAsia="pt-BR"/>
        </w:rPr>
        <w:t xml:space="preserve">O estudo está organizado em quatro seções que abordam, </w:t>
      </w:r>
      <w:r>
        <w:rPr>
          <w:rFonts w:ascii="Arial" w:hAnsi="Arial" w:cs="Times New Roman"/>
          <w:sz w:val="24"/>
          <w:szCs w:val="24"/>
        </w:rPr>
        <w:t>primeireiramente sobre as Vulnerabilidades</w:t>
      </w:r>
      <w:r>
        <w:rPr>
          <w:rFonts w:ascii="Arial" w:hAnsi="Arial" w:cs="Times New Roman"/>
          <w:spacing w:val="39"/>
          <w:sz w:val="24"/>
          <w:szCs w:val="24"/>
        </w:rPr>
        <w:t xml:space="preserve"> </w:t>
      </w:r>
      <w:r>
        <w:rPr>
          <w:rFonts w:ascii="Arial" w:hAnsi="Arial" w:cs="Times New Roman"/>
          <w:sz w:val="24"/>
          <w:szCs w:val="24"/>
        </w:rPr>
        <w:t>do</w:t>
      </w:r>
      <w:r>
        <w:rPr>
          <w:rFonts w:ascii="Arial" w:hAnsi="Arial" w:cs="Times New Roman"/>
          <w:spacing w:val="34"/>
          <w:sz w:val="24"/>
          <w:szCs w:val="24"/>
        </w:rPr>
        <w:t xml:space="preserve"> </w:t>
      </w:r>
      <w:r>
        <w:rPr>
          <w:rFonts w:ascii="Arial" w:hAnsi="Arial" w:cs="Times New Roman"/>
          <w:sz w:val="24"/>
          <w:szCs w:val="24"/>
        </w:rPr>
        <w:t>trabalhador</w:t>
      </w:r>
      <w:r>
        <w:rPr>
          <w:rFonts w:ascii="Arial" w:hAnsi="Arial" w:cs="Times New Roman"/>
          <w:spacing w:val="34"/>
          <w:sz w:val="24"/>
          <w:szCs w:val="24"/>
        </w:rPr>
        <w:t xml:space="preserve"> </w:t>
      </w:r>
      <w:r>
        <w:rPr>
          <w:rFonts w:ascii="Arial" w:hAnsi="Arial" w:cs="Times New Roman"/>
          <w:sz w:val="24"/>
          <w:szCs w:val="24"/>
        </w:rPr>
        <w:t>rural</w:t>
      </w:r>
      <w:r>
        <w:rPr>
          <w:rFonts w:ascii="Arial" w:hAnsi="Arial" w:cs="Times New Roman"/>
          <w:spacing w:val="36"/>
          <w:sz w:val="24"/>
          <w:szCs w:val="24"/>
        </w:rPr>
        <w:t xml:space="preserve"> </w:t>
      </w:r>
      <w:r>
        <w:rPr>
          <w:rFonts w:ascii="Arial" w:hAnsi="Arial" w:cs="Times New Roman"/>
          <w:sz w:val="24"/>
          <w:szCs w:val="24"/>
        </w:rPr>
        <w:t>no</w:t>
      </w:r>
      <w:r>
        <w:rPr>
          <w:rFonts w:ascii="Arial" w:hAnsi="Arial" w:cs="Times New Roman"/>
          <w:spacing w:val="34"/>
          <w:sz w:val="24"/>
          <w:szCs w:val="24"/>
        </w:rPr>
        <w:t xml:space="preserve"> </w:t>
      </w:r>
      <w:r>
        <w:rPr>
          <w:rFonts w:ascii="Arial" w:hAnsi="Arial" w:cs="Times New Roman"/>
          <w:sz w:val="24"/>
          <w:szCs w:val="24"/>
        </w:rPr>
        <w:t>brasil,</w:t>
      </w:r>
      <w:r>
        <w:rPr>
          <w:rFonts w:ascii="Arial" w:hAnsi="Arial" w:cs="Times New Roman"/>
          <w:spacing w:val="39"/>
          <w:sz w:val="24"/>
          <w:szCs w:val="24"/>
        </w:rPr>
        <w:t xml:space="preserve"> </w:t>
      </w:r>
      <w:r>
        <w:rPr>
          <w:rFonts w:ascii="Arial" w:hAnsi="Arial" w:cs="Times New Roman"/>
          <w:sz w:val="24"/>
          <w:szCs w:val="24"/>
        </w:rPr>
        <w:t>reflexos</w:t>
      </w:r>
      <w:r>
        <w:rPr>
          <w:rFonts w:ascii="Arial" w:hAnsi="Arial" w:cs="Times New Roman"/>
          <w:spacing w:val="36"/>
          <w:sz w:val="24"/>
          <w:szCs w:val="24"/>
        </w:rPr>
        <w:t xml:space="preserve"> </w:t>
      </w:r>
      <w:r>
        <w:rPr>
          <w:rFonts w:ascii="Arial" w:hAnsi="Arial" w:cs="Times New Roman"/>
          <w:sz w:val="24"/>
          <w:szCs w:val="24"/>
        </w:rPr>
        <w:t>históricos</w:t>
      </w:r>
      <w:r>
        <w:rPr>
          <w:rFonts w:ascii="Arial" w:hAnsi="Arial" w:cs="Times New Roman"/>
          <w:spacing w:val="39"/>
          <w:sz w:val="24"/>
          <w:szCs w:val="24"/>
        </w:rPr>
        <w:t xml:space="preserve"> </w:t>
      </w:r>
      <w:r>
        <w:rPr>
          <w:rFonts w:ascii="Arial" w:hAnsi="Arial" w:cs="Times New Roman"/>
          <w:sz w:val="24"/>
          <w:szCs w:val="24"/>
        </w:rPr>
        <w:t>e</w:t>
      </w:r>
      <w:r>
        <w:rPr>
          <w:rFonts w:ascii="Arial" w:hAnsi="Arial" w:cs="Times New Roman"/>
          <w:spacing w:val="35"/>
          <w:sz w:val="24"/>
          <w:szCs w:val="24"/>
        </w:rPr>
        <w:t xml:space="preserve"> </w:t>
      </w:r>
      <w:r>
        <w:rPr>
          <w:rFonts w:ascii="Arial" w:hAnsi="Arial" w:cs="Times New Roman"/>
          <w:sz w:val="24"/>
          <w:szCs w:val="24"/>
        </w:rPr>
        <w:t xml:space="preserve">desafios </w:t>
      </w:r>
      <w:r>
        <w:rPr>
          <w:rFonts w:ascii="Arial" w:hAnsi="Arial" w:cs="Times New Roman"/>
          <w:spacing w:val="-2"/>
          <w:sz w:val="24"/>
          <w:szCs w:val="24"/>
        </w:rPr>
        <w:t>atuais</w:t>
      </w:r>
      <w:r>
        <w:rPr>
          <w:rFonts w:ascii="Arial" w:hAnsi="Arial" w:cs="Times New Roman"/>
          <w:sz w:val="24"/>
          <w:szCs w:val="24"/>
        </w:rPr>
        <w:t xml:space="preserve">, em coseguinte as Diferenças entre o segurado especial rural e o empregado rural celetista,  logo aborda-se a Informalidade nas relações de trabalho no campo, e por fim </w:t>
      </w:r>
      <w:r>
        <w:rPr>
          <w:rFonts w:ascii="Arial" w:hAnsi="Arial" w:cs="Times New Roman"/>
          <w:sz w:val="24"/>
          <w:szCs w:val="24"/>
        </w:rPr>
        <w:lastRenderedPageBreak/>
        <w:t>A proteção jurídica do trabalhador rural e a utilização da jurisprudência, apresentando</w:t>
      </w:r>
      <w:r>
        <w:rPr>
          <w:rFonts w:ascii="Arial" w:eastAsia="Times New Roman" w:hAnsi="Arial" w:cs="Times New Roman"/>
          <w:sz w:val="24"/>
          <w:szCs w:val="24"/>
          <w:lang w:val="pt-BR" w:eastAsia="pt-BR"/>
        </w:rPr>
        <w:t xml:space="preserve"> medidas de aperfeiçoamento, voltadas à conscientização social, ao fortalecimento da fiscalização e à ampliação do acesso à informação e à assistência jurídica, com vistas à efetivação dos direitos previdenciários desses trabalhadores.</w:t>
      </w:r>
    </w:p>
    <w:p w:rsidR="009D60B7" w:rsidRDefault="009D60B7">
      <w:pPr>
        <w:pStyle w:val="Corpodetexto"/>
        <w:spacing w:line="360" w:lineRule="auto"/>
        <w:rPr>
          <w:rFonts w:ascii="Arial" w:hAnsi="Arial" w:cs="Times New Roman"/>
          <w:sz w:val="24"/>
          <w:szCs w:val="24"/>
        </w:rPr>
      </w:pPr>
    </w:p>
    <w:p w:rsidR="009D60B7" w:rsidRPr="0073048D" w:rsidRDefault="00425C09">
      <w:pPr>
        <w:pStyle w:val="PargrafodaLista"/>
        <w:tabs>
          <w:tab w:val="left" w:pos="421"/>
        </w:tabs>
        <w:spacing w:line="360" w:lineRule="auto"/>
        <w:ind w:right="214"/>
        <w:jc w:val="both"/>
        <w:rPr>
          <w:rFonts w:ascii="Arial" w:hAnsi="Arial"/>
          <w:sz w:val="24"/>
          <w:szCs w:val="24"/>
        </w:rPr>
      </w:pPr>
      <w:r w:rsidRPr="0073048D">
        <w:rPr>
          <w:rFonts w:ascii="Arial" w:hAnsi="Arial" w:cs="Times New Roman"/>
          <w:bCs/>
          <w:sz w:val="24"/>
          <w:szCs w:val="24"/>
          <w:lang w:val="pt-BR"/>
        </w:rPr>
        <w:t xml:space="preserve">I </w:t>
      </w:r>
      <w:r w:rsidRPr="0073048D">
        <w:rPr>
          <w:rFonts w:ascii="Arial" w:hAnsi="Arial" w:cs="Times New Roman"/>
          <w:bCs/>
          <w:sz w:val="24"/>
          <w:szCs w:val="24"/>
        </w:rPr>
        <w:t>VULNERABILIDADES</w:t>
      </w:r>
      <w:r w:rsidRPr="0073048D">
        <w:rPr>
          <w:rFonts w:ascii="Arial" w:hAnsi="Arial" w:cs="Times New Roman"/>
          <w:bCs/>
          <w:spacing w:val="39"/>
          <w:sz w:val="24"/>
          <w:szCs w:val="24"/>
        </w:rPr>
        <w:t xml:space="preserve"> </w:t>
      </w:r>
      <w:r w:rsidRPr="0073048D">
        <w:rPr>
          <w:rFonts w:ascii="Arial" w:hAnsi="Arial" w:cs="Times New Roman"/>
          <w:bCs/>
          <w:sz w:val="24"/>
          <w:szCs w:val="24"/>
        </w:rPr>
        <w:t>DO</w:t>
      </w:r>
      <w:r w:rsidRPr="0073048D">
        <w:rPr>
          <w:rFonts w:ascii="Arial" w:hAnsi="Arial" w:cs="Times New Roman"/>
          <w:bCs/>
          <w:spacing w:val="34"/>
          <w:sz w:val="24"/>
          <w:szCs w:val="24"/>
        </w:rPr>
        <w:t xml:space="preserve"> </w:t>
      </w:r>
      <w:r w:rsidRPr="0073048D">
        <w:rPr>
          <w:rFonts w:ascii="Arial" w:hAnsi="Arial" w:cs="Times New Roman"/>
          <w:bCs/>
          <w:sz w:val="24"/>
          <w:szCs w:val="24"/>
        </w:rPr>
        <w:t>TRABALHADOR</w:t>
      </w:r>
      <w:r w:rsidRPr="0073048D">
        <w:rPr>
          <w:rFonts w:ascii="Arial" w:hAnsi="Arial" w:cs="Times New Roman"/>
          <w:bCs/>
          <w:spacing w:val="34"/>
          <w:sz w:val="24"/>
          <w:szCs w:val="24"/>
        </w:rPr>
        <w:t xml:space="preserve"> </w:t>
      </w:r>
      <w:r w:rsidRPr="0073048D">
        <w:rPr>
          <w:rFonts w:ascii="Arial" w:hAnsi="Arial" w:cs="Times New Roman"/>
          <w:bCs/>
          <w:sz w:val="24"/>
          <w:szCs w:val="24"/>
        </w:rPr>
        <w:t>RURAL</w:t>
      </w:r>
      <w:r w:rsidRPr="0073048D">
        <w:rPr>
          <w:rFonts w:ascii="Arial" w:hAnsi="Arial" w:cs="Times New Roman"/>
          <w:bCs/>
          <w:spacing w:val="36"/>
          <w:sz w:val="24"/>
          <w:szCs w:val="24"/>
        </w:rPr>
        <w:t xml:space="preserve"> </w:t>
      </w:r>
      <w:r w:rsidRPr="0073048D">
        <w:rPr>
          <w:rFonts w:ascii="Arial" w:hAnsi="Arial" w:cs="Times New Roman"/>
          <w:bCs/>
          <w:sz w:val="24"/>
          <w:szCs w:val="24"/>
        </w:rPr>
        <w:t>NO</w:t>
      </w:r>
      <w:r w:rsidRPr="0073048D">
        <w:rPr>
          <w:rFonts w:ascii="Arial" w:hAnsi="Arial" w:cs="Times New Roman"/>
          <w:bCs/>
          <w:spacing w:val="34"/>
          <w:sz w:val="24"/>
          <w:szCs w:val="24"/>
        </w:rPr>
        <w:t xml:space="preserve"> </w:t>
      </w:r>
      <w:r w:rsidRPr="0073048D">
        <w:rPr>
          <w:rFonts w:ascii="Arial" w:hAnsi="Arial" w:cs="Times New Roman"/>
          <w:bCs/>
          <w:sz w:val="24"/>
          <w:szCs w:val="24"/>
        </w:rPr>
        <w:t>BRASIL,</w:t>
      </w:r>
      <w:r w:rsidRPr="0073048D">
        <w:rPr>
          <w:rFonts w:ascii="Arial" w:hAnsi="Arial" w:cs="Times New Roman"/>
          <w:bCs/>
          <w:spacing w:val="39"/>
          <w:sz w:val="24"/>
          <w:szCs w:val="24"/>
        </w:rPr>
        <w:t xml:space="preserve"> </w:t>
      </w:r>
      <w:r w:rsidRPr="0073048D">
        <w:rPr>
          <w:rFonts w:ascii="Arial" w:hAnsi="Arial" w:cs="Times New Roman"/>
          <w:bCs/>
          <w:sz w:val="24"/>
          <w:szCs w:val="24"/>
        </w:rPr>
        <w:t>REFLEXOS</w:t>
      </w:r>
      <w:r w:rsidRPr="0073048D">
        <w:rPr>
          <w:rFonts w:ascii="Arial" w:hAnsi="Arial" w:cs="Times New Roman"/>
          <w:bCs/>
          <w:spacing w:val="36"/>
          <w:sz w:val="24"/>
          <w:szCs w:val="24"/>
        </w:rPr>
        <w:t xml:space="preserve"> </w:t>
      </w:r>
      <w:r w:rsidRPr="0073048D">
        <w:rPr>
          <w:rFonts w:ascii="Arial" w:hAnsi="Arial" w:cs="Times New Roman"/>
          <w:bCs/>
          <w:sz w:val="24"/>
          <w:szCs w:val="24"/>
        </w:rPr>
        <w:t>HISTÓRICOS</w:t>
      </w:r>
      <w:r w:rsidRPr="0073048D">
        <w:rPr>
          <w:rFonts w:ascii="Arial" w:hAnsi="Arial" w:cs="Times New Roman"/>
          <w:bCs/>
          <w:spacing w:val="39"/>
          <w:sz w:val="24"/>
          <w:szCs w:val="24"/>
        </w:rPr>
        <w:t xml:space="preserve"> </w:t>
      </w:r>
      <w:r w:rsidRPr="0073048D">
        <w:rPr>
          <w:rFonts w:ascii="Arial" w:hAnsi="Arial" w:cs="Times New Roman"/>
          <w:bCs/>
          <w:sz w:val="24"/>
          <w:szCs w:val="24"/>
        </w:rPr>
        <w:t>E</w:t>
      </w:r>
      <w:r w:rsidRPr="0073048D">
        <w:rPr>
          <w:rFonts w:ascii="Arial" w:hAnsi="Arial" w:cs="Times New Roman"/>
          <w:bCs/>
          <w:spacing w:val="35"/>
          <w:sz w:val="24"/>
          <w:szCs w:val="24"/>
        </w:rPr>
        <w:t xml:space="preserve"> </w:t>
      </w:r>
      <w:r w:rsidRPr="0073048D">
        <w:rPr>
          <w:rFonts w:ascii="Arial" w:hAnsi="Arial" w:cs="Times New Roman"/>
          <w:bCs/>
          <w:sz w:val="24"/>
          <w:szCs w:val="24"/>
        </w:rPr>
        <w:t xml:space="preserve">DESAFIOS </w:t>
      </w:r>
      <w:r w:rsidRPr="0073048D">
        <w:rPr>
          <w:rFonts w:ascii="Arial" w:hAnsi="Arial" w:cs="Times New Roman"/>
          <w:bCs/>
          <w:spacing w:val="-2"/>
          <w:sz w:val="24"/>
          <w:szCs w:val="24"/>
        </w:rPr>
        <w:t>ATUAIS.</w:t>
      </w:r>
    </w:p>
    <w:p w:rsidR="009D60B7" w:rsidRDefault="00425C09">
      <w:pPr>
        <w:pStyle w:val="Corpodetexto"/>
        <w:spacing w:line="360" w:lineRule="auto"/>
        <w:ind w:left="170" w:right="113" w:firstLine="964"/>
        <w:jc w:val="both"/>
        <w:rPr>
          <w:rFonts w:ascii="Arial" w:hAnsi="Arial"/>
          <w:sz w:val="24"/>
          <w:szCs w:val="24"/>
        </w:rPr>
      </w:pPr>
      <w:r>
        <w:rPr>
          <w:rFonts w:ascii="Arial" w:hAnsi="Arial" w:cs="Times New Roman"/>
          <w:sz w:val="24"/>
          <w:szCs w:val="24"/>
        </w:rPr>
        <w:t>A</w:t>
      </w:r>
      <w:r>
        <w:rPr>
          <w:rFonts w:ascii="Arial" w:hAnsi="Arial" w:cs="Times New Roman"/>
          <w:spacing w:val="-6"/>
          <w:sz w:val="24"/>
          <w:szCs w:val="24"/>
        </w:rPr>
        <w:t xml:space="preserve"> </w:t>
      </w:r>
      <w:r>
        <w:rPr>
          <w:rFonts w:ascii="Arial" w:hAnsi="Arial" w:cs="Times New Roman"/>
          <w:sz w:val="24"/>
          <w:szCs w:val="24"/>
        </w:rPr>
        <w:t>vulnerabilidade</w:t>
      </w:r>
      <w:r>
        <w:rPr>
          <w:rFonts w:ascii="Arial" w:hAnsi="Arial" w:cs="Times New Roman"/>
          <w:spacing w:val="-10"/>
          <w:sz w:val="24"/>
          <w:szCs w:val="24"/>
        </w:rPr>
        <w:t xml:space="preserve"> </w:t>
      </w:r>
      <w:r>
        <w:rPr>
          <w:rFonts w:ascii="Arial" w:hAnsi="Arial" w:cs="Times New Roman"/>
          <w:sz w:val="24"/>
          <w:szCs w:val="24"/>
        </w:rPr>
        <w:t>no</w:t>
      </w:r>
      <w:r>
        <w:rPr>
          <w:rFonts w:ascii="Arial" w:hAnsi="Arial" w:cs="Times New Roman"/>
          <w:spacing w:val="-6"/>
          <w:sz w:val="24"/>
          <w:szCs w:val="24"/>
        </w:rPr>
        <w:t xml:space="preserve"> </w:t>
      </w:r>
      <w:r>
        <w:rPr>
          <w:rFonts w:ascii="Arial" w:hAnsi="Arial" w:cs="Times New Roman"/>
          <w:sz w:val="24"/>
          <w:szCs w:val="24"/>
        </w:rPr>
        <w:t>setor</w:t>
      </w:r>
      <w:r>
        <w:rPr>
          <w:rFonts w:ascii="Arial" w:hAnsi="Arial" w:cs="Times New Roman"/>
          <w:spacing w:val="-7"/>
          <w:sz w:val="24"/>
          <w:szCs w:val="24"/>
        </w:rPr>
        <w:t xml:space="preserve"> </w:t>
      </w:r>
      <w:r>
        <w:rPr>
          <w:rFonts w:ascii="Arial" w:hAnsi="Arial" w:cs="Times New Roman"/>
          <w:sz w:val="24"/>
          <w:szCs w:val="24"/>
        </w:rPr>
        <w:t>rural</w:t>
      </w:r>
      <w:r>
        <w:rPr>
          <w:rFonts w:ascii="Arial" w:hAnsi="Arial" w:cs="Times New Roman"/>
          <w:spacing w:val="-11"/>
          <w:sz w:val="24"/>
          <w:szCs w:val="24"/>
        </w:rPr>
        <w:t xml:space="preserve"> </w:t>
      </w:r>
      <w:r>
        <w:rPr>
          <w:rFonts w:ascii="Arial" w:hAnsi="Arial" w:cs="Times New Roman"/>
          <w:sz w:val="24"/>
          <w:szCs w:val="24"/>
        </w:rPr>
        <w:t>possui</w:t>
      </w:r>
      <w:r>
        <w:rPr>
          <w:rFonts w:ascii="Arial" w:hAnsi="Arial" w:cs="Times New Roman"/>
          <w:spacing w:val="-9"/>
          <w:sz w:val="24"/>
          <w:szCs w:val="24"/>
        </w:rPr>
        <w:t xml:space="preserve"> </w:t>
      </w:r>
      <w:r>
        <w:rPr>
          <w:rFonts w:ascii="Arial" w:hAnsi="Arial" w:cs="Times New Roman"/>
          <w:sz w:val="24"/>
          <w:szCs w:val="24"/>
        </w:rPr>
        <w:t>raízes</w:t>
      </w:r>
      <w:r>
        <w:rPr>
          <w:rFonts w:ascii="Arial" w:hAnsi="Arial" w:cs="Times New Roman"/>
          <w:spacing w:val="-2"/>
          <w:sz w:val="24"/>
          <w:szCs w:val="24"/>
        </w:rPr>
        <w:t xml:space="preserve"> </w:t>
      </w:r>
      <w:r>
        <w:rPr>
          <w:rFonts w:ascii="Arial" w:hAnsi="Arial" w:cs="Times New Roman"/>
          <w:sz w:val="24"/>
          <w:szCs w:val="24"/>
        </w:rPr>
        <w:t>profundas</w:t>
      </w:r>
      <w:r>
        <w:rPr>
          <w:rFonts w:ascii="Arial" w:hAnsi="Arial" w:cs="Times New Roman"/>
          <w:spacing w:val="-11"/>
          <w:sz w:val="24"/>
          <w:szCs w:val="24"/>
        </w:rPr>
        <w:t xml:space="preserve"> </w:t>
      </w:r>
      <w:r>
        <w:rPr>
          <w:rFonts w:ascii="Arial" w:hAnsi="Arial" w:cs="Times New Roman"/>
          <w:sz w:val="24"/>
          <w:szCs w:val="24"/>
        </w:rPr>
        <w:t>no</w:t>
      </w:r>
      <w:r>
        <w:rPr>
          <w:rFonts w:ascii="Arial" w:hAnsi="Arial" w:cs="Times New Roman"/>
          <w:spacing w:val="-10"/>
          <w:sz w:val="24"/>
          <w:szCs w:val="24"/>
        </w:rPr>
        <w:t xml:space="preserve"> </w:t>
      </w:r>
      <w:r>
        <w:rPr>
          <w:rFonts w:ascii="Arial" w:hAnsi="Arial" w:cs="Times New Roman"/>
          <w:sz w:val="24"/>
          <w:szCs w:val="24"/>
        </w:rPr>
        <w:t>período</w:t>
      </w:r>
      <w:r>
        <w:rPr>
          <w:rFonts w:ascii="Arial" w:hAnsi="Arial" w:cs="Times New Roman"/>
          <w:spacing w:val="-3"/>
          <w:sz w:val="24"/>
          <w:szCs w:val="24"/>
        </w:rPr>
        <w:t xml:space="preserve"> </w:t>
      </w:r>
      <w:r>
        <w:rPr>
          <w:rFonts w:ascii="Arial" w:hAnsi="Arial" w:cs="Times New Roman"/>
          <w:sz w:val="24"/>
          <w:szCs w:val="24"/>
        </w:rPr>
        <w:t>escravocrata, quando</w:t>
      </w:r>
      <w:r>
        <w:rPr>
          <w:rFonts w:ascii="Arial" w:hAnsi="Arial" w:cs="Times New Roman"/>
          <w:spacing w:val="-8"/>
          <w:sz w:val="24"/>
          <w:szCs w:val="24"/>
        </w:rPr>
        <w:t xml:space="preserve"> </w:t>
      </w:r>
      <w:r>
        <w:rPr>
          <w:rFonts w:ascii="Arial" w:hAnsi="Arial" w:cs="Times New Roman"/>
          <w:sz w:val="24"/>
          <w:szCs w:val="24"/>
        </w:rPr>
        <w:t>inicialmente</w:t>
      </w:r>
      <w:r>
        <w:rPr>
          <w:rFonts w:ascii="Arial" w:hAnsi="Arial" w:cs="Times New Roman"/>
          <w:spacing w:val="-8"/>
          <w:sz w:val="24"/>
          <w:szCs w:val="24"/>
        </w:rPr>
        <w:t xml:space="preserve"> </w:t>
      </w:r>
      <w:r>
        <w:rPr>
          <w:rFonts w:ascii="Arial" w:hAnsi="Arial" w:cs="Times New Roman"/>
          <w:sz w:val="24"/>
          <w:szCs w:val="24"/>
        </w:rPr>
        <w:t>se</w:t>
      </w:r>
      <w:r>
        <w:rPr>
          <w:rFonts w:ascii="Arial" w:hAnsi="Arial" w:cs="Times New Roman"/>
          <w:spacing w:val="-12"/>
          <w:sz w:val="24"/>
          <w:szCs w:val="24"/>
        </w:rPr>
        <w:t xml:space="preserve"> </w:t>
      </w:r>
      <w:r>
        <w:rPr>
          <w:rFonts w:ascii="Arial" w:hAnsi="Arial" w:cs="Times New Roman"/>
          <w:sz w:val="24"/>
          <w:szCs w:val="24"/>
        </w:rPr>
        <w:t>utilizava</w:t>
      </w:r>
      <w:r>
        <w:rPr>
          <w:rFonts w:ascii="Arial" w:hAnsi="Arial" w:cs="Times New Roman"/>
          <w:spacing w:val="-8"/>
          <w:sz w:val="24"/>
          <w:szCs w:val="24"/>
        </w:rPr>
        <w:t xml:space="preserve"> </w:t>
      </w:r>
      <w:r>
        <w:rPr>
          <w:rFonts w:ascii="Arial" w:hAnsi="Arial" w:cs="Times New Roman"/>
          <w:sz w:val="24"/>
          <w:szCs w:val="24"/>
        </w:rPr>
        <w:t>mão</w:t>
      </w:r>
      <w:r>
        <w:rPr>
          <w:rFonts w:ascii="Arial" w:hAnsi="Arial" w:cs="Times New Roman"/>
          <w:spacing w:val="-8"/>
          <w:sz w:val="24"/>
          <w:szCs w:val="24"/>
        </w:rPr>
        <w:t xml:space="preserve"> </w:t>
      </w:r>
      <w:r>
        <w:rPr>
          <w:rFonts w:ascii="Arial" w:hAnsi="Arial" w:cs="Times New Roman"/>
          <w:sz w:val="24"/>
          <w:szCs w:val="24"/>
        </w:rPr>
        <w:t>de</w:t>
      </w:r>
      <w:r>
        <w:rPr>
          <w:rFonts w:ascii="Arial" w:hAnsi="Arial" w:cs="Times New Roman"/>
          <w:spacing w:val="-12"/>
          <w:sz w:val="24"/>
          <w:szCs w:val="24"/>
        </w:rPr>
        <w:t xml:space="preserve"> </w:t>
      </w:r>
      <w:r>
        <w:rPr>
          <w:rFonts w:ascii="Arial" w:hAnsi="Arial" w:cs="Times New Roman"/>
          <w:sz w:val="24"/>
          <w:szCs w:val="24"/>
        </w:rPr>
        <w:t>obra</w:t>
      </w:r>
      <w:r>
        <w:rPr>
          <w:rFonts w:ascii="Arial" w:hAnsi="Arial" w:cs="Times New Roman"/>
          <w:spacing w:val="-12"/>
          <w:sz w:val="24"/>
          <w:szCs w:val="24"/>
        </w:rPr>
        <w:t xml:space="preserve"> </w:t>
      </w:r>
      <w:r>
        <w:rPr>
          <w:rFonts w:ascii="Arial" w:hAnsi="Arial" w:cs="Times New Roman"/>
          <w:sz w:val="24"/>
          <w:szCs w:val="24"/>
        </w:rPr>
        <w:t>indígena,</w:t>
      </w:r>
      <w:r>
        <w:rPr>
          <w:rFonts w:ascii="Arial" w:hAnsi="Arial" w:cs="Times New Roman"/>
          <w:spacing w:val="-10"/>
          <w:sz w:val="24"/>
          <w:szCs w:val="24"/>
        </w:rPr>
        <w:t xml:space="preserve"> cujo foi </w:t>
      </w:r>
      <w:r>
        <w:rPr>
          <w:rFonts w:ascii="Arial" w:hAnsi="Arial" w:cs="Times New Roman"/>
          <w:sz w:val="24"/>
          <w:szCs w:val="24"/>
        </w:rPr>
        <w:t>posteriormente</w:t>
      </w:r>
      <w:r>
        <w:rPr>
          <w:rFonts w:ascii="Arial" w:hAnsi="Arial" w:cs="Times New Roman"/>
          <w:spacing w:val="-4"/>
          <w:sz w:val="24"/>
          <w:szCs w:val="24"/>
        </w:rPr>
        <w:t xml:space="preserve"> </w:t>
      </w:r>
      <w:r>
        <w:rPr>
          <w:rFonts w:ascii="Arial" w:hAnsi="Arial" w:cs="Times New Roman"/>
          <w:sz w:val="24"/>
          <w:szCs w:val="24"/>
        </w:rPr>
        <w:t>substituída</w:t>
      </w:r>
      <w:r>
        <w:rPr>
          <w:rFonts w:ascii="Arial" w:hAnsi="Arial" w:cs="Times New Roman"/>
          <w:spacing w:val="-6"/>
          <w:sz w:val="24"/>
          <w:szCs w:val="24"/>
        </w:rPr>
        <w:t xml:space="preserve"> </w:t>
      </w:r>
      <w:r>
        <w:rPr>
          <w:rFonts w:ascii="Arial" w:hAnsi="Arial" w:cs="Times New Roman"/>
          <w:sz w:val="24"/>
          <w:szCs w:val="24"/>
        </w:rPr>
        <w:t>pela mão</w:t>
      </w:r>
      <w:r>
        <w:rPr>
          <w:rFonts w:ascii="Arial" w:hAnsi="Arial" w:cs="Times New Roman"/>
          <w:spacing w:val="-1"/>
          <w:sz w:val="24"/>
          <w:szCs w:val="24"/>
        </w:rPr>
        <w:t xml:space="preserve"> </w:t>
      </w:r>
      <w:r>
        <w:rPr>
          <w:rFonts w:ascii="Arial" w:hAnsi="Arial" w:cs="Times New Roman"/>
          <w:sz w:val="24"/>
          <w:szCs w:val="24"/>
        </w:rPr>
        <w:t>de obra africana</w:t>
      </w:r>
      <w:r>
        <w:rPr>
          <w:rFonts w:ascii="Arial" w:hAnsi="Arial" w:cs="Times New Roman"/>
          <w:spacing w:val="-1"/>
          <w:sz w:val="24"/>
          <w:szCs w:val="24"/>
        </w:rPr>
        <w:t xml:space="preserve"> </w:t>
      </w:r>
      <w:r>
        <w:rPr>
          <w:rFonts w:ascii="Arial" w:hAnsi="Arial" w:cs="Times New Roman"/>
          <w:sz w:val="24"/>
          <w:szCs w:val="24"/>
        </w:rPr>
        <w:t>traficada para</w:t>
      </w:r>
      <w:r>
        <w:rPr>
          <w:rFonts w:ascii="Arial" w:hAnsi="Arial" w:cs="Times New Roman"/>
          <w:spacing w:val="-1"/>
          <w:sz w:val="24"/>
          <w:szCs w:val="24"/>
        </w:rPr>
        <w:t xml:space="preserve"> </w:t>
      </w:r>
      <w:r>
        <w:rPr>
          <w:rFonts w:ascii="Arial" w:hAnsi="Arial" w:cs="Times New Roman"/>
          <w:sz w:val="24"/>
          <w:szCs w:val="24"/>
        </w:rPr>
        <w:t>o Brasil</w:t>
      </w:r>
      <w:r>
        <w:rPr>
          <w:rFonts w:ascii="Arial" w:hAnsi="Arial" w:cs="Times New Roman"/>
          <w:spacing w:val="-2"/>
          <w:sz w:val="24"/>
          <w:szCs w:val="24"/>
        </w:rPr>
        <w:t xml:space="preserve"> </w:t>
      </w:r>
      <w:r>
        <w:rPr>
          <w:rFonts w:ascii="Arial" w:hAnsi="Arial" w:cs="Times New Roman"/>
          <w:sz w:val="24"/>
          <w:szCs w:val="24"/>
        </w:rPr>
        <w:t>entre</w:t>
      </w:r>
      <w:r>
        <w:rPr>
          <w:rFonts w:ascii="Arial" w:hAnsi="Arial" w:cs="Times New Roman"/>
          <w:spacing w:val="-6"/>
          <w:sz w:val="24"/>
          <w:szCs w:val="24"/>
        </w:rPr>
        <w:t xml:space="preserve"> </w:t>
      </w:r>
      <w:r>
        <w:rPr>
          <w:rFonts w:ascii="Arial" w:hAnsi="Arial" w:cs="Times New Roman"/>
          <w:sz w:val="24"/>
          <w:szCs w:val="24"/>
        </w:rPr>
        <w:t>os séculos XVI e XVII. A</w:t>
      </w:r>
      <w:r>
        <w:rPr>
          <w:rFonts w:ascii="Arial" w:hAnsi="Arial" w:cs="Times New Roman"/>
          <w:spacing w:val="-1"/>
          <w:sz w:val="24"/>
          <w:szCs w:val="24"/>
        </w:rPr>
        <w:t xml:space="preserve"> </w:t>
      </w:r>
      <w:r>
        <w:rPr>
          <w:rFonts w:ascii="Arial" w:hAnsi="Arial" w:cs="Times New Roman"/>
          <w:sz w:val="24"/>
          <w:szCs w:val="24"/>
        </w:rPr>
        <w:t>escravidão deixou marcas cruéis e persistentes na formação do país, especialmente no campo, e seus reflexos ainda podem ser observados na atualidade, conforme Brasil Escola (2025).</w:t>
      </w:r>
    </w:p>
    <w:p w:rsidR="009D60B7" w:rsidRDefault="00425C09">
      <w:pPr>
        <w:pStyle w:val="Corpodetexto"/>
        <w:spacing w:line="360" w:lineRule="auto"/>
        <w:ind w:left="170" w:right="113" w:firstLine="964"/>
        <w:jc w:val="both"/>
        <w:rPr>
          <w:rFonts w:ascii="Arial" w:hAnsi="Arial"/>
          <w:sz w:val="24"/>
          <w:szCs w:val="24"/>
        </w:rPr>
      </w:pPr>
      <w:r>
        <w:rPr>
          <w:rFonts w:ascii="Arial" w:hAnsi="Arial" w:cs="Times New Roman"/>
          <w:sz w:val="24"/>
          <w:szCs w:val="24"/>
        </w:rPr>
        <w:t>Segundo Schwarcz (2015), a escravidão constituiu um sistema extremamente violento,</w:t>
      </w:r>
      <w:r>
        <w:rPr>
          <w:rFonts w:ascii="Arial" w:hAnsi="Arial" w:cs="Times New Roman"/>
          <w:spacing w:val="-14"/>
          <w:sz w:val="24"/>
          <w:szCs w:val="24"/>
        </w:rPr>
        <w:t xml:space="preserve"> </w:t>
      </w:r>
      <w:r>
        <w:rPr>
          <w:rFonts w:ascii="Arial" w:hAnsi="Arial" w:cs="Times New Roman"/>
          <w:sz w:val="24"/>
          <w:szCs w:val="24"/>
        </w:rPr>
        <w:t>estruturado</w:t>
      </w:r>
      <w:r>
        <w:rPr>
          <w:rFonts w:ascii="Arial" w:hAnsi="Arial" w:cs="Times New Roman"/>
          <w:spacing w:val="-14"/>
          <w:sz w:val="24"/>
          <w:szCs w:val="24"/>
        </w:rPr>
        <w:t xml:space="preserve"> </w:t>
      </w:r>
      <w:r>
        <w:rPr>
          <w:rFonts w:ascii="Arial" w:hAnsi="Arial" w:cs="Times New Roman"/>
          <w:sz w:val="24"/>
          <w:szCs w:val="24"/>
        </w:rPr>
        <w:t>para</w:t>
      </w:r>
      <w:r>
        <w:rPr>
          <w:rFonts w:ascii="Arial" w:hAnsi="Arial" w:cs="Times New Roman"/>
          <w:spacing w:val="-14"/>
          <w:sz w:val="24"/>
          <w:szCs w:val="24"/>
        </w:rPr>
        <w:t xml:space="preserve"> </w:t>
      </w:r>
      <w:r>
        <w:rPr>
          <w:rFonts w:ascii="Arial" w:hAnsi="Arial" w:cs="Times New Roman"/>
          <w:sz w:val="24"/>
          <w:szCs w:val="24"/>
        </w:rPr>
        <w:t>extrair</w:t>
      </w:r>
      <w:r>
        <w:rPr>
          <w:rFonts w:ascii="Arial" w:hAnsi="Arial" w:cs="Times New Roman"/>
          <w:spacing w:val="-16"/>
          <w:sz w:val="24"/>
          <w:szCs w:val="24"/>
        </w:rPr>
        <w:t xml:space="preserve"> </w:t>
      </w:r>
      <w:r>
        <w:rPr>
          <w:rFonts w:ascii="Arial" w:hAnsi="Arial" w:cs="Times New Roman"/>
          <w:sz w:val="24"/>
          <w:szCs w:val="24"/>
        </w:rPr>
        <w:t>o</w:t>
      </w:r>
      <w:r>
        <w:rPr>
          <w:rFonts w:ascii="Arial" w:hAnsi="Arial" w:cs="Times New Roman"/>
          <w:spacing w:val="-14"/>
          <w:sz w:val="24"/>
          <w:szCs w:val="24"/>
        </w:rPr>
        <w:t xml:space="preserve"> </w:t>
      </w:r>
      <w:r>
        <w:rPr>
          <w:rFonts w:ascii="Arial" w:hAnsi="Arial" w:cs="Times New Roman"/>
          <w:sz w:val="24"/>
          <w:szCs w:val="24"/>
        </w:rPr>
        <w:t>máximo</w:t>
      </w:r>
      <w:r>
        <w:rPr>
          <w:rFonts w:ascii="Arial" w:hAnsi="Arial" w:cs="Times New Roman"/>
          <w:spacing w:val="-16"/>
          <w:sz w:val="24"/>
          <w:szCs w:val="24"/>
        </w:rPr>
        <w:t xml:space="preserve"> </w:t>
      </w:r>
      <w:r>
        <w:rPr>
          <w:rFonts w:ascii="Arial" w:hAnsi="Arial" w:cs="Times New Roman"/>
          <w:sz w:val="24"/>
          <w:szCs w:val="24"/>
        </w:rPr>
        <w:t>da</w:t>
      </w:r>
      <w:r>
        <w:rPr>
          <w:rFonts w:ascii="Arial" w:hAnsi="Arial" w:cs="Times New Roman"/>
          <w:spacing w:val="-13"/>
          <w:sz w:val="24"/>
          <w:szCs w:val="24"/>
        </w:rPr>
        <w:t xml:space="preserve"> </w:t>
      </w:r>
      <w:r>
        <w:rPr>
          <w:rFonts w:ascii="Arial" w:hAnsi="Arial" w:cs="Times New Roman"/>
          <w:sz w:val="24"/>
          <w:szCs w:val="24"/>
        </w:rPr>
        <w:t>força</w:t>
      </w:r>
      <w:r>
        <w:rPr>
          <w:rFonts w:ascii="Arial" w:hAnsi="Arial" w:cs="Times New Roman"/>
          <w:spacing w:val="-14"/>
          <w:sz w:val="24"/>
          <w:szCs w:val="24"/>
        </w:rPr>
        <w:t xml:space="preserve"> </w:t>
      </w:r>
      <w:r>
        <w:rPr>
          <w:rFonts w:ascii="Arial" w:hAnsi="Arial" w:cs="Times New Roman"/>
          <w:sz w:val="24"/>
          <w:szCs w:val="24"/>
        </w:rPr>
        <w:t>de</w:t>
      </w:r>
      <w:r>
        <w:rPr>
          <w:rFonts w:ascii="Arial" w:hAnsi="Arial" w:cs="Times New Roman"/>
          <w:spacing w:val="-14"/>
          <w:sz w:val="24"/>
          <w:szCs w:val="24"/>
        </w:rPr>
        <w:t xml:space="preserve"> </w:t>
      </w:r>
      <w:r>
        <w:rPr>
          <w:rFonts w:ascii="Arial" w:hAnsi="Arial" w:cs="Times New Roman"/>
          <w:sz w:val="24"/>
          <w:szCs w:val="24"/>
        </w:rPr>
        <w:t>trabalho.</w:t>
      </w:r>
      <w:r>
        <w:rPr>
          <w:rFonts w:ascii="Arial" w:hAnsi="Arial" w:cs="Times New Roman"/>
          <w:spacing w:val="-16"/>
          <w:sz w:val="24"/>
          <w:szCs w:val="24"/>
        </w:rPr>
        <w:t xml:space="preserve"> </w:t>
      </w:r>
      <w:r>
        <w:rPr>
          <w:rFonts w:ascii="Arial" w:hAnsi="Arial" w:cs="Times New Roman"/>
          <w:sz w:val="24"/>
          <w:szCs w:val="24"/>
        </w:rPr>
        <w:t>Nas</w:t>
      </w:r>
      <w:r>
        <w:rPr>
          <w:rFonts w:ascii="Arial" w:hAnsi="Arial" w:cs="Times New Roman"/>
          <w:spacing w:val="-16"/>
          <w:sz w:val="24"/>
          <w:szCs w:val="24"/>
        </w:rPr>
        <w:t xml:space="preserve"> </w:t>
      </w:r>
      <w:r>
        <w:rPr>
          <w:rFonts w:ascii="Arial" w:hAnsi="Arial" w:cs="Times New Roman"/>
          <w:sz w:val="24"/>
          <w:szCs w:val="24"/>
        </w:rPr>
        <w:t>fazendas</w:t>
      </w:r>
      <w:r>
        <w:rPr>
          <w:rFonts w:ascii="Arial" w:hAnsi="Arial" w:cs="Times New Roman"/>
          <w:spacing w:val="-12"/>
          <w:sz w:val="24"/>
          <w:szCs w:val="24"/>
        </w:rPr>
        <w:t xml:space="preserve"> </w:t>
      </w:r>
      <w:r>
        <w:rPr>
          <w:rFonts w:ascii="Arial" w:hAnsi="Arial" w:cs="Times New Roman"/>
          <w:sz w:val="24"/>
          <w:szCs w:val="24"/>
        </w:rPr>
        <w:t>coloniais e imperiais,</w:t>
      </w:r>
      <w:r>
        <w:rPr>
          <w:rFonts w:ascii="Arial" w:hAnsi="Arial" w:cs="Times New Roman"/>
          <w:spacing w:val="-1"/>
          <w:sz w:val="24"/>
          <w:szCs w:val="24"/>
        </w:rPr>
        <w:t xml:space="preserve"> </w:t>
      </w:r>
      <w:r>
        <w:rPr>
          <w:rFonts w:ascii="Arial" w:hAnsi="Arial" w:cs="Times New Roman"/>
          <w:sz w:val="24"/>
          <w:szCs w:val="24"/>
        </w:rPr>
        <w:t>pessoas</w:t>
      </w:r>
      <w:r>
        <w:rPr>
          <w:rFonts w:ascii="Arial" w:hAnsi="Arial" w:cs="Times New Roman"/>
          <w:spacing w:val="-1"/>
          <w:sz w:val="24"/>
          <w:szCs w:val="24"/>
        </w:rPr>
        <w:t xml:space="preserve"> </w:t>
      </w:r>
      <w:r>
        <w:rPr>
          <w:rFonts w:ascii="Arial" w:hAnsi="Arial" w:cs="Times New Roman"/>
          <w:sz w:val="24"/>
          <w:szCs w:val="24"/>
        </w:rPr>
        <w:t>escravizadas cumpriam</w:t>
      </w:r>
      <w:r>
        <w:rPr>
          <w:rFonts w:ascii="Arial" w:hAnsi="Arial" w:cs="Times New Roman"/>
          <w:spacing w:val="-4"/>
          <w:sz w:val="24"/>
          <w:szCs w:val="24"/>
        </w:rPr>
        <w:t xml:space="preserve"> </w:t>
      </w:r>
      <w:r>
        <w:rPr>
          <w:rFonts w:ascii="Arial" w:hAnsi="Arial" w:cs="Times New Roman"/>
          <w:sz w:val="24"/>
          <w:szCs w:val="24"/>
        </w:rPr>
        <w:t>jornadas que alcançavam até</w:t>
      </w:r>
      <w:r>
        <w:rPr>
          <w:rFonts w:ascii="Arial" w:hAnsi="Arial" w:cs="Times New Roman"/>
          <w:spacing w:val="-12"/>
          <w:sz w:val="24"/>
          <w:szCs w:val="24"/>
        </w:rPr>
        <w:t xml:space="preserve"> </w:t>
      </w:r>
      <w:r>
        <w:rPr>
          <w:rFonts w:ascii="Arial" w:hAnsi="Arial" w:cs="Times New Roman"/>
          <w:sz w:val="24"/>
          <w:szCs w:val="24"/>
        </w:rPr>
        <w:t>20</w:t>
      </w:r>
      <w:r>
        <w:rPr>
          <w:rFonts w:ascii="Arial" w:hAnsi="Arial" w:cs="Times New Roman"/>
          <w:spacing w:val="-15"/>
          <w:sz w:val="24"/>
          <w:szCs w:val="24"/>
        </w:rPr>
        <w:t xml:space="preserve"> </w:t>
      </w:r>
      <w:r>
        <w:rPr>
          <w:rFonts w:ascii="Arial" w:hAnsi="Arial" w:cs="Times New Roman"/>
          <w:sz w:val="24"/>
          <w:szCs w:val="24"/>
        </w:rPr>
        <w:t>horas</w:t>
      </w:r>
      <w:r>
        <w:rPr>
          <w:rFonts w:ascii="Arial" w:hAnsi="Arial" w:cs="Times New Roman"/>
          <w:spacing w:val="-15"/>
          <w:sz w:val="24"/>
          <w:szCs w:val="24"/>
        </w:rPr>
        <w:t xml:space="preserve"> </w:t>
      </w:r>
      <w:r>
        <w:rPr>
          <w:rFonts w:ascii="Arial" w:hAnsi="Arial" w:cs="Times New Roman"/>
          <w:sz w:val="24"/>
          <w:szCs w:val="24"/>
        </w:rPr>
        <w:t>diárias.</w:t>
      </w:r>
      <w:r>
        <w:rPr>
          <w:rFonts w:ascii="Arial" w:hAnsi="Arial" w:cs="Times New Roman"/>
          <w:spacing w:val="-10"/>
          <w:sz w:val="24"/>
          <w:szCs w:val="24"/>
        </w:rPr>
        <w:t xml:space="preserve"> </w:t>
      </w:r>
      <w:r>
        <w:rPr>
          <w:rFonts w:ascii="Arial" w:hAnsi="Arial" w:cs="Times New Roman"/>
          <w:sz w:val="24"/>
          <w:szCs w:val="24"/>
        </w:rPr>
        <w:t>Conforme</w:t>
      </w:r>
      <w:r>
        <w:rPr>
          <w:rFonts w:ascii="Arial" w:hAnsi="Arial" w:cs="Times New Roman"/>
          <w:spacing w:val="-13"/>
          <w:sz w:val="24"/>
          <w:szCs w:val="24"/>
        </w:rPr>
        <w:t xml:space="preserve"> </w:t>
      </w:r>
      <w:r>
        <w:rPr>
          <w:rFonts w:ascii="Arial" w:hAnsi="Arial" w:cs="Times New Roman"/>
          <w:sz w:val="24"/>
          <w:szCs w:val="24"/>
        </w:rPr>
        <w:t>Brasil</w:t>
      </w:r>
      <w:r>
        <w:rPr>
          <w:rFonts w:ascii="Arial" w:hAnsi="Arial" w:cs="Times New Roman"/>
          <w:spacing w:val="-13"/>
          <w:sz w:val="24"/>
          <w:szCs w:val="24"/>
        </w:rPr>
        <w:t xml:space="preserve"> </w:t>
      </w:r>
      <w:r>
        <w:rPr>
          <w:rFonts w:ascii="Arial" w:hAnsi="Arial" w:cs="Times New Roman"/>
          <w:sz w:val="24"/>
          <w:szCs w:val="24"/>
        </w:rPr>
        <w:t>Escola</w:t>
      </w:r>
      <w:r>
        <w:rPr>
          <w:rFonts w:ascii="Arial" w:hAnsi="Arial" w:cs="Times New Roman"/>
          <w:spacing w:val="-14"/>
          <w:sz w:val="24"/>
          <w:szCs w:val="24"/>
        </w:rPr>
        <w:t xml:space="preserve"> </w:t>
      </w:r>
      <w:r>
        <w:rPr>
          <w:rFonts w:ascii="Arial" w:hAnsi="Arial" w:cs="Times New Roman"/>
          <w:sz w:val="24"/>
          <w:szCs w:val="24"/>
        </w:rPr>
        <w:t>(2025),</w:t>
      </w:r>
      <w:r>
        <w:rPr>
          <w:rFonts w:ascii="Arial" w:hAnsi="Arial" w:cs="Times New Roman"/>
          <w:spacing w:val="-13"/>
          <w:sz w:val="24"/>
          <w:szCs w:val="24"/>
        </w:rPr>
        <w:t xml:space="preserve"> </w:t>
      </w:r>
      <w:r>
        <w:rPr>
          <w:rFonts w:ascii="Arial" w:hAnsi="Arial" w:cs="Times New Roman"/>
          <w:spacing w:val="-10"/>
          <w:sz w:val="24"/>
          <w:szCs w:val="24"/>
        </w:rPr>
        <w:t xml:space="preserve">ainda sendo </w:t>
      </w:r>
      <w:r>
        <w:rPr>
          <w:rFonts w:ascii="Arial" w:hAnsi="Arial" w:cs="Times New Roman"/>
          <w:sz w:val="24"/>
          <w:szCs w:val="24"/>
        </w:rPr>
        <w:t>submetidos a castigos físicos, violências psicológicas e sexuais, além das condições precárias</w:t>
      </w:r>
      <w:r>
        <w:rPr>
          <w:rFonts w:ascii="Arial" w:hAnsi="Arial" w:cs="Times New Roman"/>
          <w:spacing w:val="-5"/>
          <w:sz w:val="24"/>
          <w:szCs w:val="24"/>
        </w:rPr>
        <w:t xml:space="preserve"> </w:t>
      </w:r>
      <w:r>
        <w:rPr>
          <w:rFonts w:ascii="Arial" w:hAnsi="Arial" w:cs="Times New Roman"/>
          <w:sz w:val="24"/>
          <w:szCs w:val="24"/>
        </w:rPr>
        <w:t>de</w:t>
      </w:r>
      <w:r>
        <w:rPr>
          <w:rFonts w:ascii="Arial" w:hAnsi="Arial" w:cs="Times New Roman"/>
          <w:spacing w:val="-2"/>
          <w:sz w:val="24"/>
          <w:szCs w:val="24"/>
        </w:rPr>
        <w:t xml:space="preserve"> </w:t>
      </w:r>
      <w:r>
        <w:rPr>
          <w:rFonts w:ascii="Arial" w:hAnsi="Arial" w:cs="Times New Roman"/>
          <w:sz w:val="24"/>
          <w:szCs w:val="24"/>
        </w:rPr>
        <w:t>alimentação</w:t>
      </w:r>
      <w:r>
        <w:rPr>
          <w:rFonts w:ascii="Arial" w:hAnsi="Arial" w:cs="Times New Roman"/>
          <w:spacing w:val="-2"/>
          <w:sz w:val="24"/>
          <w:szCs w:val="24"/>
        </w:rPr>
        <w:t xml:space="preserve"> </w:t>
      </w:r>
      <w:r>
        <w:rPr>
          <w:rFonts w:ascii="Arial" w:hAnsi="Arial" w:cs="Times New Roman"/>
          <w:sz w:val="24"/>
          <w:szCs w:val="24"/>
        </w:rPr>
        <w:t>e</w:t>
      </w:r>
      <w:r>
        <w:rPr>
          <w:rFonts w:ascii="Arial" w:hAnsi="Arial" w:cs="Times New Roman"/>
          <w:spacing w:val="-3"/>
          <w:sz w:val="24"/>
          <w:szCs w:val="24"/>
        </w:rPr>
        <w:t xml:space="preserve"> </w:t>
      </w:r>
      <w:r>
        <w:rPr>
          <w:rFonts w:ascii="Arial" w:hAnsi="Arial" w:cs="Times New Roman"/>
          <w:sz w:val="24"/>
          <w:szCs w:val="24"/>
        </w:rPr>
        <w:t>moradia, sendo tratados como objetos, utilizados como moeda de troca ou comercializados livremente nos</w:t>
      </w:r>
      <w:r>
        <w:rPr>
          <w:rFonts w:ascii="Arial" w:hAnsi="Arial" w:cs="Times New Roman"/>
          <w:spacing w:val="-1"/>
          <w:sz w:val="24"/>
          <w:szCs w:val="24"/>
        </w:rPr>
        <w:t xml:space="preserve"> </w:t>
      </w:r>
      <w:r>
        <w:rPr>
          <w:rFonts w:ascii="Arial" w:hAnsi="Arial" w:cs="Times New Roman"/>
          <w:sz w:val="24"/>
          <w:szCs w:val="24"/>
        </w:rPr>
        <w:t xml:space="preserve">mercados da época, </w:t>
      </w:r>
      <w:r>
        <w:rPr>
          <w:rFonts w:ascii="Arial" w:hAnsi="Arial" w:cs="Times New Roman"/>
          <w:spacing w:val="-2"/>
          <w:sz w:val="24"/>
          <w:szCs w:val="24"/>
        </w:rPr>
        <w:t xml:space="preserve">reforçando </w:t>
      </w:r>
      <w:r>
        <w:rPr>
          <w:rFonts w:ascii="Arial" w:hAnsi="Arial" w:cs="Times New Roman"/>
          <w:sz w:val="24"/>
          <w:szCs w:val="24"/>
        </w:rPr>
        <w:t>o controle</w:t>
      </w:r>
      <w:r>
        <w:rPr>
          <w:rFonts w:ascii="Arial" w:hAnsi="Arial" w:cs="Times New Roman"/>
          <w:spacing w:val="-5"/>
          <w:sz w:val="24"/>
          <w:szCs w:val="24"/>
        </w:rPr>
        <w:t xml:space="preserve"> rígido </w:t>
      </w:r>
      <w:r>
        <w:rPr>
          <w:rFonts w:ascii="Arial" w:hAnsi="Arial" w:cs="Times New Roman"/>
          <w:sz w:val="24"/>
          <w:szCs w:val="24"/>
        </w:rPr>
        <w:t xml:space="preserve">imposto pelos proprietários rurais. </w:t>
      </w:r>
    </w:p>
    <w:p w:rsidR="009D60B7" w:rsidRDefault="00425C09">
      <w:pPr>
        <w:pStyle w:val="Corpodetexto"/>
        <w:spacing w:line="360" w:lineRule="auto"/>
        <w:ind w:left="170" w:firstLine="964"/>
        <w:jc w:val="both"/>
        <w:rPr>
          <w:rFonts w:ascii="Arial" w:hAnsi="Arial"/>
          <w:sz w:val="24"/>
          <w:szCs w:val="24"/>
        </w:rPr>
      </w:pPr>
      <w:r>
        <w:rPr>
          <w:rFonts w:ascii="Arial" w:hAnsi="Arial" w:cs="Times New Roman"/>
          <w:sz w:val="24"/>
          <w:szCs w:val="24"/>
        </w:rPr>
        <w:t>A</w:t>
      </w:r>
      <w:r>
        <w:rPr>
          <w:rFonts w:ascii="Arial" w:hAnsi="Arial" w:cs="Times New Roman"/>
          <w:spacing w:val="-3"/>
          <w:sz w:val="24"/>
          <w:szCs w:val="24"/>
        </w:rPr>
        <w:t xml:space="preserve"> </w:t>
      </w:r>
      <w:r>
        <w:rPr>
          <w:rFonts w:ascii="Arial" w:hAnsi="Arial" w:cs="Times New Roman"/>
          <w:sz w:val="24"/>
          <w:szCs w:val="24"/>
        </w:rPr>
        <w:t>autora</w:t>
      </w:r>
      <w:r>
        <w:rPr>
          <w:rFonts w:ascii="Arial" w:hAnsi="Arial" w:cs="Times New Roman"/>
          <w:spacing w:val="-4"/>
          <w:sz w:val="24"/>
          <w:szCs w:val="24"/>
        </w:rPr>
        <w:t xml:space="preserve"> </w:t>
      </w:r>
      <w:r>
        <w:rPr>
          <w:rFonts w:ascii="Arial" w:hAnsi="Arial" w:cs="Times New Roman"/>
          <w:sz w:val="24"/>
          <w:szCs w:val="24"/>
        </w:rPr>
        <w:t>Schwarcz</w:t>
      </w:r>
      <w:r>
        <w:rPr>
          <w:rFonts w:ascii="Arial" w:hAnsi="Arial" w:cs="Times New Roman"/>
          <w:spacing w:val="-6"/>
          <w:sz w:val="24"/>
          <w:szCs w:val="24"/>
        </w:rPr>
        <w:t xml:space="preserve"> </w:t>
      </w:r>
      <w:r>
        <w:rPr>
          <w:rFonts w:ascii="Arial" w:hAnsi="Arial" w:cs="Times New Roman"/>
          <w:sz w:val="24"/>
          <w:szCs w:val="24"/>
        </w:rPr>
        <w:t>(2015) destaca</w:t>
      </w:r>
      <w:r>
        <w:rPr>
          <w:rFonts w:ascii="Arial" w:hAnsi="Arial" w:cs="Times New Roman"/>
          <w:spacing w:val="-3"/>
          <w:sz w:val="24"/>
          <w:szCs w:val="24"/>
        </w:rPr>
        <w:t xml:space="preserve"> </w:t>
      </w:r>
      <w:r>
        <w:rPr>
          <w:rFonts w:ascii="Arial" w:hAnsi="Arial" w:cs="Times New Roman"/>
          <w:sz w:val="24"/>
          <w:szCs w:val="24"/>
        </w:rPr>
        <w:t>ainda</w:t>
      </w:r>
      <w:r>
        <w:rPr>
          <w:rFonts w:ascii="Arial" w:hAnsi="Arial" w:cs="Times New Roman"/>
          <w:spacing w:val="2"/>
          <w:sz w:val="24"/>
          <w:szCs w:val="24"/>
        </w:rPr>
        <w:t xml:space="preserve"> </w:t>
      </w:r>
      <w:r>
        <w:rPr>
          <w:rFonts w:ascii="Arial" w:hAnsi="Arial" w:cs="Times New Roman"/>
          <w:sz w:val="24"/>
          <w:szCs w:val="24"/>
        </w:rPr>
        <w:t>que</w:t>
      </w:r>
      <w:r>
        <w:rPr>
          <w:rFonts w:ascii="Arial" w:hAnsi="Arial" w:cs="Times New Roman"/>
          <w:spacing w:val="-5"/>
          <w:sz w:val="24"/>
          <w:szCs w:val="24"/>
        </w:rPr>
        <w:t xml:space="preserve"> </w:t>
      </w:r>
      <w:r>
        <w:rPr>
          <w:rFonts w:ascii="Arial" w:hAnsi="Arial" w:cs="Times New Roman"/>
          <w:sz w:val="24"/>
          <w:szCs w:val="24"/>
        </w:rPr>
        <w:t>a</w:t>
      </w:r>
      <w:r>
        <w:rPr>
          <w:rFonts w:ascii="Arial" w:hAnsi="Arial" w:cs="Times New Roman"/>
          <w:spacing w:val="2"/>
          <w:sz w:val="24"/>
          <w:szCs w:val="24"/>
        </w:rPr>
        <w:t xml:space="preserve"> </w:t>
      </w:r>
      <w:r>
        <w:rPr>
          <w:rFonts w:ascii="Arial" w:hAnsi="Arial" w:cs="Times New Roman"/>
          <w:sz w:val="24"/>
          <w:szCs w:val="24"/>
        </w:rPr>
        <w:t>violência</w:t>
      </w:r>
      <w:r>
        <w:rPr>
          <w:rFonts w:ascii="Arial" w:hAnsi="Arial" w:cs="Times New Roman"/>
          <w:spacing w:val="-7"/>
          <w:sz w:val="24"/>
          <w:szCs w:val="24"/>
        </w:rPr>
        <w:t xml:space="preserve"> </w:t>
      </w:r>
      <w:r>
        <w:rPr>
          <w:rFonts w:ascii="Arial" w:hAnsi="Arial" w:cs="Times New Roman"/>
          <w:sz w:val="24"/>
          <w:szCs w:val="24"/>
        </w:rPr>
        <w:t>física</w:t>
      </w:r>
      <w:r>
        <w:rPr>
          <w:rFonts w:ascii="Arial" w:hAnsi="Arial" w:cs="Times New Roman"/>
          <w:spacing w:val="2"/>
          <w:sz w:val="24"/>
          <w:szCs w:val="24"/>
        </w:rPr>
        <w:t xml:space="preserve"> </w:t>
      </w:r>
      <w:r>
        <w:rPr>
          <w:rFonts w:ascii="Arial" w:hAnsi="Arial" w:cs="Times New Roman"/>
          <w:sz w:val="24"/>
          <w:szCs w:val="24"/>
        </w:rPr>
        <w:t xml:space="preserve">e </w:t>
      </w:r>
      <w:r>
        <w:rPr>
          <w:rFonts w:ascii="Arial" w:hAnsi="Arial" w:cs="Times New Roman"/>
          <w:spacing w:val="-2"/>
          <w:sz w:val="24"/>
          <w:szCs w:val="24"/>
        </w:rPr>
        <w:t xml:space="preserve">psicológica </w:t>
      </w:r>
      <w:r>
        <w:rPr>
          <w:rFonts w:ascii="Arial" w:hAnsi="Arial" w:cs="Times New Roman"/>
          <w:sz w:val="24"/>
          <w:szCs w:val="24"/>
        </w:rPr>
        <w:t>não era apenas um instrumento de punição, mas um mecanismo essencial para manter a produtividade e assegurar a hierarquia social sustentada pelos senhores de terra.</w:t>
      </w:r>
      <w:r>
        <w:rPr>
          <w:rFonts w:ascii="Arial" w:hAnsi="Arial" w:cs="Times New Roman"/>
          <w:spacing w:val="-3"/>
          <w:sz w:val="24"/>
          <w:szCs w:val="24"/>
        </w:rPr>
        <w:t xml:space="preserve"> </w:t>
      </w:r>
      <w:r>
        <w:rPr>
          <w:rFonts w:ascii="Arial" w:hAnsi="Arial" w:cs="Times New Roman"/>
          <w:sz w:val="24"/>
          <w:szCs w:val="24"/>
        </w:rPr>
        <w:t>Esse</w:t>
      </w:r>
      <w:r>
        <w:rPr>
          <w:rFonts w:ascii="Arial" w:hAnsi="Arial" w:cs="Times New Roman"/>
          <w:spacing w:val="-5"/>
          <w:sz w:val="24"/>
          <w:szCs w:val="24"/>
        </w:rPr>
        <w:t xml:space="preserve"> </w:t>
      </w:r>
      <w:r>
        <w:rPr>
          <w:rFonts w:ascii="Arial" w:hAnsi="Arial" w:cs="Times New Roman"/>
          <w:sz w:val="24"/>
          <w:szCs w:val="24"/>
        </w:rPr>
        <w:t>modelo</w:t>
      </w:r>
      <w:r>
        <w:rPr>
          <w:rFonts w:ascii="Arial" w:hAnsi="Arial" w:cs="Times New Roman"/>
          <w:spacing w:val="-8"/>
          <w:sz w:val="24"/>
          <w:szCs w:val="24"/>
        </w:rPr>
        <w:t xml:space="preserve"> </w:t>
      </w:r>
      <w:r>
        <w:rPr>
          <w:rFonts w:ascii="Arial" w:hAnsi="Arial" w:cs="Times New Roman"/>
          <w:sz w:val="24"/>
          <w:szCs w:val="24"/>
        </w:rPr>
        <w:t>de</w:t>
      </w:r>
      <w:r>
        <w:rPr>
          <w:rFonts w:ascii="Arial" w:hAnsi="Arial" w:cs="Times New Roman"/>
          <w:spacing w:val="-2"/>
          <w:sz w:val="24"/>
          <w:szCs w:val="24"/>
        </w:rPr>
        <w:t xml:space="preserve"> </w:t>
      </w:r>
      <w:r>
        <w:rPr>
          <w:rFonts w:ascii="Arial" w:hAnsi="Arial" w:cs="Times New Roman"/>
          <w:sz w:val="24"/>
          <w:szCs w:val="24"/>
        </w:rPr>
        <w:t>exploração,</w:t>
      </w:r>
      <w:r>
        <w:rPr>
          <w:rFonts w:ascii="Arial" w:hAnsi="Arial" w:cs="Times New Roman"/>
          <w:spacing w:val="-1"/>
          <w:sz w:val="24"/>
          <w:szCs w:val="24"/>
        </w:rPr>
        <w:t xml:space="preserve"> </w:t>
      </w:r>
      <w:r>
        <w:rPr>
          <w:rFonts w:ascii="Arial" w:hAnsi="Arial" w:cs="Times New Roman"/>
          <w:sz w:val="24"/>
          <w:szCs w:val="24"/>
        </w:rPr>
        <w:t>baseado</w:t>
      </w:r>
      <w:r>
        <w:rPr>
          <w:rFonts w:ascii="Arial" w:hAnsi="Arial" w:cs="Times New Roman"/>
          <w:spacing w:val="-1"/>
          <w:sz w:val="24"/>
          <w:szCs w:val="24"/>
        </w:rPr>
        <w:t xml:space="preserve"> </w:t>
      </w:r>
      <w:r>
        <w:rPr>
          <w:rFonts w:ascii="Arial" w:hAnsi="Arial" w:cs="Times New Roman"/>
          <w:sz w:val="24"/>
          <w:szCs w:val="24"/>
        </w:rPr>
        <w:t>na</w:t>
      </w:r>
      <w:r>
        <w:rPr>
          <w:rFonts w:ascii="Arial" w:hAnsi="Arial" w:cs="Times New Roman"/>
          <w:spacing w:val="-1"/>
          <w:sz w:val="24"/>
          <w:szCs w:val="24"/>
        </w:rPr>
        <w:t xml:space="preserve"> </w:t>
      </w:r>
      <w:r>
        <w:rPr>
          <w:rFonts w:ascii="Arial" w:hAnsi="Arial" w:cs="Times New Roman"/>
          <w:sz w:val="24"/>
          <w:szCs w:val="24"/>
        </w:rPr>
        <w:t>desumanização</w:t>
      </w:r>
      <w:r>
        <w:rPr>
          <w:rFonts w:ascii="Arial" w:hAnsi="Arial" w:cs="Times New Roman"/>
          <w:spacing w:val="-2"/>
          <w:sz w:val="24"/>
          <w:szCs w:val="24"/>
        </w:rPr>
        <w:t xml:space="preserve"> </w:t>
      </w:r>
      <w:r>
        <w:rPr>
          <w:rFonts w:ascii="Arial" w:hAnsi="Arial" w:cs="Times New Roman"/>
          <w:sz w:val="24"/>
          <w:szCs w:val="24"/>
        </w:rPr>
        <w:t>e</w:t>
      </w:r>
      <w:r>
        <w:rPr>
          <w:rFonts w:ascii="Arial" w:hAnsi="Arial" w:cs="Times New Roman"/>
          <w:spacing w:val="-5"/>
          <w:sz w:val="24"/>
          <w:szCs w:val="24"/>
        </w:rPr>
        <w:t xml:space="preserve"> </w:t>
      </w:r>
      <w:r>
        <w:rPr>
          <w:rFonts w:ascii="Arial" w:hAnsi="Arial" w:cs="Times New Roman"/>
          <w:sz w:val="24"/>
          <w:szCs w:val="24"/>
        </w:rPr>
        <w:t>na</w:t>
      </w:r>
      <w:r>
        <w:rPr>
          <w:rFonts w:ascii="Arial" w:hAnsi="Arial" w:cs="Times New Roman"/>
          <w:spacing w:val="-5"/>
          <w:sz w:val="24"/>
          <w:szCs w:val="24"/>
        </w:rPr>
        <w:t xml:space="preserve"> </w:t>
      </w:r>
      <w:r>
        <w:rPr>
          <w:rFonts w:ascii="Arial" w:hAnsi="Arial" w:cs="Times New Roman"/>
          <w:sz w:val="24"/>
          <w:szCs w:val="24"/>
        </w:rPr>
        <w:t>negação</w:t>
      </w:r>
      <w:r>
        <w:rPr>
          <w:rFonts w:ascii="Arial" w:hAnsi="Arial" w:cs="Times New Roman"/>
          <w:spacing w:val="-1"/>
          <w:sz w:val="24"/>
          <w:szCs w:val="24"/>
        </w:rPr>
        <w:t xml:space="preserve"> </w:t>
      </w:r>
      <w:r>
        <w:rPr>
          <w:rFonts w:ascii="Arial" w:hAnsi="Arial" w:cs="Times New Roman"/>
          <w:sz w:val="24"/>
          <w:szCs w:val="24"/>
        </w:rPr>
        <w:t>de direitos, deixou marcas estruturais na formação da sociedade brasileira, refletindo na atualidade</w:t>
      </w:r>
      <w:r>
        <w:rPr>
          <w:rFonts w:ascii="Arial" w:hAnsi="Arial" w:cs="Times New Roman"/>
          <w:spacing w:val="40"/>
          <w:sz w:val="24"/>
          <w:szCs w:val="24"/>
        </w:rPr>
        <w:t xml:space="preserve"> </w:t>
      </w:r>
      <w:r>
        <w:rPr>
          <w:rFonts w:ascii="Arial" w:hAnsi="Arial" w:cs="Times New Roman"/>
          <w:sz w:val="24"/>
          <w:szCs w:val="24"/>
        </w:rPr>
        <w:t>a vulnerabilidade no meio rural.</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t>O</w:t>
      </w:r>
      <w:r>
        <w:rPr>
          <w:rFonts w:ascii="Arial" w:hAnsi="Arial" w:cs="Times New Roman"/>
          <w:spacing w:val="-7"/>
          <w:sz w:val="24"/>
          <w:szCs w:val="24"/>
        </w:rPr>
        <w:t xml:space="preserve"> </w:t>
      </w:r>
      <w:r>
        <w:rPr>
          <w:rFonts w:ascii="Arial" w:hAnsi="Arial" w:cs="Times New Roman"/>
          <w:sz w:val="24"/>
          <w:szCs w:val="24"/>
        </w:rPr>
        <w:t>Brasil</w:t>
      </w:r>
      <w:r>
        <w:rPr>
          <w:rFonts w:ascii="Arial" w:hAnsi="Arial" w:cs="Times New Roman"/>
          <w:spacing w:val="-7"/>
          <w:sz w:val="24"/>
          <w:szCs w:val="24"/>
        </w:rPr>
        <w:t xml:space="preserve"> </w:t>
      </w:r>
      <w:r>
        <w:rPr>
          <w:rFonts w:ascii="Arial" w:hAnsi="Arial" w:cs="Times New Roman"/>
          <w:sz w:val="24"/>
          <w:szCs w:val="24"/>
        </w:rPr>
        <w:t>foi</w:t>
      </w:r>
      <w:r>
        <w:rPr>
          <w:rFonts w:ascii="Arial" w:hAnsi="Arial" w:cs="Times New Roman"/>
          <w:spacing w:val="-7"/>
          <w:sz w:val="24"/>
          <w:szCs w:val="24"/>
        </w:rPr>
        <w:t xml:space="preserve"> </w:t>
      </w:r>
      <w:r>
        <w:rPr>
          <w:rFonts w:ascii="Arial" w:hAnsi="Arial" w:cs="Times New Roman"/>
          <w:sz w:val="24"/>
          <w:szCs w:val="24"/>
        </w:rPr>
        <w:t>o</w:t>
      </w:r>
      <w:r>
        <w:rPr>
          <w:rFonts w:ascii="Arial" w:hAnsi="Arial" w:cs="Times New Roman"/>
          <w:spacing w:val="-2"/>
          <w:sz w:val="24"/>
          <w:szCs w:val="24"/>
        </w:rPr>
        <w:t xml:space="preserve"> </w:t>
      </w:r>
      <w:r>
        <w:rPr>
          <w:rFonts w:ascii="Arial" w:hAnsi="Arial" w:cs="Times New Roman"/>
          <w:sz w:val="24"/>
          <w:szCs w:val="24"/>
        </w:rPr>
        <w:t>último</w:t>
      </w:r>
      <w:r>
        <w:rPr>
          <w:rFonts w:ascii="Arial" w:hAnsi="Arial" w:cs="Times New Roman"/>
          <w:spacing w:val="-4"/>
          <w:sz w:val="24"/>
          <w:szCs w:val="24"/>
        </w:rPr>
        <w:t xml:space="preserve"> </w:t>
      </w:r>
      <w:r>
        <w:rPr>
          <w:rFonts w:ascii="Arial" w:hAnsi="Arial" w:cs="Times New Roman"/>
          <w:sz w:val="24"/>
          <w:szCs w:val="24"/>
        </w:rPr>
        <w:t>país</w:t>
      </w:r>
      <w:r>
        <w:rPr>
          <w:rFonts w:ascii="Arial" w:hAnsi="Arial" w:cs="Times New Roman"/>
          <w:spacing w:val="-4"/>
          <w:sz w:val="24"/>
          <w:szCs w:val="24"/>
        </w:rPr>
        <w:t xml:space="preserve"> </w:t>
      </w:r>
      <w:r>
        <w:rPr>
          <w:rFonts w:ascii="Arial" w:hAnsi="Arial" w:cs="Times New Roman"/>
          <w:sz w:val="24"/>
          <w:szCs w:val="24"/>
        </w:rPr>
        <w:t>a</w:t>
      </w:r>
      <w:r>
        <w:rPr>
          <w:rFonts w:ascii="Arial" w:hAnsi="Arial" w:cs="Times New Roman"/>
          <w:spacing w:val="-4"/>
          <w:sz w:val="24"/>
          <w:szCs w:val="24"/>
        </w:rPr>
        <w:t xml:space="preserve"> </w:t>
      </w:r>
      <w:r>
        <w:rPr>
          <w:rFonts w:ascii="Arial" w:hAnsi="Arial" w:cs="Times New Roman"/>
          <w:sz w:val="24"/>
          <w:szCs w:val="24"/>
        </w:rPr>
        <w:t>abolir</w:t>
      </w:r>
      <w:r>
        <w:rPr>
          <w:rFonts w:ascii="Arial" w:hAnsi="Arial" w:cs="Times New Roman"/>
          <w:spacing w:val="-9"/>
          <w:sz w:val="24"/>
          <w:szCs w:val="24"/>
        </w:rPr>
        <w:t xml:space="preserve"> </w:t>
      </w:r>
      <w:r>
        <w:rPr>
          <w:rFonts w:ascii="Arial" w:hAnsi="Arial" w:cs="Times New Roman"/>
          <w:sz w:val="24"/>
          <w:szCs w:val="24"/>
        </w:rPr>
        <w:t>a</w:t>
      </w:r>
      <w:r>
        <w:rPr>
          <w:rFonts w:ascii="Arial" w:hAnsi="Arial" w:cs="Times New Roman"/>
          <w:spacing w:val="-1"/>
          <w:sz w:val="24"/>
          <w:szCs w:val="24"/>
        </w:rPr>
        <w:t xml:space="preserve"> </w:t>
      </w:r>
      <w:r>
        <w:rPr>
          <w:rFonts w:ascii="Arial" w:hAnsi="Arial" w:cs="Times New Roman"/>
          <w:sz w:val="24"/>
          <w:szCs w:val="24"/>
        </w:rPr>
        <w:t>escravidão, conforme informações</w:t>
      </w:r>
      <w:r>
        <w:rPr>
          <w:rFonts w:ascii="Arial" w:hAnsi="Arial" w:cs="Times New Roman"/>
          <w:spacing w:val="-1"/>
          <w:sz w:val="24"/>
          <w:szCs w:val="24"/>
        </w:rPr>
        <w:t xml:space="preserve"> </w:t>
      </w:r>
      <w:r>
        <w:rPr>
          <w:rFonts w:ascii="Arial" w:hAnsi="Arial" w:cs="Times New Roman"/>
          <w:sz w:val="24"/>
          <w:szCs w:val="24"/>
        </w:rPr>
        <w:t>divulgadas pelo Senado Federal (2022), vindo a ocorreu em 13 de maio de 1888, quando a Princesa</w:t>
      </w:r>
      <w:r>
        <w:rPr>
          <w:rFonts w:ascii="Arial" w:hAnsi="Arial" w:cs="Times New Roman"/>
          <w:spacing w:val="-7"/>
          <w:sz w:val="24"/>
          <w:szCs w:val="24"/>
        </w:rPr>
        <w:t xml:space="preserve"> </w:t>
      </w:r>
      <w:r>
        <w:rPr>
          <w:rFonts w:ascii="Arial" w:hAnsi="Arial" w:cs="Times New Roman"/>
          <w:sz w:val="24"/>
          <w:szCs w:val="24"/>
        </w:rPr>
        <w:t>Isabel</w:t>
      </w:r>
      <w:r>
        <w:rPr>
          <w:rFonts w:ascii="Arial" w:hAnsi="Arial" w:cs="Times New Roman"/>
          <w:spacing w:val="-12"/>
          <w:sz w:val="24"/>
          <w:szCs w:val="24"/>
        </w:rPr>
        <w:t xml:space="preserve"> </w:t>
      </w:r>
      <w:r>
        <w:rPr>
          <w:rFonts w:ascii="Arial" w:hAnsi="Arial" w:cs="Times New Roman"/>
          <w:sz w:val="24"/>
          <w:szCs w:val="24"/>
        </w:rPr>
        <w:t>assinou</w:t>
      </w:r>
      <w:r>
        <w:rPr>
          <w:rFonts w:ascii="Arial" w:hAnsi="Arial" w:cs="Times New Roman"/>
          <w:spacing w:val="-2"/>
          <w:sz w:val="24"/>
          <w:szCs w:val="24"/>
        </w:rPr>
        <w:t xml:space="preserve"> </w:t>
      </w:r>
      <w:r>
        <w:rPr>
          <w:rFonts w:ascii="Arial" w:hAnsi="Arial" w:cs="Times New Roman"/>
          <w:sz w:val="24"/>
          <w:szCs w:val="24"/>
        </w:rPr>
        <w:t>a</w:t>
      </w:r>
      <w:r>
        <w:rPr>
          <w:rFonts w:ascii="Arial" w:hAnsi="Arial" w:cs="Times New Roman"/>
          <w:spacing w:val="-7"/>
          <w:sz w:val="24"/>
          <w:szCs w:val="24"/>
        </w:rPr>
        <w:t xml:space="preserve"> </w:t>
      </w:r>
      <w:r>
        <w:rPr>
          <w:rFonts w:ascii="Arial" w:hAnsi="Arial" w:cs="Times New Roman"/>
          <w:sz w:val="24"/>
          <w:szCs w:val="24"/>
        </w:rPr>
        <w:t>Lei</w:t>
      </w:r>
      <w:r>
        <w:rPr>
          <w:rFonts w:ascii="Arial" w:hAnsi="Arial" w:cs="Times New Roman"/>
          <w:spacing w:val="-9"/>
          <w:sz w:val="24"/>
          <w:szCs w:val="24"/>
        </w:rPr>
        <w:t xml:space="preserve"> </w:t>
      </w:r>
      <w:r>
        <w:rPr>
          <w:rFonts w:ascii="Arial" w:hAnsi="Arial" w:cs="Times New Roman"/>
          <w:sz w:val="24"/>
          <w:szCs w:val="24"/>
        </w:rPr>
        <w:t>Áurea.</w:t>
      </w:r>
      <w:r>
        <w:rPr>
          <w:rFonts w:ascii="Arial" w:hAnsi="Arial" w:cs="Times New Roman"/>
          <w:spacing w:val="-2"/>
          <w:sz w:val="24"/>
          <w:szCs w:val="24"/>
        </w:rPr>
        <w:t xml:space="preserve"> </w:t>
      </w:r>
      <w:r>
        <w:rPr>
          <w:rFonts w:ascii="Arial" w:hAnsi="Arial" w:cs="Times New Roman"/>
          <w:sz w:val="24"/>
          <w:szCs w:val="24"/>
        </w:rPr>
        <w:t>Esta</w:t>
      </w:r>
      <w:r>
        <w:rPr>
          <w:rFonts w:ascii="Arial" w:hAnsi="Arial" w:cs="Times New Roman"/>
          <w:spacing w:val="-4"/>
          <w:sz w:val="24"/>
          <w:szCs w:val="24"/>
        </w:rPr>
        <w:t xml:space="preserve"> </w:t>
      </w:r>
      <w:r>
        <w:rPr>
          <w:rFonts w:ascii="Arial" w:hAnsi="Arial" w:cs="Times New Roman"/>
          <w:sz w:val="24"/>
          <w:szCs w:val="24"/>
        </w:rPr>
        <w:t>lei</w:t>
      </w:r>
      <w:r>
        <w:rPr>
          <w:rFonts w:ascii="Arial" w:hAnsi="Arial" w:cs="Times New Roman"/>
          <w:spacing w:val="-7"/>
          <w:sz w:val="24"/>
          <w:szCs w:val="24"/>
        </w:rPr>
        <w:t xml:space="preserve"> </w:t>
      </w:r>
      <w:r>
        <w:rPr>
          <w:rFonts w:ascii="Arial" w:hAnsi="Arial" w:cs="Times New Roman"/>
          <w:sz w:val="24"/>
          <w:szCs w:val="24"/>
        </w:rPr>
        <w:t>extinguiu</w:t>
      </w:r>
      <w:r>
        <w:rPr>
          <w:rFonts w:ascii="Arial" w:hAnsi="Arial" w:cs="Times New Roman"/>
          <w:spacing w:val="-7"/>
          <w:sz w:val="24"/>
          <w:szCs w:val="24"/>
        </w:rPr>
        <w:t xml:space="preserve"> </w:t>
      </w:r>
      <w:r>
        <w:rPr>
          <w:rFonts w:ascii="Arial" w:hAnsi="Arial" w:cs="Times New Roman"/>
          <w:sz w:val="24"/>
          <w:szCs w:val="24"/>
        </w:rPr>
        <w:t>a</w:t>
      </w:r>
      <w:r>
        <w:rPr>
          <w:rFonts w:ascii="Arial" w:hAnsi="Arial" w:cs="Times New Roman"/>
          <w:spacing w:val="-2"/>
          <w:sz w:val="24"/>
          <w:szCs w:val="24"/>
        </w:rPr>
        <w:t xml:space="preserve"> </w:t>
      </w:r>
      <w:r>
        <w:rPr>
          <w:rFonts w:ascii="Arial" w:hAnsi="Arial" w:cs="Times New Roman"/>
          <w:sz w:val="24"/>
          <w:szCs w:val="24"/>
        </w:rPr>
        <w:t>escravidão no</w:t>
      </w:r>
      <w:r>
        <w:rPr>
          <w:rFonts w:ascii="Arial" w:hAnsi="Arial" w:cs="Times New Roman"/>
          <w:spacing w:val="-4"/>
          <w:sz w:val="24"/>
          <w:szCs w:val="24"/>
        </w:rPr>
        <w:t xml:space="preserve"> </w:t>
      </w:r>
      <w:r>
        <w:rPr>
          <w:rFonts w:ascii="Arial" w:hAnsi="Arial" w:cs="Times New Roman"/>
          <w:sz w:val="24"/>
          <w:szCs w:val="24"/>
        </w:rPr>
        <w:t>país,</w:t>
      </w:r>
      <w:r>
        <w:rPr>
          <w:rFonts w:ascii="Arial" w:hAnsi="Arial" w:cs="Times New Roman"/>
          <w:spacing w:val="-7"/>
          <w:sz w:val="24"/>
          <w:szCs w:val="24"/>
        </w:rPr>
        <w:t xml:space="preserve"> </w:t>
      </w:r>
      <w:r>
        <w:rPr>
          <w:rFonts w:ascii="Arial" w:hAnsi="Arial" w:cs="Times New Roman"/>
          <w:sz w:val="24"/>
          <w:szCs w:val="24"/>
        </w:rPr>
        <w:t>marcando o</w:t>
      </w:r>
      <w:r>
        <w:rPr>
          <w:rFonts w:ascii="Arial" w:hAnsi="Arial" w:cs="Times New Roman"/>
          <w:spacing w:val="-16"/>
          <w:sz w:val="24"/>
          <w:szCs w:val="24"/>
        </w:rPr>
        <w:t xml:space="preserve"> </w:t>
      </w:r>
      <w:r>
        <w:rPr>
          <w:rFonts w:ascii="Arial" w:hAnsi="Arial" w:cs="Times New Roman"/>
          <w:sz w:val="24"/>
          <w:szCs w:val="24"/>
        </w:rPr>
        <w:t>fim</w:t>
      </w:r>
      <w:r>
        <w:rPr>
          <w:rFonts w:ascii="Arial" w:hAnsi="Arial" w:cs="Times New Roman"/>
          <w:spacing w:val="-13"/>
          <w:sz w:val="24"/>
          <w:szCs w:val="24"/>
        </w:rPr>
        <w:t xml:space="preserve"> </w:t>
      </w:r>
      <w:r>
        <w:rPr>
          <w:rFonts w:ascii="Arial" w:hAnsi="Arial" w:cs="Times New Roman"/>
          <w:sz w:val="24"/>
          <w:szCs w:val="24"/>
        </w:rPr>
        <w:t>de</w:t>
      </w:r>
      <w:r>
        <w:rPr>
          <w:rFonts w:ascii="Arial" w:hAnsi="Arial" w:cs="Times New Roman"/>
          <w:spacing w:val="-14"/>
          <w:sz w:val="24"/>
          <w:szCs w:val="24"/>
        </w:rPr>
        <w:t xml:space="preserve"> </w:t>
      </w:r>
      <w:r>
        <w:rPr>
          <w:rFonts w:ascii="Arial" w:hAnsi="Arial" w:cs="Times New Roman"/>
          <w:sz w:val="24"/>
          <w:szCs w:val="24"/>
        </w:rPr>
        <w:t>um</w:t>
      </w:r>
      <w:r>
        <w:rPr>
          <w:rFonts w:ascii="Arial" w:hAnsi="Arial" w:cs="Times New Roman"/>
          <w:spacing w:val="-11"/>
          <w:sz w:val="24"/>
          <w:szCs w:val="24"/>
        </w:rPr>
        <w:t xml:space="preserve"> </w:t>
      </w:r>
      <w:r>
        <w:rPr>
          <w:rFonts w:ascii="Arial" w:hAnsi="Arial" w:cs="Times New Roman"/>
          <w:sz w:val="24"/>
          <w:szCs w:val="24"/>
        </w:rPr>
        <w:t>período</w:t>
      </w:r>
      <w:r>
        <w:rPr>
          <w:rFonts w:ascii="Arial" w:hAnsi="Arial" w:cs="Times New Roman"/>
          <w:spacing w:val="-13"/>
          <w:sz w:val="24"/>
          <w:szCs w:val="24"/>
        </w:rPr>
        <w:t xml:space="preserve"> </w:t>
      </w:r>
      <w:r>
        <w:rPr>
          <w:rFonts w:ascii="Arial" w:hAnsi="Arial" w:cs="Times New Roman"/>
          <w:sz w:val="24"/>
          <w:szCs w:val="24"/>
        </w:rPr>
        <w:t>de</w:t>
      </w:r>
      <w:r>
        <w:rPr>
          <w:rFonts w:ascii="Arial" w:hAnsi="Arial" w:cs="Times New Roman"/>
          <w:spacing w:val="-15"/>
          <w:sz w:val="24"/>
          <w:szCs w:val="24"/>
        </w:rPr>
        <w:t xml:space="preserve"> </w:t>
      </w:r>
      <w:r>
        <w:rPr>
          <w:rFonts w:ascii="Arial" w:hAnsi="Arial" w:cs="Times New Roman"/>
          <w:sz w:val="24"/>
          <w:szCs w:val="24"/>
        </w:rPr>
        <w:t>mais</w:t>
      </w:r>
      <w:r>
        <w:rPr>
          <w:rFonts w:ascii="Arial" w:hAnsi="Arial" w:cs="Times New Roman"/>
          <w:spacing w:val="-16"/>
          <w:sz w:val="24"/>
          <w:szCs w:val="24"/>
        </w:rPr>
        <w:t xml:space="preserve"> </w:t>
      </w:r>
      <w:r>
        <w:rPr>
          <w:rFonts w:ascii="Arial" w:hAnsi="Arial" w:cs="Times New Roman"/>
          <w:sz w:val="24"/>
          <w:szCs w:val="24"/>
        </w:rPr>
        <w:t>de</w:t>
      </w:r>
      <w:r>
        <w:rPr>
          <w:rFonts w:ascii="Arial" w:hAnsi="Arial" w:cs="Times New Roman"/>
          <w:spacing w:val="-13"/>
          <w:sz w:val="24"/>
          <w:szCs w:val="24"/>
        </w:rPr>
        <w:t xml:space="preserve"> </w:t>
      </w:r>
      <w:r>
        <w:rPr>
          <w:rFonts w:ascii="Arial" w:hAnsi="Arial" w:cs="Times New Roman"/>
          <w:sz w:val="24"/>
          <w:szCs w:val="24"/>
        </w:rPr>
        <w:t>300</w:t>
      </w:r>
      <w:r>
        <w:rPr>
          <w:rFonts w:ascii="Arial" w:hAnsi="Arial" w:cs="Times New Roman"/>
          <w:spacing w:val="-14"/>
          <w:sz w:val="24"/>
          <w:szCs w:val="24"/>
        </w:rPr>
        <w:t xml:space="preserve"> </w:t>
      </w:r>
      <w:r>
        <w:rPr>
          <w:rFonts w:ascii="Arial" w:hAnsi="Arial" w:cs="Times New Roman"/>
          <w:sz w:val="24"/>
          <w:szCs w:val="24"/>
        </w:rPr>
        <w:t>anos.</w:t>
      </w:r>
      <w:r>
        <w:rPr>
          <w:rFonts w:ascii="Arial" w:hAnsi="Arial" w:cs="Times New Roman"/>
          <w:spacing w:val="-14"/>
          <w:sz w:val="24"/>
          <w:szCs w:val="24"/>
        </w:rPr>
        <w:t xml:space="preserve"> </w:t>
      </w:r>
      <w:r>
        <w:rPr>
          <w:rFonts w:ascii="Arial" w:hAnsi="Arial" w:cs="Times New Roman"/>
          <w:sz w:val="24"/>
          <w:szCs w:val="24"/>
        </w:rPr>
        <w:t>Contudo,</w:t>
      </w:r>
      <w:r>
        <w:rPr>
          <w:rFonts w:ascii="Arial" w:hAnsi="Arial" w:cs="Times New Roman"/>
          <w:spacing w:val="-16"/>
          <w:sz w:val="24"/>
          <w:szCs w:val="24"/>
        </w:rPr>
        <w:t xml:space="preserve"> </w:t>
      </w:r>
      <w:r>
        <w:rPr>
          <w:rFonts w:ascii="Arial" w:hAnsi="Arial" w:cs="Times New Roman"/>
          <w:sz w:val="24"/>
          <w:szCs w:val="24"/>
        </w:rPr>
        <w:t>o</w:t>
      </w:r>
      <w:r>
        <w:rPr>
          <w:rFonts w:ascii="Arial" w:hAnsi="Arial" w:cs="Times New Roman"/>
          <w:spacing w:val="-10"/>
          <w:sz w:val="24"/>
          <w:szCs w:val="24"/>
        </w:rPr>
        <w:t xml:space="preserve"> </w:t>
      </w:r>
      <w:r>
        <w:rPr>
          <w:rFonts w:ascii="Arial" w:hAnsi="Arial" w:cs="Times New Roman"/>
          <w:sz w:val="24"/>
          <w:szCs w:val="24"/>
        </w:rPr>
        <w:t>contínuo</w:t>
      </w:r>
      <w:r>
        <w:rPr>
          <w:rFonts w:ascii="Arial" w:hAnsi="Arial" w:cs="Times New Roman"/>
          <w:spacing w:val="-14"/>
          <w:sz w:val="24"/>
          <w:szCs w:val="24"/>
        </w:rPr>
        <w:t xml:space="preserve"> </w:t>
      </w:r>
      <w:r>
        <w:rPr>
          <w:rFonts w:ascii="Arial" w:hAnsi="Arial" w:cs="Times New Roman"/>
          <w:sz w:val="24"/>
          <w:szCs w:val="24"/>
        </w:rPr>
        <w:t>crescimento</w:t>
      </w:r>
      <w:r>
        <w:rPr>
          <w:rFonts w:ascii="Arial" w:hAnsi="Arial" w:cs="Times New Roman"/>
          <w:spacing w:val="-14"/>
          <w:sz w:val="24"/>
          <w:szCs w:val="24"/>
        </w:rPr>
        <w:t xml:space="preserve"> </w:t>
      </w:r>
      <w:r>
        <w:rPr>
          <w:rFonts w:ascii="Arial" w:hAnsi="Arial" w:cs="Times New Roman"/>
          <w:sz w:val="24"/>
          <w:szCs w:val="24"/>
        </w:rPr>
        <w:t>dos</w:t>
      </w:r>
      <w:r>
        <w:rPr>
          <w:rFonts w:ascii="Arial" w:hAnsi="Arial" w:cs="Times New Roman"/>
          <w:spacing w:val="-13"/>
          <w:sz w:val="24"/>
          <w:szCs w:val="24"/>
        </w:rPr>
        <w:t xml:space="preserve"> </w:t>
      </w:r>
      <w:r>
        <w:rPr>
          <w:rFonts w:ascii="Arial" w:hAnsi="Arial" w:cs="Times New Roman"/>
          <w:sz w:val="24"/>
          <w:szCs w:val="24"/>
        </w:rPr>
        <w:t xml:space="preserve">setores agrícolas ainda sustenta formas de exploração, fazendo com que trabalhadores rurais permaneçam em condições de precariedade e vulnerabilidade no </w:t>
      </w:r>
      <w:r>
        <w:rPr>
          <w:rFonts w:ascii="Arial" w:hAnsi="Arial" w:cs="Times New Roman"/>
          <w:sz w:val="24"/>
          <w:szCs w:val="24"/>
        </w:rPr>
        <w:lastRenderedPageBreak/>
        <w:t>país, conforme destacado por Oxfam Brasil (2024).</w:t>
      </w:r>
    </w:p>
    <w:p w:rsidR="009D60B7" w:rsidRDefault="009D60B7">
      <w:pPr>
        <w:pStyle w:val="Corpodetexto"/>
        <w:spacing w:line="360" w:lineRule="auto"/>
        <w:rPr>
          <w:rFonts w:ascii="Arial" w:hAnsi="Arial" w:cs="Times New Roman"/>
          <w:sz w:val="24"/>
          <w:szCs w:val="24"/>
        </w:rPr>
      </w:pPr>
    </w:p>
    <w:p w:rsidR="009D60B7" w:rsidRDefault="00425C09">
      <w:pPr>
        <w:pStyle w:val="PargrafodaLista"/>
        <w:tabs>
          <w:tab w:val="left" w:pos="543"/>
        </w:tabs>
        <w:spacing w:line="360" w:lineRule="auto"/>
        <w:ind w:left="141"/>
        <w:rPr>
          <w:rFonts w:ascii="Arial" w:hAnsi="Arial"/>
          <w:sz w:val="24"/>
          <w:szCs w:val="24"/>
        </w:rPr>
      </w:pPr>
      <w:r>
        <w:rPr>
          <w:rFonts w:ascii="Arial" w:hAnsi="Arial" w:cs="Times New Roman"/>
          <w:sz w:val="24"/>
          <w:szCs w:val="24"/>
          <w:lang w:val="pt-BR"/>
        </w:rPr>
        <w:t xml:space="preserve">1.1 </w:t>
      </w:r>
      <w:r>
        <w:rPr>
          <w:rFonts w:ascii="Arial" w:hAnsi="Arial" w:cs="Times New Roman"/>
          <w:sz w:val="24"/>
          <w:szCs w:val="24"/>
        </w:rPr>
        <w:t>Trabalho</w:t>
      </w:r>
      <w:r>
        <w:rPr>
          <w:rFonts w:ascii="Arial" w:hAnsi="Arial" w:cs="Times New Roman"/>
          <w:spacing w:val="1"/>
          <w:sz w:val="24"/>
          <w:szCs w:val="24"/>
        </w:rPr>
        <w:t xml:space="preserve"> </w:t>
      </w:r>
      <w:r>
        <w:rPr>
          <w:rFonts w:ascii="Arial" w:hAnsi="Arial" w:cs="Times New Roman"/>
          <w:sz w:val="24"/>
          <w:szCs w:val="24"/>
        </w:rPr>
        <w:t>Rural</w:t>
      </w:r>
      <w:r>
        <w:rPr>
          <w:rFonts w:ascii="Arial" w:hAnsi="Arial" w:cs="Times New Roman"/>
          <w:spacing w:val="-3"/>
          <w:sz w:val="24"/>
          <w:szCs w:val="24"/>
        </w:rPr>
        <w:t xml:space="preserve"> </w:t>
      </w:r>
      <w:r>
        <w:rPr>
          <w:rFonts w:ascii="Arial" w:hAnsi="Arial" w:cs="Times New Roman"/>
          <w:sz w:val="24"/>
          <w:szCs w:val="24"/>
        </w:rPr>
        <w:t>e</w:t>
      </w:r>
      <w:r>
        <w:rPr>
          <w:rFonts w:ascii="Arial" w:hAnsi="Arial" w:cs="Times New Roman"/>
          <w:spacing w:val="-2"/>
          <w:sz w:val="24"/>
          <w:szCs w:val="24"/>
        </w:rPr>
        <w:t xml:space="preserve"> </w:t>
      </w:r>
      <w:r>
        <w:rPr>
          <w:rFonts w:ascii="Arial" w:hAnsi="Arial" w:cs="Times New Roman"/>
          <w:sz w:val="24"/>
          <w:szCs w:val="24"/>
        </w:rPr>
        <w:t>o</w:t>
      </w:r>
      <w:r>
        <w:rPr>
          <w:rFonts w:ascii="Arial" w:hAnsi="Arial" w:cs="Times New Roman"/>
          <w:spacing w:val="-2"/>
          <w:sz w:val="24"/>
          <w:szCs w:val="24"/>
        </w:rPr>
        <w:t xml:space="preserve"> </w:t>
      </w:r>
      <w:r>
        <w:rPr>
          <w:rFonts w:ascii="Arial" w:hAnsi="Arial" w:cs="Times New Roman"/>
          <w:sz w:val="24"/>
          <w:szCs w:val="24"/>
        </w:rPr>
        <w:t>Legado</w:t>
      </w:r>
      <w:r>
        <w:rPr>
          <w:rFonts w:ascii="Arial" w:hAnsi="Arial" w:cs="Times New Roman"/>
          <w:spacing w:val="-1"/>
          <w:sz w:val="24"/>
          <w:szCs w:val="24"/>
        </w:rPr>
        <w:t xml:space="preserve"> </w:t>
      </w:r>
      <w:r>
        <w:rPr>
          <w:rFonts w:ascii="Arial" w:hAnsi="Arial" w:cs="Times New Roman"/>
          <w:sz w:val="24"/>
          <w:szCs w:val="24"/>
        </w:rPr>
        <w:t>da</w:t>
      </w:r>
      <w:r>
        <w:rPr>
          <w:rFonts w:ascii="Arial" w:hAnsi="Arial" w:cs="Times New Roman"/>
          <w:spacing w:val="-2"/>
          <w:sz w:val="24"/>
          <w:szCs w:val="24"/>
        </w:rPr>
        <w:t xml:space="preserve"> </w:t>
      </w:r>
      <w:r>
        <w:rPr>
          <w:rFonts w:ascii="Arial" w:hAnsi="Arial" w:cs="Times New Roman"/>
          <w:sz w:val="24"/>
          <w:szCs w:val="24"/>
        </w:rPr>
        <w:t>Escravidão</w:t>
      </w:r>
      <w:r>
        <w:rPr>
          <w:rFonts w:ascii="Arial" w:hAnsi="Arial" w:cs="Times New Roman"/>
          <w:spacing w:val="2"/>
          <w:sz w:val="24"/>
          <w:szCs w:val="24"/>
        </w:rPr>
        <w:t xml:space="preserve"> </w:t>
      </w:r>
      <w:r>
        <w:rPr>
          <w:rFonts w:ascii="Arial" w:hAnsi="Arial" w:cs="Times New Roman"/>
          <w:sz w:val="24"/>
          <w:szCs w:val="24"/>
        </w:rPr>
        <w:t>no</w:t>
      </w:r>
      <w:r>
        <w:rPr>
          <w:rFonts w:ascii="Arial" w:hAnsi="Arial" w:cs="Times New Roman"/>
          <w:spacing w:val="-2"/>
          <w:sz w:val="24"/>
          <w:szCs w:val="24"/>
        </w:rPr>
        <w:t xml:space="preserve"> </w:t>
      </w:r>
      <w:r>
        <w:rPr>
          <w:rFonts w:ascii="Arial" w:hAnsi="Arial" w:cs="Times New Roman"/>
          <w:sz w:val="24"/>
          <w:szCs w:val="24"/>
        </w:rPr>
        <w:t xml:space="preserve">Contexto </w:t>
      </w:r>
      <w:r>
        <w:rPr>
          <w:rFonts w:ascii="Arial" w:hAnsi="Arial" w:cs="Times New Roman"/>
          <w:spacing w:val="-2"/>
          <w:sz w:val="24"/>
          <w:szCs w:val="24"/>
        </w:rPr>
        <w:t>Contemporâneo</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t>A</w:t>
      </w:r>
      <w:r>
        <w:rPr>
          <w:rFonts w:ascii="Arial" w:hAnsi="Arial" w:cs="Times New Roman"/>
          <w:spacing w:val="-8"/>
          <w:sz w:val="24"/>
          <w:szCs w:val="24"/>
        </w:rPr>
        <w:t xml:space="preserve"> </w:t>
      </w:r>
      <w:r>
        <w:rPr>
          <w:rFonts w:ascii="Arial" w:hAnsi="Arial" w:cs="Times New Roman"/>
          <w:sz w:val="24"/>
          <w:szCs w:val="24"/>
        </w:rPr>
        <w:t>legislação</w:t>
      </w:r>
      <w:r>
        <w:rPr>
          <w:rFonts w:ascii="Arial" w:hAnsi="Arial" w:cs="Times New Roman"/>
          <w:spacing w:val="-10"/>
          <w:sz w:val="24"/>
          <w:szCs w:val="24"/>
        </w:rPr>
        <w:t xml:space="preserve"> </w:t>
      </w:r>
      <w:r>
        <w:rPr>
          <w:rFonts w:ascii="Arial" w:hAnsi="Arial" w:cs="Times New Roman"/>
          <w:sz w:val="24"/>
          <w:szCs w:val="24"/>
        </w:rPr>
        <w:t>brasileira</w:t>
      </w:r>
      <w:r>
        <w:rPr>
          <w:rFonts w:ascii="Arial" w:hAnsi="Arial" w:cs="Times New Roman"/>
          <w:spacing w:val="-16"/>
          <w:sz w:val="24"/>
          <w:szCs w:val="24"/>
        </w:rPr>
        <w:t xml:space="preserve"> </w:t>
      </w:r>
      <w:r>
        <w:rPr>
          <w:rFonts w:ascii="Arial" w:hAnsi="Arial" w:cs="Times New Roman"/>
          <w:sz w:val="24"/>
          <w:szCs w:val="24"/>
        </w:rPr>
        <w:t>prevê,</w:t>
      </w:r>
      <w:r>
        <w:rPr>
          <w:rFonts w:ascii="Arial" w:hAnsi="Arial" w:cs="Times New Roman"/>
          <w:spacing w:val="-5"/>
          <w:sz w:val="24"/>
          <w:szCs w:val="24"/>
        </w:rPr>
        <w:t xml:space="preserve"> </w:t>
      </w:r>
      <w:r>
        <w:rPr>
          <w:rFonts w:ascii="Arial" w:hAnsi="Arial" w:cs="Times New Roman"/>
          <w:sz w:val="24"/>
          <w:szCs w:val="24"/>
        </w:rPr>
        <w:t>no</w:t>
      </w:r>
      <w:r>
        <w:rPr>
          <w:rFonts w:ascii="Arial" w:hAnsi="Arial" w:cs="Times New Roman"/>
          <w:spacing w:val="-10"/>
          <w:sz w:val="24"/>
          <w:szCs w:val="24"/>
        </w:rPr>
        <w:t xml:space="preserve"> </w:t>
      </w:r>
      <w:r>
        <w:rPr>
          <w:rFonts w:ascii="Arial" w:hAnsi="Arial" w:cs="Times New Roman"/>
          <w:sz w:val="24"/>
          <w:szCs w:val="24"/>
        </w:rPr>
        <w:t>artigo</w:t>
      </w:r>
      <w:r>
        <w:rPr>
          <w:rFonts w:ascii="Arial" w:hAnsi="Arial" w:cs="Times New Roman"/>
          <w:spacing w:val="-13"/>
          <w:sz w:val="24"/>
          <w:szCs w:val="24"/>
        </w:rPr>
        <w:t xml:space="preserve"> </w:t>
      </w:r>
      <w:r>
        <w:rPr>
          <w:rFonts w:ascii="Arial" w:hAnsi="Arial" w:cs="Times New Roman"/>
          <w:sz w:val="24"/>
          <w:szCs w:val="24"/>
        </w:rPr>
        <w:t>149</w:t>
      </w:r>
      <w:r>
        <w:rPr>
          <w:rFonts w:ascii="Arial" w:hAnsi="Arial" w:cs="Times New Roman"/>
          <w:spacing w:val="-5"/>
          <w:sz w:val="24"/>
          <w:szCs w:val="24"/>
        </w:rPr>
        <w:t xml:space="preserve"> </w:t>
      </w:r>
      <w:r>
        <w:rPr>
          <w:rFonts w:ascii="Arial" w:hAnsi="Arial" w:cs="Times New Roman"/>
          <w:sz w:val="24"/>
          <w:szCs w:val="24"/>
        </w:rPr>
        <w:t>do</w:t>
      </w:r>
      <w:r>
        <w:rPr>
          <w:rFonts w:ascii="Arial" w:hAnsi="Arial" w:cs="Times New Roman"/>
          <w:spacing w:val="-9"/>
          <w:sz w:val="24"/>
          <w:szCs w:val="24"/>
        </w:rPr>
        <w:t xml:space="preserve"> </w:t>
      </w:r>
      <w:r>
        <w:rPr>
          <w:rFonts w:ascii="Arial" w:hAnsi="Arial" w:cs="Times New Roman"/>
          <w:sz w:val="24"/>
          <w:szCs w:val="24"/>
        </w:rPr>
        <w:t>Código</w:t>
      </w:r>
      <w:r>
        <w:rPr>
          <w:rFonts w:ascii="Arial" w:hAnsi="Arial" w:cs="Times New Roman"/>
          <w:spacing w:val="-12"/>
          <w:sz w:val="24"/>
          <w:szCs w:val="24"/>
        </w:rPr>
        <w:t xml:space="preserve"> </w:t>
      </w:r>
      <w:r>
        <w:rPr>
          <w:rFonts w:ascii="Arial" w:hAnsi="Arial" w:cs="Times New Roman"/>
          <w:sz w:val="24"/>
          <w:szCs w:val="24"/>
        </w:rPr>
        <w:t>Penal (Brasil,</w:t>
      </w:r>
      <w:r>
        <w:rPr>
          <w:rFonts w:ascii="Arial" w:hAnsi="Arial" w:cs="Times New Roman"/>
          <w:spacing w:val="-13"/>
          <w:sz w:val="24"/>
          <w:szCs w:val="24"/>
        </w:rPr>
        <w:t xml:space="preserve"> </w:t>
      </w:r>
      <w:r>
        <w:rPr>
          <w:rFonts w:ascii="Arial" w:hAnsi="Arial" w:cs="Times New Roman"/>
          <w:sz w:val="24"/>
          <w:szCs w:val="24"/>
        </w:rPr>
        <w:t>1940)</w:t>
      </w:r>
      <w:r>
        <w:rPr>
          <w:rFonts w:ascii="Arial" w:hAnsi="Arial" w:cs="Times New Roman"/>
          <w:spacing w:val="-13"/>
          <w:sz w:val="24"/>
          <w:szCs w:val="24"/>
        </w:rPr>
        <w:t xml:space="preserve">, </w:t>
      </w:r>
      <w:r>
        <w:rPr>
          <w:rFonts w:ascii="Arial" w:hAnsi="Arial" w:cs="Times New Roman"/>
          <w:sz w:val="24"/>
          <w:szCs w:val="24"/>
        </w:rPr>
        <w:t>que é crime a redução a pessoa em situação similar a escravidão, com Pena de reclusão, de dois a oito anos, e multa, além da pena correspondente à violência. Considera-se situação</w:t>
      </w:r>
      <w:r>
        <w:rPr>
          <w:rFonts w:ascii="Arial" w:hAnsi="Arial" w:cs="Times New Roman"/>
          <w:spacing w:val="-4"/>
          <w:sz w:val="24"/>
          <w:szCs w:val="24"/>
        </w:rPr>
        <w:t xml:space="preserve"> </w:t>
      </w:r>
      <w:r>
        <w:rPr>
          <w:rFonts w:ascii="Arial" w:hAnsi="Arial" w:cs="Times New Roman"/>
          <w:sz w:val="24"/>
          <w:szCs w:val="24"/>
        </w:rPr>
        <w:t>análoga</w:t>
      </w:r>
      <w:r>
        <w:rPr>
          <w:rFonts w:ascii="Arial" w:hAnsi="Arial" w:cs="Times New Roman"/>
          <w:spacing w:val="-4"/>
          <w:sz w:val="24"/>
          <w:szCs w:val="24"/>
        </w:rPr>
        <w:t xml:space="preserve"> </w:t>
      </w:r>
      <w:r>
        <w:rPr>
          <w:rFonts w:ascii="Arial" w:hAnsi="Arial" w:cs="Times New Roman"/>
          <w:sz w:val="24"/>
          <w:szCs w:val="24"/>
        </w:rPr>
        <w:t>à</w:t>
      </w:r>
      <w:r>
        <w:rPr>
          <w:rFonts w:ascii="Arial" w:hAnsi="Arial" w:cs="Times New Roman"/>
          <w:spacing w:val="-4"/>
          <w:sz w:val="24"/>
          <w:szCs w:val="24"/>
        </w:rPr>
        <w:t xml:space="preserve"> </w:t>
      </w:r>
      <w:r>
        <w:rPr>
          <w:rFonts w:ascii="Arial" w:hAnsi="Arial" w:cs="Times New Roman"/>
          <w:sz w:val="24"/>
          <w:szCs w:val="24"/>
        </w:rPr>
        <w:t>escravidão quando</w:t>
      </w:r>
      <w:r>
        <w:rPr>
          <w:rFonts w:ascii="Arial" w:hAnsi="Arial" w:cs="Times New Roman"/>
          <w:spacing w:val="-6"/>
          <w:sz w:val="24"/>
          <w:szCs w:val="24"/>
        </w:rPr>
        <w:t xml:space="preserve"> </w:t>
      </w:r>
      <w:r>
        <w:rPr>
          <w:rFonts w:ascii="Arial" w:hAnsi="Arial" w:cs="Times New Roman"/>
          <w:sz w:val="24"/>
          <w:szCs w:val="24"/>
        </w:rPr>
        <w:t>um indivíduo é</w:t>
      </w:r>
      <w:r>
        <w:rPr>
          <w:rFonts w:ascii="Arial" w:hAnsi="Arial" w:cs="Times New Roman"/>
          <w:spacing w:val="-6"/>
          <w:sz w:val="24"/>
          <w:szCs w:val="24"/>
        </w:rPr>
        <w:t xml:space="preserve"> </w:t>
      </w:r>
      <w:r>
        <w:rPr>
          <w:rFonts w:ascii="Arial" w:hAnsi="Arial" w:cs="Times New Roman"/>
          <w:sz w:val="24"/>
          <w:szCs w:val="24"/>
        </w:rPr>
        <w:t>submetido</w:t>
      </w:r>
      <w:r>
        <w:rPr>
          <w:rFonts w:ascii="Arial" w:hAnsi="Arial" w:cs="Times New Roman"/>
          <w:spacing w:val="-6"/>
          <w:sz w:val="24"/>
          <w:szCs w:val="24"/>
        </w:rPr>
        <w:t xml:space="preserve"> </w:t>
      </w:r>
      <w:r>
        <w:rPr>
          <w:rFonts w:ascii="Arial" w:hAnsi="Arial" w:cs="Times New Roman"/>
          <w:sz w:val="24"/>
          <w:szCs w:val="24"/>
        </w:rPr>
        <w:t>a</w:t>
      </w:r>
      <w:r>
        <w:rPr>
          <w:rFonts w:ascii="Arial" w:hAnsi="Arial" w:cs="Times New Roman"/>
          <w:spacing w:val="-4"/>
          <w:sz w:val="24"/>
          <w:szCs w:val="24"/>
        </w:rPr>
        <w:t xml:space="preserve"> </w:t>
      </w:r>
      <w:r>
        <w:rPr>
          <w:rFonts w:ascii="Arial" w:hAnsi="Arial" w:cs="Times New Roman"/>
          <w:sz w:val="24"/>
          <w:szCs w:val="24"/>
        </w:rPr>
        <w:t>trabalhos</w:t>
      </w:r>
      <w:r>
        <w:rPr>
          <w:rFonts w:ascii="Arial" w:hAnsi="Arial" w:cs="Times New Roman"/>
          <w:spacing w:val="-6"/>
          <w:sz w:val="24"/>
          <w:szCs w:val="24"/>
        </w:rPr>
        <w:t xml:space="preserve"> </w:t>
      </w:r>
      <w:r>
        <w:rPr>
          <w:rFonts w:ascii="Arial" w:hAnsi="Arial" w:cs="Times New Roman"/>
          <w:sz w:val="24"/>
          <w:szCs w:val="24"/>
        </w:rPr>
        <w:t>forçados, jornada exaustiva, condições degradantes de trabalho ou quando ocorre restrição de sua locomoção em razão de dívida contraída com o empregador ou com seu representante legal.</w:t>
      </w:r>
    </w:p>
    <w:p w:rsidR="009D60B7" w:rsidRDefault="00425C09">
      <w:pPr>
        <w:pStyle w:val="Corpodetexto"/>
        <w:spacing w:line="360" w:lineRule="auto"/>
        <w:ind w:right="113" w:firstLine="1134"/>
        <w:jc w:val="both"/>
        <w:rPr>
          <w:rFonts w:ascii="Arial" w:hAnsi="Arial"/>
          <w:sz w:val="24"/>
          <w:szCs w:val="24"/>
        </w:rPr>
      </w:pPr>
      <w:r>
        <w:rPr>
          <w:rFonts w:ascii="Arial" w:hAnsi="Arial" w:cs="Times New Roman"/>
          <w:sz w:val="24"/>
          <w:szCs w:val="24"/>
        </w:rPr>
        <w:t>No passado apenas eram vítimas de trabalho análogo a escravidão as pessoas que prestavam serviços no campo, no entanto, com o avanço da sociedade e a crescente</w:t>
      </w:r>
      <w:r>
        <w:rPr>
          <w:rFonts w:ascii="Arial" w:hAnsi="Arial" w:cs="Times New Roman"/>
          <w:spacing w:val="-15"/>
          <w:sz w:val="24"/>
          <w:szCs w:val="24"/>
        </w:rPr>
        <w:t xml:space="preserve"> </w:t>
      </w:r>
      <w:r>
        <w:rPr>
          <w:rFonts w:ascii="Arial" w:hAnsi="Arial" w:cs="Times New Roman"/>
          <w:sz w:val="24"/>
          <w:szCs w:val="24"/>
        </w:rPr>
        <w:t>nos</w:t>
      </w:r>
      <w:r>
        <w:rPr>
          <w:rFonts w:ascii="Arial" w:hAnsi="Arial" w:cs="Times New Roman"/>
          <w:spacing w:val="-14"/>
          <w:sz w:val="24"/>
          <w:szCs w:val="24"/>
        </w:rPr>
        <w:t xml:space="preserve"> </w:t>
      </w:r>
      <w:r>
        <w:rPr>
          <w:rFonts w:ascii="Arial" w:hAnsi="Arial" w:cs="Times New Roman"/>
          <w:sz w:val="24"/>
          <w:szCs w:val="24"/>
        </w:rPr>
        <w:t>empreendimentos,</w:t>
      </w:r>
      <w:r>
        <w:rPr>
          <w:rFonts w:ascii="Arial" w:hAnsi="Arial" w:cs="Times New Roman"/>
          <w:spacing w:val="-11"/>
          <w:sz w:val="24"/>
          <w:szCs w:val="24"/>
        </w:rPr>
        <w:t xml:space="preserve"> </w:t>
      </w:r>
      <w:r>
        <w:rPr>
          <w:rFonts w:ascii="Arial" w:hAnsi="Arial" w:cs="Times New Roman"/>
          <w:sz w:val="24"/>
          <w:szCs w:val="24"/>
        </w:rPr>
        <w:t>devido</w:t>
      </w:r>
      <w:r>
        <w:rPr>
          <w:rFonts w:ascii="Arial" w:hAnsi="Arial" w:cs="Times New Roman"/>
          <w:spacing w:val="-14"/>
          <w:sz w:val="24"/>
          <w:szCs w:val="24"/>
        </w:rPr>
        <w:t xml:space="preserve"> </w:t>
      </w:r>
      <w:r>
        <w:rPr>
          <w:rFonts w:ascii="Arial" w:hAnsi="Arial" w:cs="Times New Roman"/>
          <w:sz w:val="24"/>
          <w:szCs w:val="24"/>
        </w:rPr>
        <w:t>a</w:t>
      </w:r>
      <w:r>
        <w:rPr>
          <w:rFonts w:ascii="Arial" w:hAnsi="Arial" w:cs="Times New Roman"/>
          <w:spacing w:val="-9"/>
          <w:sz w:val="24"/>
          <w:szCs w:val="24"/>
        </w:rPr>
        <w:t xml:space="preserve"> </w:t>
      </w:r>
      <w:r>
        <w:rPr>
          <w:rFonts w:ascii="Arial" w:hAnsi="Arial" w:cs="Times New Roman"/>
          <w:sz w:val="24"/>
          <w:szCs w:val="24"/>
        </w:rPr>
        <w:t>globalização</w:t>
      </w:r>
      <w:r>
        <w:rPr>
          <w:rFonts w:ascii="Arial" w:hAnsi="Arial" w:cs="Times New Roman"/>
          <w:spacing w:val="-11"/>
          <w:sz w:val="24"/>
          <w:szCs w:val="24"/>
        </w:rPr>
        <w:t xml:space="preserve"> </w:t>
      </w:r>
      <w:r>
        <w:rPr>
          <w:rFonts w:ascii="Arial" w:hAnsi="Arial" w:cs="Times New Roman"/>
          <w:sz w:val="24"/>
          <w:szCs w:val="24"/>
        </w:rPr>
        <w:t>esse</w:t>
      </w:r>
      <w:r>
        <w:rPr>
          <w:rFonts w:ascii="Arial" w:hAnsi="Arial" w:cs="Times New Roman"/>
          <w:spacing w:val="-16"/>
          <w:sz w:val="24"/>
          <w:szCs w:val="24"/>
        </w:rPr>
        <w:t xml:space="preserve"> </w:t>
      </w:r>
      <w:r>
        <w:rPr>
          <w:rFonts w:ascii="Arial" w:hAnsi="Arial" w:cs="Times New Roman"/>
          <w:sz w:val="24"/>
          <w:szCs w:val="24"/>
        </w:rPr>
        <w:t>problema</w:t>
      </w:r>
      <w:r>
        <w:rPr>
          <w:rFonts w:ascii="Arial" w:hAnsi="Arial" w:cs="Times New Roman"/>
          <w:spacing w:val="-14"/>
          <w:sz w:val="24"/>
          <w:szCs w:val="24"/>
        </w:rPr>
        <w:t xml:space="preserve"> </w:t>
      </w:r>
      <w:r>
        <w:rPr>
          <w:rFonts w:ascii="Arial" w:hAnsi="Arial" w:cs="Times New Roman"/>
          <w:sz w:val="24"/>
          <w:szCs w:val="24"/>
        </w:rPr>
        <w:t>migrou</w:t>
      </w:r>
      <w:r>
        <w:rPr>
          <w:rFonts w:ascii="Arial" w:hAnsi="Arial" w:cs="Times New Roman"/>
          <w:spacing w:val="-8"/>
          <w:sz w:val="24"/>
          <w:szCs w:val="24"/>
        </w:rPr>
        <w:t xml:space="preserve"> </w:t>
      </w:r>
      <w:r>
        <w:rPr>
          <w:rFonts w:ascii="Arial" w:hAnsi="Arial" w:cs="Times New Roman"/>
          <w:sz w:val="24"/>
          <w:szCs w:val="24"/>
        </w:rPr>
        <w:t xml:space="preserve">também para centros urbanos. Destaca-se que os empregados ainda na atualidade enfrentam problemas gravíssimos como ameaças psicológicas e físicas quando demonstram interesse em romper o vínculo profissional, conforme destaca Sakamoto </w:t>
      </w:r>
      <w:r>
        <w:rPr>
          <w:rFonts w:ascii="Arial" w:hAnsi="Arial" w:cs="Times New Roman"/>
          <w:spacing w:val="-2"/>
          <w:sz w:val="24"/>
          <w:szCs w:val="24"/>
        </w:rPr>
        <w:t>(2020).</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t>Um</w:t>
      </w:r>
      <w:r>
        <w:rPr>
          <w:rFonts w:ascii="Arial" w:hAnsi="Arial" w:cs="Times New Roman"/>
          <w:spacing w:val="-4"/>
          <w:sz w:val="24"/>
          <w:szCs w:val="24"/>
        </w:rPr>
        <w:t xml:space="preserve"> </w:t>
      </w:r>
      <w:r>
        <w:rPr>
          <w:rFonts w:ascii="Arial" w:hAnsi="Arial" w:cs="Times New Roman"/>
          <w:sz w:val="24"/>
          <w:szCs w:val="24"/>
        </w:rPr>
        <w:t>aspecto relevante</w:t>
      </w:r>
      <w:r>
        <w:rPr>
          <w:rFonts w:ascii="Arial" w:hAnsi="Arial" w:cs="Times New Roman"/>
          <w:spacing w:val="-2"/>
          <w:sz w:val="24"/>
          <w:szCs w:val="24"/>
        </w:rPr>
        <w:t xml:space="preserve"> </w:t>
      </w:r>
      <w:r>
        <w:rPr>
          <w:rFonts w:ascii="Arial" w:hAnsi="Arial" w:cs="Times New Roman"/>
          <w:sz w:val="24"/>
          <w:szCs w:val="24"/>
        </w:rPr>
        <w:t>é</w:t>
      </w:r>
      <w:r>
        <w:rPr>
          <w:rFonts w:ascii="Arial" w:hAnsi="Arial" w:cs="Times New Roman"/>
          <w:spacing w:val="-2"/>
          <w:sz w:val="24"/>
          <w:szCs w:val="24"/>
        </w:rPr>
        <w:t xml:space="preserve"> </w:t>
      </w:r>
      <w:r>
        <w:rPr>
          <w:rFonts w:ascii="Arial" w:hAnsi="Arial" w:cs="Times New Roman"/>
          <w:sz w:val="24"/>
          <w:szCs w:val="24"/>
        </w:rPr>
        <w:t>que</w:t>
      </w:r>
      <w:r>
        <w:rPr>
          <w:rFonts w:ascii="Arial" w:hAnsi="Arial" w:cs="Times New Roman"/>
          <w:spacing w:val="-5"/>
          <w:sz w:val="24"/>
          <w:szCs w:val="24"/>
        </w:rPr>
        <w:t xml:space="preserve"> </w:t>
      </w:r>
      <w:r>
        <w:rPr>
          <w:rFonts w:ascii="Arial" w:hAnsi="Arial" w:cs="Times New Roman"/>
          <w:sz w:val="24"/>
          <w:szCs w:val="24"/>
        </w:rPr>
        <w:t>grande</w:t>
      </w:r>
      <w:r>
        <w:rPr>
          <w:rFonts w:ascii="Arial" w:hAnsi="Arial" w:cs="Times New Roman"/>
          <w:spacing w:val="-2"/>
          <w:sz w:val="24"/>
          <w:szCs w:val="24"/>
        </w:rPr>
        <w:t xml:space="preserve"> </w:t>
      </w:r>
      <w:r>
        <w:rPr>
          <w:rFonts w:ascii="Arial" w:hAnsi="Arial" w:cs="Times New Roman"/>
          <w:sz w:val="24"/>
          <w:szCs w:val="24"/>
        </w:rPr>
        <w:t>parte</w:t>
      </w:r>
      <w:r>
        <w:rPr>
          <w:rFonts w:ascii="Arial" w:hAnsi="Arial" w:cs="Times New Roman"/>
          <w:spacing w:val="-5"/>
          <w:sz w:val="24"/>
          <w:szCs w:val="24"/>
        </w:rPr>
        <w:t xml:space="preserve"> </w:t>
      </w:r>
      <w:r>
        <w:rPr>
          <w:rFonts w:ascii="Arial" w:hAnsi="Arial" w:cs="Times New Roman"/>
          <w:sz w:val="24"/>
          <w:szCs w:val="24"/>
        </w:rPr>
        <w:t>dos</w:t>
      </w:r>
      <w:r>
        <w:rPr>
          <w:rFonts w:ascii="Arial" w:hAnsi="Arial" w:cs="Times New Roman"/>
          <w:spacing w:val="-3"/>
          <w:sz w:val="24"/>
          <w:szCs w:val="24"/>
        </w:rPr>
        <w:t xml:space="preserve"> </w:t>
      </w:r>
      <w:r>
        <w:rPr>
          <w:rFonts w:ascii="Arial" w:hAnsi="Arial" w:cs="Times New Roman"/>
          <w:sz w:val="24"/>
          <w:szCs w:val="24"/>
        </w:rPr>
        <w:t>casos</w:t>
      </w:r>
      <w:r>
        <w:rPr>
          <w:rFonts w:ascii="Arial" w:hAnsi="Arial" w:cs="Times New Roman"/>
          <w:spacing w:val="-5"/>
          <w:sz w:val="24"/>
          <w:szCs w:val="24"/>
        </w:rPr>
        <w:t xml:space="preserve"> </w:t>
      </w:r>
      <w:r>
        <w:rPr>
          <w:rFonts w:ascii="Arial" w:hAnsi="Arial" w:cs="Times New Roman"/>
          <w:sz w:val="24"/>
          <w:szCs w:val="24"/>
        </w:rPr>
        <w:t>de</w:t>
      </w:r>
      <w:r>
        <w:rPr>
          <w:rFonts w:ascii="Arial" w:hAnsi="Arial" w:cs="Times New Roman"/>
          <w:spacing w:val="-2"/>
          <w:sz w:val="24"/>
          <w:szCs w:val="24"/>
        </w:rPr>
        <w:t xml:space="preserve"> </w:t>
      </w:r>
      <w:r>
        <w:rPr>
          <w:rFonts w:ascii="Arial" w:hAnsi="Arial" w:cs="Times New Roman"/>
          <w:sz w:val="24"/>
          <w:szCs w:val="24"/>
        </w:rPr>
        <w:t>trabalho análogo à escravidão acontece em grandes propriedades rurais, administradas por produtores</w:t>
      </w:r>
      <w:r>
        <w:rPr>
          <w:rFonts w:ascii="Arial" w:hAnsi="Arial" w:cs="Times New Roman"/>
          <w:spacing w:val="-17"/>
          <w:sz w:val="24"/>
          <w:szCs w:val="24"/>
        </w:rPr>
        <w:t xml:space="preserve"> </w:t>
      </w:r>
      <w:r>
        <w:rPr>
          <w:rFonts w:ascii="Arial" w:hAnsi="Arial" w:cs="Times New Roman"/>
          <w:sz w:val="24"/>
          <w:szCs w:val="24"/>
        </w:rPr>
        <w:t>que</w:t>
      </w:r>
      <w:r>
        <w:rPr>
          <w:rFonts w:ascii="Arial" w:hAnsi="Arial" w:cs="Times New Roman"/>
          <w:spacing w:val="-17"/>
          <w:sz w:val="24"/>
          <w:szCs w:val="24"/>
        </w:rPr>
        <w:t xml:space="preserve"> </w:t>
      </w:r>
      <w:r>
        <w:rPr>
          <w:rFonts w:ascii="Arial" w:hAnsi="Arial" w:cs="Times New Roman"/>
          <w:sz w:val="24"/>
          <w:szCs w:val="24"/>
        </w:rPr>
        <w:t>dispõem</w:t>
      </w:r>
      <w:r>
        <w:rPr>
          <w:rFonts w:ascii="Arial" w:hAnsi="Arial" w:cs="Times New Roman"/>
          <w:spacing w:val="-16"/>
          <w:sz w:val="24"/>
          <w:szCs w:val="24"/>
        </w:rPr>
        <w:t xml:space="preserve"> </w:t>
      </w:r>
      <w:r>
        <w:rPr>
          <w:rFonts w:ascii="Arial" w:hAnsi="Arial" w:cs="Times New Roman"/>
          <w:sz w:val="24"/>
          <w:szCs w:val="24"/>
        </w:rPr>
        <w:t>de</w:t>
      </w:r>
      <w:r>
        <w:rPr>
          <w:rFonts w:ascii="Arial" w:hAnsi="Arial" w:cs="Times New Roman"/>
          <w:spacing w:val="-17"/>
          <w:sz w:val="24"/>
          <w:szCs w:val="24"/>
        </w:rPr>
        <w:t xml:space="preserve"> </w:t>
      </w:r>
      <w:r>
        <w:rPr>
          <w:rFonts w:ascii="Arial" w:hAnsi="Arial" w:cs="Times New Roman"/>
          <w:sz w:val="24"/>
          <w:szCs w:val="24"/>
        </w:rPr>
        <w:t>tecnologia</w:t>
      </w:r>
      <w:r>
        <w:rPr>
          <w:rFonts w:ascii="Arial" w:hAnsi="Arial" w:cs="Times New Roman"/>
          <w:spacing w:val="-17"/>
          <w:sz w:val="24"/>
          <w:szCs w:val="24"/>
        </w:rPr>
        <w:t xml:space="preserve"> </w:t>
      </w:r>
      <w:r>
        <w:rPr>
          <w:rFonts w:ascii="Arial" w:hAnsi="Arial" w:cs="Times New Roman"/>
          <w:sz w:val="24"/>
          <w:szCs w:val="24"/>
        </w:rPr>
        <w:t>avançada</w:t>
      </w:r>
      <w:r>
        <w:rPr>
          <w:rFonts w:ascii="Arial" w:hAnsi="Arial" w:cs="Times New Roman"/>
          <w:spacing w:val="-17"/>
          <w:sz w:val="24"/>
          <w:szCs w:val="24"/>
        </w:rPr>
        <w:t xml:space="preserve"> </w:t>
      </w:r>
      <w:r>
        <w:rPr>
          <w:rFonts w:ascii="Arial" w:hAnsi="Arial" w:cs="Times New Roman"/>
          <w:sz w:val="24"/>
          <w:szCs w:val="24"/>
        </w:rPr>
        <w:t>e</w:t>
      </w:r>
      <w:r>
        <w:rPr>
          <w:rFonts w:ascii="Arial" w:hAnsi="Arial" w:cs="Times New Roman"/>
          <w:spacing w:val="-16"/>
          <w:sz w:val="24"/>
          <w:szCs w:val="24"/>
        </w:rPr>
        <w:t xml:space="preserve"> </w:t>
      </w:r>
      <w:r>
        <w:rPr>
          <w:rFonts w:ascii="Arial" w:hAnsi="Arial" w:cs="Times New Roman"/>
          <w:sz w:val="24"/>
          <w:szCs w:val="24"/>
        </w:rPr>
        <w:t>amplo</w:t>
      </w:r>
      <w:r>
        <w:rPr>
          <w:rFonts w:ascii="Arial" w:hAnsi="Arial" w:cs="Times New Roman"/>
          <w:spacing w:val="-17"/>
          <w:sz w:val="24"/>
          <w:szCs w:val="24"/>
        </w:rPr>
        <w:t xml:space="preserve"> </w:t>
      </w:r>
      <w:r>
        <w:rPr>
          <w:rFonts w:ascii="Arial" w:hAnsi="Arial" w:cs="Times New Roman"/>
          <w:sz w:val="24"/>
          <w:szCs w:val="24"/>
        </w:rPr>
        <w:t>conhecimento</w:t>
      </w:r>
      <w:r>
        <w:rPr>
          <w:rFonts w:ascii="Arial" w:hAnsi="Arial" w:cs="Times New Roman"/>
          <w:spacing w:val="-17"/>
          <w:sz w:val="24"/>
          <w:szCs w:val="24"/>
        </w:rPr>
        <w:t xml:space="preserve"> </w:t>
      </w:r>
      <w:r>
        <w:rPr>
          <w:rFonts w:ascii="Arial" w:hAnsi="Arial" w:cs="Times New Roman"/>
          <w:sz w:val="24"/>
          <w:szCs w:val="24"/>
        </w:rPr>
        <w:t>sobre</w:t>
      </w:r>
      <w:r>
        <w:rPr>
          <w:rFonts w:ascii="Arial" w:hAnsi="Arial" w:cs="Times New Roman"/>
          <w:spacing w:val="-16"/>
          <w:sz w:val="24"/>
          <w:szCs w:val="24"/>
        </w:rPr>
        <w:t xml:space="preserve"> </w:t>
      </w:r>
      <w:r>
        <w:rPr>
          <w:rFonts w:ascii="Arial" w:hAnsi="Arial" w:cs="Times New Roman"/>
          <w:sz w:val="24"/>
          <w:szCs w:val="24"/>
        </w:rPr>
        <w:t>a</w:t>
      </w:r>
      <w:r>
        <w:rPr>
          <w:rFonts w:ascii="Arial" w:hAnsi="Arial" w:cs="Times New Roman"/>
          <w:spacing w:val="-17"/>
          <w:sz w:val="24"/>
          <w:szCs w:val="24"/>
        </w:rPr>
        <w:t xml:space="preserve"> </w:t>
      </w:r>
      <w:r>
        <w:rPr>
          <w:rFonts w:ascii="Arial" w:hAnsi="Arial" w:cs="Times New Roman"/>
          <w:sz w:val="24"/>
          <w:szCs w:val="24"/>
        </w:rPr>
        <w:t>prática, o que rompe com o senso comum de que esse tipo de exploração estaria restrito a pequenas propriedades, consoante com as ideias apresentadas por Silva (2024).</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t>Segundo</w:t>
      </w:r>
      <w:r>
        <w:rPr>
          <w:rFonts w:ascii="Arial" w:hAnsi="Arial" w:cs="Times New Roman"/>
          <w:spacing w:val="-6"/>
          <w:sz w:val="24"/>
          <w:szCs w:val="24"/>
        </w:rPr>
        <w:t xml:space="preserve"> </w:t>
      </w:r>
      <w:r>
        <w:rPr>
          <w:rFonts w:ascii="Arial" w:hAnsi="Arial" w:cs="Times New Roman"/>
          <w:sz w:val="24"/>
          <w:szCs w:val="24"/>
        </w:rPr>
        <w:t>Baptista, Bandeira</w:t>
      </w:r>
      <w:r>
        <w:rPr>
          <w:rFonts w:ascii="Arial" w:hAnsi="Arial" w:cs="Times New Roman"/>
          <w:spacing w:val="-9"/>
          <w:sz w:val="24"/>
          <w:szCs w:val="24"/>
        </w:rPr>
        <w:t xml:space="preserve"> </w:t>
      </w:r>
      <w:r>
        <w:rPr>
          <w:rFonts w:ascii="Arial" w:hAnsi="Arial" w:cs="Times New Roman"/>
          <w:sz w:val="24"/>
          <w:szCs w:val="24"/>
        </w:rPr>
        <w:t>e</w:t>
      </w:r>
      <w:r>
        <w:rPr>
          <w:rFonts w:ascii="Arial" w:hAnsi="Arial" w:cs="Times New Roman"/>
          <w:spacing w:val="-13"/>
          <w:sz w:val="24"/>
          <w:szCs w:val="24"/>
        </w:rPr>
        <w:t xml:space="preserve"> </w:t>
      </w:r>
      <w:r>
        <w:rPr>
          <w:rFonts w:ascii="Arial" w:hAnsi="Arial" w:cs="Times New Roman"/>
          <w:sz w:val="24"/>
          <w:szCs w:val="24"/>
        </w:rPr>
        <w:t>Souza</w:t>
      </w:r>
      <w:r>
        <w:rPr>
          <w:rFonts w:ascii="Arial" w:hAnsi="Arial" w:cs="Times New Roman"/>
          <w:spacing w:val="-4"/>
          <w:sz w:val="24"/>
          <w:szCs w:val="24"/>
        </w:rPr>
        <w:t xml:space="preserve"> </w:t>
      </w:r>
      <w:r>
        <w:rPr>
          <w:rFonts w:ascii="Arial" w:hAnsi="Arial" w:cs="Times New Roman"/>
          <w:sz w:val="24"/>
          <w:szCs w:val="24"/>
        </w:rPr>
        <w:t>(2018)</w:t>
      </w:r>
      <w:r>
        <w:rPr>
          <w:rFonts w:ascii="Arial" w:hAnsi="Arial" w:cs="Times New Roman"/>
          <w:b/>
          <w:sz w:val="24"/>
          <w:szCs w:val="24"/>
        </w:rPr>
        <w:t>,</w:t>
      </w:r>
      <w:r>
        <w:rPr>
          <w:rFonts w:ascii="Arial" w:hAnsi="Arial" w:cs="Times New Roman"/>
          <w:spacing w:val="-13"/>
          <w:sz w:val="24"/>
          <w:szCs w:val="24"/>
        </w:rPr>
        <w:t xml:space="preserve"> o</w:t>
      </w:r>
      <w:r>
        <w:rPr>
          <w:rFonts w:ascii="Arial" w:hAnsi="Arial" w:cs="Times New Roman"/>
          <w:sz w:val="24"/>
          <w:szCs w:val="24"/>
        </w:rPr>
        <w:t xml:space="preserve"> trabalho escravo contemporâneo, revela processos históricos de desigualdade que se perpetuam no mercado de trabalho brasileiro. A persistência do regime</w:t>
      </w:r>
      <w:r>
        <w:rPr>
          <w:rFonts w:ascii="Arial" w:hAnsi="Arial" w:cs="Times New Roman"/>
          <w:spacing w:val="-13"/>
          <w:sz w:val="24"/>
          <w:szCs w:val="24"/>
        </w:rPr>
        <w:t xml:space="preserve"> </w:t>
      </w:r>
      <w:r>
        <w:rPr>
          <w:rFonts w:ascii="Arial" w:hAnsi="Arial" w:cs="Times New Roman"/>
          <w:sz w:val="24"/>
          <w:szCs w:val="24"/>
        </w:rPr>
        <w:t>de</w:t>
      </w:r>
      <w:r>
        <w:rPr>
          <w:rFonts w:ascii="Arial" w:hAnsi="Arial" w:cs="Times New Roman"/>
          <w:spacing w:val="-13"/>
          <w:sz w:val="24"/>
          <w:szCs w:val="24"/>
        </w:rPr>
        <w:t xml:space="preserve"> </w:t>
      </w:r>
      <w:r>
        <w:rPr>
          <w:rFonts w:ascii="Arial" w:hAnsi="Arial" w:cs="Times New Roman"/>
          <w:sz w:val="24"/>
          <w:szCs w:val="24"/>
        </w:rPr>
        <w:t>trabalho</w:t>
      </w:r>
      <w:r>
        <w:rPr>
          <w:rFonts w:ascii="Arial" w:hAnsi="Arial" w:cs="Times New Roman"/>
          <w:spacing w:val="-14"/>
          <w:sz w:val="24"/>
          <w:szCs w:val="24"/>
        </w:rPr>
        <w:t xml:space="preserve"> </w:t>
      </w:r>
      <w:r>
        <w:rPr>
          <w:rFonts w:ascii="Arial" w:hAnsi="Arial" w:cs="Times New Roman"/>
          <w:sz w:val="24"/>
          <w:szCs w:val="24"/>
        </w:rPr>
        <w:t>análogo</w:t>
      </w:r>
      <w:r>
        <w:rPr>
          <w:rFonts w:ascii="Arial" w:hAnsi="Arial" w:cs="Times New Roman"/>
          <w:spacing w:val="-10"/>
          <w:sz w:val="24"/>
          <w:szCs w:val="24"/>
        </w:rPr>
        <w:t xml:space="preserve"> </w:t>
      </w:r>
      <w:r>
        <w:rPr>
          <w:rFonts w:ascii="Arial" w:hAnsi="Arial" w:cs="Times New Roman"/>
          <w:sz w:val="24"/>
          <w:szCs w:val="24"/>
        </w:rPr>
        <w:t>à</w:t>
      </w:r>
      <w:r>
        <w:rPr>
          <w:rFonts w:ascii="Arial" w:hAnsi="Arial" w:cs="Times New Roman"/>
          <w:spacing w:val="-10"/>
          <w:sz w:val="24"/>
          <w:szCs w:val="24"/>
        </w:rPr>
        <w:t xml:space="preserve"> </w:t>
      </w:r>
      <w:r>
        <w:rPr>
          <w:rFonts w:ascii="Arial" w:hAnsi="Arial" w:cs="Times New Roman"/>
          <w:sz w:val="24"/>
          <w:szCs w:val="24"/>
        </w:rPr>
        <w:t>escravidão</w:t>
      </w:r>
      <w:r>
        <w:rPr>
          <w:rFonts w:ascii="Arial" w:hAnsi="Arial" w:cs="Times New Roman"/>
          <w:spacing w:val="-12"/>
          <w:sz w:val="24"/>
          <w:szCs w:val="24"/>
        </w:rPr>
        <w:t xml:space="preserve"> </w:t>
      </w:r>
      <w:r>
        <w:rPr>
          <w:rFonts w:ascii="Arial" w:hAnsi="Arial" w:cs="Times New Roman"/>
          <w:sz w:val="24"/>
          <w:szCs w:val="24"/>
        </w:rPr>
        <w:t>deixou</w:t>
      </w:r>
      <w:r>
        <w:rPr>
          <w:rFonts w:ascii="Arial" w:hAnsi="Arial" w:cs="Times New Roman"/>
          <w:spacing w:val="-12"/>
          <w:sz w:val="24"/>
          <w:szCs w:val="24"/>
        </w:rPr>
        <w:t xml:space="preserve"> </w:t>
      </w:r>
      <w:r>
        <w:rPr>
          <w:rFonts w:ascii="Arial" w:hAnsi="Arial" w:cs="Times New Roman"/>
          <w:sz w:val="24"/>
          <w:szCs w:val="24"/>
        </w:rPr>
        <w:t>e</w:t>
      </w:r>
      <w:r>
        <w:rPr>
          <w:rFonts w:ascii="Arial" w:hAnsi="Arial" w:cs="Times New Roman"/>
          <w:spacing w:val="-13"/>
          <w:sz w:val="24"/>
          <w:szCs w:val="24"/>
        </w:rPr>
        <w:t xml:space="preserve"> </w:t>
      </w:r>
      <w:r>
        <w:rPr>
          <w:rFonts w:ascii="Arial" w:hAnsi="Arial" w:cs="Times New Roman"/>
          <w:sz w:val="24"/>
          <w:szCs w:val="24"/>
        </w:rPr>
        <w:t>continua</w:t>
      </w:r>
      <w:r>
        <w:rPr>
          <w:rFonts w:ascii="Arial" w:hAnsi="Arial" w:cs="Times New Roman"/>
          <w:spacing w:val="-14"/>
          <w:sz w:val="24"/>
          <w:szCs w:val="24"/>
        </w:rPr>
        <w:t xml:space="preserve"> </w:t>
      </w:r>
      <w:r>
        <w:rPr>
          <w:rFonts w:ascii="Arial" w:hAnsi="Arial" w:cs="Times New Roman"/>
          <w:sz w:val="24"/>
          <w:szCs w:val="24"/>
        </w:rPr>
        <w:t>deixando</w:t>
      </w:r>
      <w:r>
        <w:rPr>
          <w:rFonts w:ascii="Arial" w:hAnsi="Arial" w:cs="Times New Roman"/>
          <w:spacing w:val="-14"/>
          <w:sz w:val="24"/>
          <w:szCs w:val="24"/>
        </w:rPr>
        <w:t xml:space="preserve"> </w:t>
      </w:r>
      <w:r>
        <w:rPr>
          <w:rFonts w:ascii="Arial" w:hAnsi="Arial" w:cs="Times New Roman"/>
          <w:sz w:val="24"/>
          <w:szCs w:val="24"/>
        </w:rPr>
        <w:t>marcas</w:t>
      </w:r>
      <w:r>
        <w:rPr>
          <w:rFonts w:ascii="Arial" w:hAnsi="Arial" w:cs="Times New Roman"/>
          <w:spacing w:val="-17"/>
          <w:sz w:val="24"/>
          <w:szCs w:val="24"/>
        </w:rPr>
        <w:t xml:space="preserve"> </w:t>
      </w:r>
      <w:r>
        <w:rPr>
          <w:rFonts w:ascii="Arial" w:hAnsi="Arial" w:cs="Times New Roman"/>
          <w:sz w:val="24"/>
          <w:szCs w:val="24"/>
        </w:rPr>
        <w:t>profundas, refletidas em desigualdades estruturais que atravessam a sociedade brasileira, como a concentração fundiária e a predominância de trabalhadores negros inseridos em contextos de informalidade e vulnerabilidade social.</w:t>
      </w:r>
    </w:p>
    <w:p w:rsidR="009D60B7" w:rsidRDefault="009D60B7">
      <w:pPr>
        <w:pStyle w:val="Corpodetexto"/>
        <w:spacing w:line="360" w:lineRule="auto"/>
        <w:ind w:left="113" w:right="113" w:firstLine="1020"/>
        <w:jc w:val="both"/>
        <w:rPr>
          <w:rFonts w:ascii="Arial" w:hAnsi="Arial" w:cs="Times New Roman"/>
          <w:sz w:val="24"/>
          <w:szCs w:val="24"/>
        </w:rPr>
      </w:pPr>
    </w:p>
    <w:p w:rsidR="009D60B7" w:rsidRDefault="00425C09">
      <w:pPr>
        <w:pStyle w:val="PargrafodaLista"/>
        <w:tabs>
          <w:tab w:val="left" w:pos="543"/>
        </w:tabs>
        <w:spacing w:line="360" w:lineRule="auto"/>
        <w:ind w:left="141"/>
        <w:rPr>
          <w:rFonts w:ascii="Arial" w:hAnsi="Arial"/>
          <w:sz w:val="24"/>
          <w:szCs w:val="24"/>
        </w:rPr>
      </w:pPr>
      <w:r>
        <w:rPr>
          <w:rFonts w:ascii="Arial" w:hAnsi="Arial" w:cs="Times New Roman"/>
          <w:sz w:val="24"/>
          <w:szCs w:val="24"/>
          <w:lang w:val="pt-BR"/>
        </w:rPr>
        <w:t xml:space="preserve">1.2 </w:t>
      </w:r>
      <w:r>
        <w:rPr>
          <w:rFonts w:ascii="Arial" w:hAnsi="Arial" w:cs="Times New Roman"/>
          <w:sz w:val="24"/>
          <w:szCs w:val="24"/>
        </w:rPr>
        <w:t>Deficiência</w:t>
      </w:r>
      <w:r>
        <w:rPr>
          <w:rFonts w:ascii="Arial" w:hAnsi="Arial" w:cs="Times New Roman"/>
          <w:spacing w:val="-3"/>
          <w:sz w:val="24"/>
          <w:szCs w:val="24"/>
        </w:rPr>
        <w:t xml:space="preserve"> </w:t>
      </w:r>
      <w:r>
        <w:rPr>
          <w:rFonts w:ascii="Arial" w:hAnsi="Arial" w:cs="Times New Roman"/>
          <w:sz w:val="24"/>
          <w:szCs w:val="24"/>
        </w:rPr>
        <w:t>Educacional</w:t>
      </w:r>
      <w:r>
        <w:rPr>
          <w:rFonts w:ascii="Arial" w:hAnsi="Arial" w:cs="Times New Roman"/>
          <w:spacing w:val="-1"/>
          <w:sz w:val="24"/>
          <w:szCs w:val="24"/>
        </w:rPr>
        <w:t xml:space="preserve"> </w:t>
      </w:r>
      <w:r>
        <w:rPr>
          <w:rFonts w:ascii="Arial" w:hAnsi="Arial" w:cs="Times New Roman"/>
          <w:sz w:val="24"/>
          <w:szCs w:val="24"/>
        </w:rPr>
        <w:t>e</w:t>
      </w:r>
      <w:r>
        <w:rPr>
          <w:rFonts w:ascii="Arial" w:hAnsi="Arial" w:cs="Times New Roman"/>
          <w:spacing w:val="-3"/>
          <w:sz w:val="24"/>
          <w:szCs w:val="24"/>
        </w:rPr>
        <w:t xml:space="preserve"> </w:t>
      </w:r>
      <w:r>
        <w:rPr>
          <w:rFonts w:ascii="Arial" w:hAnsi="Arial" w:cs="Times New Roman"/>
          <w:sz w:val="24"/>
          <w:szCs w:val="24"/>
        </w:rPr>
        <w:t>o</w:t>
      </w:r>
      <w:r>
        <w:rPr>
          <w:rFonts w:ascii="Arial" w:hAnsi="Arial" w:cs="Times New Roman"/>
          <w:spacing w:val="-3"/>
          <w:sz w:val="24"/>
          <w:szCs w:val="24"/>
        </w:rPr>
        <w:t xml:space="preserve"> </w:t>
      </w:r>
      <w:r>
        <w:rPr>
          <w:rFonts w:ascii="Arial" w:hAnsi="Arial" w:cs="Times New Roman"/>
          <w:sz w:val="24"/>
          <w:szCs w:val="24"/>
        </w:rPr>
        <w:t>Acesso</w:t>
      </w:r>
      <w:r>
        <w:rPr>
          <w:rFonts w:ascii="Arial" w:hAnsi="Arial" w:cs="Times New Roman"/>
          <w:spacing w:val="-3"/>
          <w:sz w:val="24"/>
          <w:szCs w:val="24"/>
        </w:rPr>
        <w:t xml:space="preserve"> </w:t>
      </w:r>
      <w:r>
        <w:rPr>
          <w:rFonts w:ascii="Arial" w:hAnsi="Arial" w:cs="Times New Roman"/>
          <w:sz w:val="24"/>
          <w:szCs w:val="24"/>
        </w:rPr>
        <w:t>Limitado</w:t>
      </w:r>
      <w:r>
        <w:rPr>
          <w:rFonts w:ascii="Arial" w:hAnsi="Arial" w:cs="Times New Roman"/>
          <w:spacing w:val="-1"/>
          <w:sz w:val="24"/>
          <w:szCs w:val="24"/>
        </w:rPr>
        <w:t xml:space="preserve"> </w:t>
      </w:r>
      <w:r>
        <w:rPr>
          <w:rFonts w:ascii="Arial" w:hAnsi="Arial" w:cs="Times New Roman"/>
          <w:sz w:val="24"/>
          <w:szCs w:val="24"/>
        </w:rPr>
        <w:t>à</w:t>
      </w:r>
      <w:r>
        <w:rPr>
          <w:rFonts w:ascii="Arial" w:hAnsi="Arial" w:cs="Times New Roman"/>
          <w:spacing w:val="-1"/>
          <w:sz w:val="24"/>
          <w:szCs w:val="24"/>
        </w:rPr>
        <w:t xml:space="preserve"> </w:t>
      </w:r>
      <w:r>
        <w:rPr>
          <w:rFonts w:ascii="Arial" w:hAnsi="Arial" w:cs="Times New Roman"/>
          <w:sz w:val="24"/>
          <w:szCs w:val="24"/>
        </w:rPr>
        <w:t>Informação</w:t>
      </w:r>
      <w:r>
        <w:rPr>
          <w:rFonts w:ascii="Arial" w:hAnsi="Arial" w:cs="Times New Roman"/>
          <w:spacing w:val="-2"/>
          <w:sz w:val="24"/>
          <w:szCs w:val="24"/>
        </w:rPr>
        <w:t xml:space="preserve"> </w:t>
      </w:r>
      <w:r>
        <w:rPr>
          <w:rFonts w:ascii="Arial" w:hAnsi="Arial" w:cs="Times New Roman"/>
          <w:sz w:val="24"/>
          <w:szCs w:val="24"/>
        </w:rPr>
        <w:t>no</w:t>
      </w:r>
      <w:r>
        <w:rPr>
          <w:rFonts w:ascii="Arial" w:hAnsi="Arial" w:cs="Times New Roman"/>
          <w:spacing w:val="-3"/>
          <w:sz w:val="24"/>
          <w:szCs w:val="24"/>
        </w:rPr>
        <w:t xml:space="preserve"> </w:t>
      </w:r>
      <w:r>
        <w:rPr>
          <w:rFonts w:ascii="Arial" w:hAnsi="Arial" w:cs="Times New Roman"/>
          <w:spacing w:val="-2"/>
          <w:sz w:val="24"/>
          <w:szCs w:val="24"/>
        </w:rPr>
        <w:t>Campo</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t xml:space="preserve">A educação no meio rural brasileiro historicamente se desenvolveu de maneira desigual quando comparada ao contexto urbano, disparidade que resulta de </w:t>
      </w:r>
      <w:r>
        <w:rPr>
          <w:rFonts w:ascii="Arial" w:hAnsi="Arial" w:cs="Times New Roman"/>
          <w:sz w:val="24"/>
          <w:szCs w:val="24"/>
        </w:rPr>
        <w:lastRenderedPageBreak/>
        <w:t>fatores estruturais relacionados ao processo de formação socioeconômica e à ausência de políticas públicas contínuas capazes de atender à educação das populações rurais. Para Caldart (2008), a educação rural sempre foi tratada como periférica, o que evidencia que esse grupo foi historicamente tratado como secundário no projeto nacional de desenvolvimento, consolidando um padrão de exclusão educacional que ainda hoje impacta a vida dos trabalhadores rurais.</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t>Os</w:t>
      </w:r>
      <w:r>
        <w:rPr>
          <w:rFonts w:ascii="Arial" w:hAnsi="Arial" w:cs="Times New Roman"/>
          <w:spacing w:val="-16"/>
          <w:sz w:val="24"/>
          <w:szCs w:val="24"/>
        </w:rPr>
        <w:t xml:space="preserve"> </w:t>
      </w:r>
      <w:r>
        <w:rPr>
          <w:rFonts w:ascii="Arial" w:hAnsi="Arial" w:cs="Times New Roman"/>
          <w:sz w:val="24"/>
          <w:szCs w:val="24"/>
        </w:rPr>
        <w:t>indicadores</w:t>
      </w:r>
      <w:r>
        <w:rPr>
          <w:rFonts w:ascii="Arial" w:hAnsi="Arial" w:cs="Times New Roman"/>
          <w:spacing w:val="-14"/>
          <w:sz w:val="24"/>
          <w:szCs w:val="24"/>
        </w:rPr>
        <w:t xml:space="preserve"> </w:t>
      </w:r>
      <w:r>
        <w:rPr>
          <w:rFonts w:ascii="Arial" w:hAnsi="Arial" w:cs="Times New Roman"/>
          <w:sz w:val="24"/>
          <w:szCs w:val="24"/>
        </w:rPr>
        <w:t>de</w:t>
      </w:r>
      <w:r>
        <w:rPr>
          <w:rFonts w:ascii="Arial" w:hAnsi="Arial" w:cs="Times New Roman"/>
          <w:spacing w:val="-14"/>
          <w:sz w:val="24"/>
          <w:szCs w:val="24"/>
        </w:rPr>
        <w:t xml:space="preserve"> </w:t>
      </w:r>
      <w:r>
        <w:rPr>
          <w:rFonts w:ascii="Arial" w:hAnsi="Arial" w:cs="Times New Roman"/>
          <w:sz w:val="24"/>
          <w:szCs w:val="24"/>
        </w:rPr>
        <w:t>escolaridade</w:t>
      </w:r>
      <w:r>
        <w:rPr>
          <w:rFonts w:ascii="Arial" w:hAnsi="Arial" w:cs="Times New Roman"/>
          <w:spacing w:val="-9"/>
          <w:sz w:val="24"/>
          <w:szCs w:val="24"/>
        </w:rPr>
        <w:t xml:space="preserve"> </w:t>
      </w:r>
      <w:r>
        <w:rPr>
          <w:rFonts w:ascii="Arial" w:hAnsi="Arial" w:cs="Times New Roman"/>
          <w:sz w:val="24"/>
          <w:szCs w:val="24"/>
        </w:rPr>
        <w:t>continuam</w:t>
      </w:r>
      <w:r>
        <w:rPr>
          <w:rFonts w:ascii="Arial" w:hAnsi="Arial" w:cs="Times New Roman"/>
          <w:spacing w:val="-14"/>
          <w:sz w:val="24"/>
          <w:szCs w:val="24"/>
        </w:rPr>
        <w:t xml:space="preserve"> </w:t>
      </w:r>
      <w:r>
        <w:rPr>
          <w:rFonts w:ascii="Arial" w:hAnsi="Arial" w:cs="Times New Roman"/>
          <w:sz w:val="24"/>
          <w:szCs w:val="24"/>
        </w:rPr>
        <w:t>mais</w:t>
      </w:r>
      <w:r>
        <w:rPr>
          <w:rFonts w:ascii="Arial" w:hAnsi="Arial" w:cs="Times New Roman"/>
          <w:spacing w:val="-14"/>
          <w:sz w:val="24"/>
          <w:szCs w:val="24"/>
        </w:rPr>
        <w:t xml:space="preserve"> </w:t>
      </w:r>
      <w:r>
        <w:rPr>
          <w:rFonts w:ascii="Arial" w:hAnsi="Arial" w:cs="Times New Roman"/>
          <w:sz w:val="24"/>
          <w:szCs w:val="24"/>
        </w:rPr>
        <w:t>baixos</w:t>
      </w:r>
      <w:r>
        <w:rPr>
          <w:rFonts w:ascii="Arial" w:hAnsi="Arial" w:cs="Times New Roman"/>
          <w:spacing w:val="-11"/>
          <w:sz w:val="24"/>
          <w:szCs w:val="24"/>
        </w:rPr>
        <w:t xml:space="preserve"> </w:t>
      </w:r>
      <w:r>
        <w:rPr>
          <w:rFonts w:ascii="Arial" w:hAnsi="Arial" w:cs="Times New Roman"/>
          <w:sz w:val="24"/>
          <w:szCs w:val="24"/>
        </w:rPr>
        <w:t>nas</w:t>
      </w:r>
      <w:r>
        <w:rPr>
          <w:rFonts w:ascii="Arial" w:hAnsi="Arial" w:cs="Times New Roman"/>
          <w:spacing w:val="-14"/>
          <w:sz w:val="24"/>
          <w:szCs w:val="24"/>
        </w:rPr>
        <w:t xml:space="preserve"> </w:t>
      </w:r>
      <w:r>
        <w:rPr>
          <w:rFonts w:ascii="Arial" w:hAnsi="Arial" w:cs="Times New Roman"/>
          <w:sz w:val="24"/>
          <w:szCs w:val="24"/>
        </w:rPr>
        <w:t>áreas</w:t>
      </w:r>
      <w:r>
        <w:rPr>
          <w:rFonts w:ascii="Arial" w:hAnsi="Arial" w:cs="Times New Roman"/>
          <w:spacing w:val="-11"/>
          <w:sz w:val="24"/>
          <w:szCs w:val="24"/>
        </w:rPr>
        <w:t xml:space="preserve"> </w:t>
      </w:r>
      <w:r>
        <w:rPr>
          <w:rFonts w:ascii="Arial" w:hAnsi="Arial" w:cs="Times New Roman"/>
          <w:sz w:val="24"/>
          <w:szCs w:val="24"/>
        </w:rPr>
        <w:t>rurais,</w:t>
      </w:r>
      <w:r>
        <w:rPr>
          <w:rFonts w:ascii="Arial" w:hAnsi="Arial" w:cs="Times New Roman"/>
          <w:spacing w:val="-14"/>
          <w:sz w:val="24"/>
          <w:szCs w:val="24"/>
        </w:rPr>
        <w:t xml:space="preserve"> </w:t>
      </w:r>
      <w:r>
        <w:rPr>
          <w:rFonts w:ascii="Arial" w:hAnsi="Arial" w:cs="Times New Roman"/>
          <w:sz w:val="24"/>
          <w:szCs w:val="24"/>
        </w:rPr>
        <w:t>segundo o IBGE (2022), a média de anos de estudo da população rural é cerca de três anos inferior à da população urbana, pois além das dificuldades históricas, persistem problemas</w:t>
      </w:r>
      <w:r>
        <w:rPr>
          <w:rFonts w:ascii="Arial" w:hAnsi="Arial" w:cs="Times New Roman"/>
          <w:spacing w:val="-1"/>
          <w:sz w:val="24"/>
          <w:szCs w:val="24"/>
        </w:rPr>
        <w:t xml:space="preserve"> </w:t>
      </w:r>
      <w:r>
        <w:rPr>
          <w:rFonts w:ascii="Arial" w:hAnsi="Arial" w:cs="Times New Roman"/>
          <w:sz w:val="24"/>
          <w:szCs w:val="24"/>
        </w:rPr>
        <w:t>como evasão escolar, longas distâncias até as</w:t>
      </w:r>
      <w:r>
        <w:rPr>
          <w:rFonts w:ascii="Arial" w:hAnsi="Arial" w:cs="Times New Roman"/>
          <w:spacing w:val="-1"/>
          <w:sz w:val="24"/>
          <w:szCs w:val="24"/>
        </w:rPr>
        <w:t xml:space="preserve"> </w:t>
      </w:r>
      <w:r>
        <w:rPr>
          <w:rFonts w:ascii="Arial" w:hAnsi="Arial" w:cs="Times New Roman"/>
          <w:sz w:val="24"/>
          <w:szCs w:val="24"/>
        </w:rPr>
        <w:t>escolas,</w:t>
      </w:r>
      <w:r>
        <w:rPr>
          <w:rFonts w:ascii="Arial" w:hAnsi="Arial" w:cs="Times New Roman"/>
          <w:spacing w:val="-1"/>
          <w:sz w:val="24"/>
          <w:szCs w:val="24"/>
        </w:rPr>
        <w:t xml:space="preserve"> </w:t>
      </w:r>
      <w:r>
        <w:rPr>
          <w:rFonts w:ascii="Arial" w:hAnsi="Arial" w:cs="Times New Roman"/>
          <w:sz w:val="24"/>
          <w:szCs w:val="24"/>
        </w:rPr>
        <w:t>falta de transporte, infraestrutura insuficiente e escassez</w:t>
      </w:r>
      <w:r>
        <w:rPr>
          <w:rFonts w:ascii="Arial" w:hAnsi="Arial" w:cs="Times New Roman"/>
          <w:spacing w:val="-1"/>
          <w:sz w:val="24"/>
          <w:szCs w:val="24"/>
        </w:rPr>
        <w:t xml:space="preserve"> </w:t>
      </w:r>
      <w:r>
        <w:rPr>
          <w:rFonts w:ascii="Arial" w:hAnsi="Arial" w:cs="Times New Roman"/>
          <w:sz w:val="24"/>
          <w:szCs w:val="24"/>
        </w:rPr>
        <w:t>de professores qualificados, o que contribui</w:t>
      </w:r>
      <w:r>
        <w:rPr>
          <w:rFonts w:ascii="Arial" w:hAnsi="Arial" w:cs="Times New Roman"/>
          <w:spacing w:val="-13"/>
          <w:sz w:val="24"/>
          <w:szCs w:val="24"/>
        </w:rPr>
        <w:t xml:space="preserve"> </w:t>
      </w:r>
      <w:r>
        <w:rPr>
          <w:rFonts w:ascii="Arial" w:hAnsi="Arial" w:cs="Times New Roman"/>
          <w:sz w:val="24"/>
          <w:szCs w:val="24"/>
        </w:rPr>
        <w:t>para</w:t>
      </w:r>
      <w:r>
        <w:rPr>
          <w:rFonts w:ascii="Arial" w:hAnsi="Arial" w:cs="Times New Roman"/>
          <w:spacing w:val="-13"/>
          <w:sz w:val="24"/>
          <w:szCs w:val="24"/>
        </w:rPr>
        <w:t xml:space="preserve"> </w:t>
      </w:r>
      <w:r>
        <w:rPr>
          <w:rFonts w:ascii="Arial" w:hAnsi="Arial" w:cs="Times New Roman"/>
          <w:sz w:val="24"/>
          <w:szCs w:val="24"/>
        </w:rPr>
        <w:t>a</w:t>
      </w:r>
      <w:r>
        <w:rPr>
          <w:rFonts w:ascii="Arial" w:hAnsi="Arial" w:cs="Times New Roman"/>
          <w:spacing w:val="-13"/>
          <w:sz w:val="24"/>
          <w:szCs w:val="24"/>
        </w:rPr>
        <w:t xml:space="preserve"> </w:t>
      </w:r>
      <w:r>
        <w:rPr>
          <w:rFonts w:ascii="Arial" w:hAnsi="Arial" w:cs="Times New Roman"/>
          <w:sz w:val="24"/>
          <w:szCs w:val="24"/>
        </w:rPr>
        <w:t>manutenção</w:t>
      </w:r>
      <w:r>
        <w:rPr>
          <w:rFonts w:ascii="Arial" w:hAnsi="Arial" w:cs="Times New Roman"/>
          <w:spacing w:val="-10"/>
          <w:sz w:val="24"/>
          <w:szCs w:val="24"/>
        </w:rPr>
        <w:t xml:space="preserve"> </w:t>
      </w:r>
      <w:r>
        <w:rPr>
          <w:rFonts w:ascii="Arial" w:hAnsi="Arial" w:cs="Times New Roman"/>
          <w:sz w:val="24"/>
          <w:szCs w:val="24"/>
        </w:rPr>
        <w:t>de</w:t>
      </w:r>
      <w:r>
        <w:rPr>
          <w:rFonts w:ascii="Arial" w:hAnsi="Arial" w:cs="Times New Roman"/>
          <w:spacing w:val="-9"/>
          <w:sz w:val="24"/>
          <w:szCs w:val="24"/>
        </w:rPr>
        <w:t xml:space="preserve"> </w:t>
      </w:r>
      <w:r>
        <w:rPr>
          <w:rFonts w:ascii="Arial" w:hAnsi="Arial" w:cs="Times New Roman"/>
          <w:sz w:val="24"/>
          <w:szCs w:val="24"/>
        </w:rPr>
        <w:t>um</w:t>
      </w:r>
      <w:r>
        <w:rPr>
          <w:rFonts w:ascii="Arial" w:hAnsi="Arial" w:cs="Times New Roman"/>
          <w:spacing w:val="-6"/>
          <w:sz w:val="24"/>
          <w:szCs w:val="24"/>
        </w:rPr>
        <w:t xml:space="preserve"> </w:t>
      </w:r>
      <w:r>
        <w:rPr>
          <w:rFonts w:ascii="Arial" w:hAnsi="Arial" w:cs="Times New Roman"/>
          <w:sz w:val="24"/>
          <w:szCs w:val="24"/>
        </w:rPr>
        <w:t>ciclo</w:t>
      </w:r>
      <w:r>
        <w:rPr>
          <w:rFonts w:ascii="Arial" w:hAnsi="Arial" w:cs="Times New Roman"/>
          <w:spacing w:val="-10"/>
          <w:sz w:val="24"/>
          <w:szCs w:val="24"/>
        </w:rPr>
        <w:t xml:space="preserve"> </w:t>
      </w:r>
      <w:r>
        <w:rPr>
          <w:rFonts w:ascii="Arial" w:hAnsi="Arial" w:cs="Times New Roman"/>
          <w:sz w:val="24"/>
          <w:szCs w:val="24"/>
        </w:rPr>
        <w:t>de</w:t>
      </w:r>
      <w:r>
        <w:rPr>
          <w:rFonts w:ascii="Arial" w:hAnsi="Arial" w:cs="Times New Roman"/>
          <w:spacing w:val="-12"/>
          <w:sz w:val="24"/>
          <w:szCs w:val="24"/>
        </w:rPr>
        <w:t xml:space="preserve"> </w:t>
      </w:r>
      <w:r>
        <w:rPr>
          <w:rFonts w:ascii="Arial" w:hAnsi="Arial" w:cs="Times New Roman"/>
          <w:sz w:val="24"/>
          <w:szCs w:val="24"/>
        </w:rPr>
        <w:t>vulnerabilidade</w:t>
      </w:r>
      <w:r>
        <w:rPr>
          <w:rFonts w:ascii="Arial" w:hAnsi="Arial" w:cs="Times New Roman"/>
          <w:spacing w:val="-10"/>
          <w:sz w:val="24"/>
          <w:szCs w:val="24"/>
        </w:rPr>
        <w:t xml:space="preserve"> </w:t>
      </w:r>
      <w:r>
        <w:rPr>
          <w:rFonts w:ascii="Arial" w:hAnsi="Arial" w:cs="Times New Roman"/>
          <w:sz w:val="24"/>
          <w:szCs w:val="24"/>
        </w:rPr>
        <w:t>educacional,</w:t>
      </w:r>
      <w:r>
        <w:rPr>
          <w:rFonts w:ascii="Arial" w:hAnsi="Arial" w:cs="Times New Roman"/>
          <w:spacing w:val="-12"/>
          <w:sz w:val="24"/>
          <w:szCs w:val="24"/>
        </w:rPr>
        <w:t xml:space="preserve"> </w:t>
      </w:r>
      <w:r>
        <w:rPr>
          <w:rFonts w:ascii="Arial" w:hAnsi="Arial" w:cs="Times New Roman"/>
          <w:sz w:val="24"/>
          <w:szCs w:val="24"/>
        </w:rPr>
        <w:t>que</w:t>
      </w:r>
      <w:r>
        <w:rPr>
          <w:rFonts w:ascii="Arial" w:hAnsi="Arial" w:cs="Times New Roman"/>
          <w:spacing w:val="-6"/>
          <w:sz w:val="24"/>
          <w:szCs w:val="24"/>
        </w:rPr>
        <w:t xml:space="preserve"> </w:t>
      </w:r>
      <w:r>
        <w:rPr>
          <w:rFonts w:ascii="Arial" w:hAnsi="Arial" w:cs="Times New Roman"/>
          <w:sz w:val="24"/>
          <w:szCs w:val="24"/>
        </w:rPr>
        <w:t xml:space="preserve">repercute diretamente na qualificação profissional e na capacidade de inserção em políticas </w:t>
      </w:r>
      <w:r>
        <w:rPr>
          <w:rFonts w:ascii="Arial" w:hAnsi="Arial" w:cs="Times New Roman"/>
          <w:spacing w:val="-2"/>
          <w:sz w:val="24"/>
          <w:szCs w:val="24"/>
        </w:rPr>
        <w:t>públicas.</w:t>
      </w:r>
    </w:p>
    <w:p w:rsidR="009D60B7" w:rsidRDefault="00425C09">
      <w:pPr>
        <w:pStyle w:val="Corpodetexto"/>
        <w:spacing w:line="360" w:lineRule="auto"/>
        <w:ind w:left="113" w:firstLine="1020"/>
        <w:jc w:val="both"/>
        <w:rPr>
          <w:rFonts w:ascii="Arial" w:hAnsi="Arial"/>
          <w:sz w:val="24"/>
          <w:szCs w:val="24"/>
        </w:rPr>
      </w:pPr>
      <w:r>
        <w:rPr>
          <w:rFonts w:ascii="Arial" w:hAnsi="Arial" w:cs="Times New Roman"/>
          <w:sz w:val="24"/>
          <w:szCs w:val="24"/>
        </w:rPr>
        <w:t>Outro</w:t>
      </w:r>
      <w:r>
        <w:rPr>
          <w:rFonts w:ascii="Arial" w:hAnsi="Arial" w:cs="Times New Roman"/>
          <w:spacing w:val="-10"/>
          <w:sz w:val="24"/>
          <w:szCs w:val="24"/>
        </w:rPr>
        <w:t xml:space="preserve"> </w:t>
      </w:r>
      <w:r>
        <w:rPr>
          <w:rFonts w:ascii="Arial" w:hAnsi="Arial" w:cs="Times New Roman"/>
          <w:sz w:val="24"/>
          <w:szCs w:val="24"/>
        </w:rPr>
        <w:t>aspecto</w:t>
      </w:r>
      <w:r>
        <w:rPr>
          <w:rFonts w:ascii="Arial" w:hAnsi="Arial" w:cs="Times New Roman"/>
          <w:spacing w:val="-4"/>
          <w:sz w:val="24"/>
          <w:szCs w:val="24"/>
        </w:rPr>
        <w:t xml:space="preserve"> </w:t>
      </w:r>
      <w:r>
        <w:rPr>
          <w:rFonts w:ascii="Arial" w:hAnsi="Arial" w:cs="Times New Roman"/>
          <w:sz w:val="24"/>
          <w:szCs w:val="24"/>
        </w:rPr>
        <w:t>relevante</w:t>
      </w:r>
      <w:r>
        <w:rPr>
          <w:rFonts w:ascii="Arial" w:hAnsi="Arial" w:cs="Times New Roman"/>
          <w:spacing w:val="-2"/>
          <w:sz w:val="24"/>
          <w:szCs w:val="24"/>
        </w:rPr>
        <w:t xml:space="preserve"> </w:t>
      </w:r>
      <w:r>
        <w:rPr>
          <w:rFonts w:ascii="Arial" w:hAnsi="Arial" w:cs="Times New Roman"/>
          <w:sz w:val="24"/>
          <w:szCs w:val="24"/>
        </w:rPr>
        <w:t>para</w:t>
      </w:r>
      <w:r>
        <w:rPr>
          <w:rFonts w:ascii="Arial" w:hAnsi="Arial" w:cs="Times New Roman"/>
          <w:spacing w:val="-4"/>
          <w:sz w:val="24"/>
          <w:szCs w:val="24"/>
        </w:rPr>
        <w:t xml:space="preserve"> </w:t>
      </w:r>
      <w:r>
        <w:rPr>
          <w:rFonts w:ascii="Arial" w:hAnsi="Arial" w:cs="Times New Roman"/>
          <w:sz w:val="24"/>
          <w:szCs w:val="24"/>
        </w:rPr>
        <w:t>a</w:t>
      </w:r>
      <w:r>
        <w:rPr>
          <w:rFonts w:ascii="Arial" w:hAnsi="Arial" w:cs="Times New Roman"/>
          <w:spacing w:val="-2"/>
          <w:sz w:val="24"/>
          <w:szCs w:val="24"/>
        </w:rPr>
        <w:t xml:space="preserve"> </w:t>
      </w:r>
      <w:r>
        <w:rPr>
          <w:rFonts w:ascii="Arial" w:hAnsi="Arial" w:cs="Times New Roman"/>
          <w:sz w:val="24"/>
          <w:szCs w:val="24"/>
        </w:rPr>
        <w:t>compreensão</w:t>
      </w:r>
      <w:r>
        <w:rPr>
          <w:rFonts w:ascii="Arial" w:hAnsi="Arial" w:cs="Times New Roman"/>
          <w:spacing w:val="-10"/>
          <w:sz w:val="24"/>
          <w:szCs w:val="24"/>
        </w:rPr>
        <w:t xml:space="preserve"> </w:t>
      </w:r>
      <w:r>
        <w:rPr>
          <w:rFonts w:ascii="Arial" w:hAnsi="Arial" w:cs="Times New Roman"/>
          <w:sz w:val="24"/>
          <w:szCs w:val="24"/>
        </w:rPr>
        <w:t>dessa</w:t>
      </w:r>
      <w:r>
        <w:rPr>
          <w:rFonts w:ascii="Arial" w:hAnsi="Arial" w:cs="Times New Roman"/>
          <w:spacing w:val="-4"/>
          <w:sz w:val="24"/>
          <w:szCs w:val="24"/>
        </w:rPr>
        <w:t xml:space="preserve"> </w:t>
      </w:r>
      <w:r>
        <w:rPr>
          <w:rFonts w:ascii="Arial" w:hAnsi="Arial" w:cs="Times New Roman"/>
          <w:sz w:val="24"/>
          <w:szCs w:val="24"/>
        </w:rPr>
        <w:t>vulnerabilidade</w:t>
      </w:r>
      <w:r>
        <w:rPr>
          <w:rFonts w:ascii="Arial" w:hAnsi="Arial" w:cs="Times New Roman"/>
          <w:spacing w:val="-5"/>
          <w:sz w:val="24"/>
          <w:szCs w:val="24"/>
        </w:rPr>
        <w:t xml:space="preserve"> </w:t>
      </w:r>
      <w:r>
        <w:rPr>
          <w:rFonts w:ascii="Arial" w:hAnsi="Arial" w:cs="Times New Roman"/>
          <w:sz w:val="24"/>
          <w:szCs w:val="24"/>
        </w:rPr>
        <w:t>é a</w:t>
      </w:r>
      <w:r>
        <w:rPr>
          <w:rFonts w:ascii="Arial" w:hAnsi="Arial" w:cs="Times New Roman"/>
          <w:spacing w:val="-2"/>
          <w:sz w:val="24"/>
          <w:szCs w:val="24"/>
        </w:rPr>
        <w:t xml:space="preserve"> limitação</w:t>
      </w:r>
      <w:r>
        <w:rPr>
          <w:rFonts w:ascii="Arial" w:hAnsi="Arial" w:cs="Times New Roman"/>
          <w:sz w:val="24"/>
          <w:szCs w:val="24"/>
        </w:rPr>
        <w:t xml:space="preserve"> no acesso à informação, conforme aponta o Cetic (2023), o acesso à internet nas zonas rurais permanece significativamente abaixo da média nacional, sobretudo nas regiões Norte e Nordeste, o que compromete o exercício à cidadania e aos direitos fundamentais, dificultando desde o conhecimento sobre direitos trabalhistas</w:t>
      </w:r>
      <w:r>
        <w:rPr>
          <w:rFonts w:ascii="Arial" w:hAnsi="Arial" w:cs="Times New Roman"/>
          <w:spacing w:val="-11"/>
          <w:sz w:val="24"/>
          <w:szCs w:val="24"/>
        </w:rPr>
        <w:t xml:space="preserve"> </w:t>
      </w:r>
      <w:r>
        <w:rPr>
          <w:rFonts w:ascii="Arial" w:hAnsi="Arial" w:cs="Times New Roman"/>
          <w:sz w:val="24"/>
          <w:szCs w:val="24"/>
        </w:rPr>
        <w:t>e</w:t>
      </w:r>
      <w:r>
        <w:rPr>
          <w:rFonts w:ascii="Arial" w:hAnsi="Arial" w:cs="Times New Roman"/>
          <w:spacing w:val="-13"/>
          <w:sz w:val="24"/>
          <w:szCs w:val="24"/>
        </w:rPr>
        <w:t xml:space="preserve"> </w:t>
      </w:r>
      <w:r>
        <w:rPr>
          <w:rFonts w:ascii="Arial" w:hAnsi="Arial" w:cs="Times New Roman"/>
          <w:sz w:val="24"/>
          <w:szCs w:val="24"/>
        </w:rPr>
        <w:t>previdenciários</w:t>
      </w:r>
      <w:r>
        <w:rPr>
          <w:rFonts w:ascii="Arial" w:hAnsi="Arial" w:cs="Times New Roman"/>
          <w:spacing w:val="-11"/>
          <w:sz w:val="24"/>
          <w:szCs w:val="24"/>
        </w:rPr>
        <w:t xml:space="preserve"> </w:t>
      </w:r>
      <w:r>
        <w:rPr>
          <w:rFonts w:ascii="Arial" w:hAnsi="Arial" w:cs="Times New Roman"/>
          <w:sz w:val="24"/>
          <w:szCs w:val="24"/>
        </w:rPr>
        <w:t>até</w:t>
      </w:r>
      <w:r>
        <w:rPr>
          <w:rFonts w:ascii="Arial" w:hAnsi="Arial" w:cs="Times New Roman"/>
          <w:spacing w:val="-13"/>
          <w:sz w:val="24"/>
          <w:szCs w:val="24"/>
        </w:rPr>
        <w:t xml:space="preserve"> </w:t>
      </w:r>
      <w:r>
        <w:rPr>
          <w:rFonts w:ascii="Arial" w:hAnsi="Arial" w:cs="Times New Roman"/>
          <w:sz w:val="24"/>
          <w:szCs w:val="24"/>
        </w:rPr>
        <w:t>o</w:t>
      </w:r>
      <w:r>
        <w:rPr>
          <w:rFonts w:ascii="Arial" w:hAnsi="Arial" w:cs="Times New Roman"/>
          <w:spacing w:val="-15"/>
          <w:sz w:val="24"/>
          <w:szCs w:val="24"/>
        </w:rPr>
        <w:t xml:space="preserve"> </w:t>
      </w:r>
      <w:r>
        <w:rPr>
          <w:rFonts w:ascii="Arial" w:hAnsi="Arial" w:cs="Times New Roman"/>
          <w:sz w:val="24"/>
          <w:szCs w:val="24"/>
        </w:rPr>
        <w:t>acesso</w:t>
      </w:r>
      <w:r>
        <w:rPr>
          <w:rFonts w:ascii="Arial" w:hAnsi="Arial" w:cs="Times New Roman"/>
          <w:spacing w:val="-14"/>
          <w:sz w:val="24"/>
          <w:szCs w:val="24"/>
        </w:rPr>
        <w:t xml:space="preserve"> </w:t>
      </w:r>
      <w:r>
        <w:rPr>
          <w:rFonts w:ascii="Arial" w:hAnsi="Arial" w:cs="Times New Roman"/>
          <w:sz w:val="24"/>
          <w:szCs w:val="24"/>
        </w:rPr>
        <w:t>a</w:t>
      </w:r>
      <w:r>
        <w:rPr>
          <w:rFonts w:ascii="Arial" w:hAnsi="Arial" w:cs="Times New Roman"/>
          <w:spacing w:val="-16"/>
          <w:sz w:val="24"/>
          <w:szCs w:val="24"/>
        </w:rPr>
        <w:t xml:space="preserve"> </w:t>
      </w:r>
      <w:r>
        <w:rPr>
          <w:rFonts w:ascii="Arial" w:hAnsi="Arial" w:cs="Times New Roman"/>
          <w:sz w:val="24"/>
          <w:szCs w:val="24"/>
        </w:rPr>
        <w:t>serviços</w:t>
      </w:r>
      <w:r>
        <w:rPr>
          <w:rFonts w:ascii="Arial" w:hAnsi="Arial" w:cs="Times New Roman"/>
          <w:spacing w:val="-11"/>
          <w:sz w:val="24"/>
          <w:szCs w:val="24"/>
        </w:rPr>
        <w:t xml:space="preserve"> </w:t>
      </w:r>
      <w:r>
        <w:rPr>
          <w:rFonts w:ascii="Arial" w:hAnsi="Arial" w:cs="Times New Roman"/>
          <w:sz w:val="24"/>
          <w:szCs w:val="24"/>
        </w:rPr>
        <w:t>públicos</w:t>
      </w:r>
      <w:r>
        <w:rPr>
          <w:rFonts w:ascii="Arial" w:hAnsi="Arial" w:cs="Times New Roman"/>
          <w:spacing w:val="-14"/>
          <w:sz w:val="24"/>
          <w:szCs w:val="24"/>
        </w:rPr>
        <w:t xml:space="preserve"> </w:t>
      </w:r>
      <w:r>
        <w:rPr>
          <w:rFonts w:ascii="Arial" w:hAnsi="Arial" w:cs="Times New Roman"/>
          <w:sz w:val="24"/>
          <w:szCs w:val="24"/>
        </w:rPr>
        <w:t>digitalizados.</w:t>
      </w:r>
      <w:r>
        <w:rPr>
          <w:rFonts w:ascii="Arial" w:hAnsi="Arial" w:cs="Times New Roman"/>
          <w:spacing w:val="-11"/>
          <w:sz w:val="24"/>
          <w:szCs w:val="24"/>
        </w:rPr>
        <w:t xml:space="preserve"> </w:t>
      </w:r>
    </w:p>
    <w:p w:rsidR="009D60B7" w:rsidRDefault="00425C09">
      <w:pPr>
        <w:pStyle w:val="Corpodetexto"/>
        <w:spacing w:line="360" w:lineRule="auto"/>
        <w:ind w:left="113" w:firstLine="1020"/>
        <w:jc w:val="both"/>
        <w:rPr>
          <w:rFonts w:ascii="Arial" w:hAnsi="Arial"/>
          <w:sz w:val="24"/>
          <w:szCs w:val="24"/>
        </w:rPr>
      </w:pPr>
      <w:r>
        <w:rPr>
          <w:rFonts w:ascii="Arial" w:hAnsi="Arial" w:cs="Times New Roman"/>
          <w:sz w:val="24"/>
          <w:szCs w:val="24"/>
        </w:rPr>
        <w:t>A</w:t>
      </w:r>
      <w:r>
        <w:rPr>
          <w:rFonts w:ascii="Arial" w:hAnsi="Arial" w:cs="Times New Roman"/>
          <w:spacing w:val="-11"/>
          <w:sz w:val="24"/>
          <w:szCs w:val="24"/>
        </w:rPr>
        <w:t xml:space="preserve"> </w:t>
      </w:r>
      <w:r>
        <w:rPr>
          <w:rFonts w:ascii="Arial" w:hAnsi="Arial" w:cs="Times New Roman"/>
          <w:sz w:val="24"/>
          <w:szCs w:val="24"/>
        </w:rPr>
        <w:t>limitação informacional reforça outras formas de vulnerabilidade, como observa Martins (2015), a</w:t>
      </w:r>
      <w:r>
        <w:rPr>
          <w:rFonts w:ascii="Arial" w:hAnsi="Arial" w:cs="Times New Roman"/>
          <w:spacing w:val="-8"/>
          <w:sz w:val="24"/>
          <w:szCs w:val="24"/>
        </w:rPr>
        <w:t xml:space="preserve"> </w:t>
      </w:r>
      <w:r>
        <w:rPr>
          <w:rFonts w:ascii="Arial" w:hAnsi="Arial" w:cs="Times New Roman"/>
          <w:sz w:val="24"/>
          <w:szCs w:val="24"/>
        </w:rPr>
        <w:t>falta</w:t>
      </w:r>
      <w:r>
        <w:rPr>
          <w:rFonts w:ascii="Arial" w:hAnsi="Arial" w:cs="Times New Roman"/>
          <w:spacing w:val="-9"/>
          <w:sz w:val="24"/>
          <w:szCs w:val="24"/>
        </w:rPr>
        <w:t xml:space="preserve"> </w:t>
      </w:r>
      <w:r>
        <w:rPr>
          <w:rFonts w:ascii="Arial" w:hAnsi="Arial" w:cs="Times New Roman"/>
          <w:sz w:val="24"/>
          <w:szCs w:val="24"/>
        </w:rPr>
        <w:t>de</w:t>
      </w:r>
      <w:r>
        <w:rPr>
          <w:rFonts w:ascii="Arial" w:hAnsi="Arial" w:cs="Times New Roman"/>
          <w:spacing w:val="-2"/>
          <w:sz w:val="24"/>
          <w:szCs w:val="24"/>
        </w:rPr>
        <w:t xml:space="preserve"> </w:t>
      </w:r>
      <w:r>
        <w:rPr>
          <w:rFonts w:ascii="Arial" w:hAnsi="Arial" w:cs="Times New Roman"/>
          <w:sz w:val="24"/>
          <w:szCs w:val="24"/>
        </w:rPr>
        <w:t>domínio</w:t>
      </w:r>
      <w:r>
        <w:rPr>
          <w:rFonts w:ascii="Arial" w:hAnsi="Arial" w:cs="Times New Roman"/>
          <w:spacing w:val="-3"/>
          <w:sz w:val="24"/>
          <w:szCs w:val="24"/>
        </w:rPr>
        <w:t xml:space="preserve"> </w:t>
      </w:r>
      <w:r>
        <w:rPr>
          <w:rFonts w:ascii="Arial" w:hAnsi="Arial" w:cs="Times New Roman"/>
          <w:sz w:val="24"/>
          <w:szCs w:val="24"/>
        </w:rPr>
        <w:t>de</w:t>
      </w:r>
      <w:r>
        <w:rPr>
          <w:rFonts w:ascii="Arial" w:hAnsi="Arial" w:cs="Times New Roman"/>
          <w:spacing w:val="-2"/>
          <w:sz w:val="24"/>
          <w:szCs w:val="24"/>
        </w:rPr>
        <w:t xml:space="preserve"> </w:t>
      </w:r>
      <w:r>
        <w:rPr>
          <w:rFonts w:ascii="Arial" w:hAnsi="Arial" w:cs="Times New Roman"/>
          <w:sz w:val="24"/>
          <w:szCs w:val="24"/>
        </w:rPr>
        <w:t>informações</w:t>
      </w:r>
      <w:r>
        <w:rPr>
          <w:rFonts w:ascii="Arial" w:hAnsi="Arial" w:cs="Times New Roman"/>
          <w:spacing w:val="-5"/>
          <w:sz w:val="24"/>
          <w:szCs w:val="24"/>
        </w:rPr>
        <w:t xml:space="preserve"> </w:t>
      </w:r>
      <w:r>
        <w:rPr>
          <w:rFonts w:ascii="Arial" w:hAnsi="Arial" w:cs="Times New Roman"/>
          <w:sz w:val="24"/>
          <w:szCs w:val="24"/>
        </w:rPr>
        <w:t>básicas</w:t>
      </w:r>
      <w:r>
        <w:rPr>
          <w:rFonts w:ascii="Arial" w:hAnsi="Arial" w:cs="Times New Roman"/>
          <w:spacing w:val="-6"/>
          <w:sz w:val="24"/>
          <w:szCs w:val="24"/>
        </w:rPr>
        <w:t xml:space="preserve"> </w:t>
      </w:r>
      <w:r>
        <w:rPr>
          <w:rFonts w:ascii="Arial" w:hAnsi="Arial" w:cs="Times New Roman"/>
          <w:sz w:val="24"/>
          <w:szCs w:val="24"/>
        </w:rPr>
        <w:t>sobre</w:t>
      </w:r>
      <w:r>
        <w:rPr>
          <w:rFonts w:ascii="Arial" w:hAnsi="Arial" w:cs="Times New Roman"/>
          <w:spacing w:val="-3"/>
          <w:sz w:val="24"/>
          <w:szCs w:val="24"/>
        </w:rPr>
        <w:t xml:space="preserve"> </w:t>
      </w:r>
      <w:r>
        <w:rPr>
          <w:rFonts w:ascii="Arial" w:hAnsi="Arial" w:cs="Times New Roman"/>
          <w:sz w:val="24"/>
          <w:szCs w:val="24"/>
        </w:rPr>
        <w:t>legislação</w:t>
      </w:r>
      <w:r>
        <w:rPr>
          <w:rFonts w:ascii="Arial" w:hAnsi="Arial" w:cs="Times New Roman"/>
          <w:spacing w:val="-1"/>
          <w:sz w:val="24"/>
          <w:szCs w:val="24"/>
        </w:rPr>
        <w:t xml:space="preserve"> </w:t>
      </w:r>
      <w:r>
        <w:rPr>
          <w:rFonts w:ascii="Arial" w:hAnsi="Arial" w:cs="Times New Roman"/>
          <w:sz w:val="24"/>
          <w:szCs w:val="24"/>
        </w:rPr>
        <w:t>trabalhista</w:t>
      </w:r>
      <w:r>
        <w:rPr>
          <w:rFonts w:ascii="Arial" w:hAnsi="Arial" w:cs="Times New Roman"/>
          <w:spacing w:val="-3"/>
          <w:sz w:val="24"/>
          <w:szCs w:val="24"/>
        </w:rPr>
        <w:t xml:space="preserve"> </w:t>
      </w:r>
      <w:r>
        <w:rPr>
          <w:rFonts w:ascii="Arial" w:hAnsi="Arial" w:cs="Times New Roman"/>
          <w:sz w:val="24"/>
          <w:szCs w:val="24"/>
        </w:rPr>
        <w:t>e</w:t>
      </w:r>
      <w:r>
        <w:rPr>
          <w:rFonts w:ascii="Arial" w:hAnsi="Arial" w:cs="Times New Roman"/>
          <w:spacing w:val="-3"/>
          <w:sz w:val="24"/>
          <w:szCs w:val="24"/>
        </w:rPr>
        <w:t xml:space="preserve"> </w:t>
      </w:r>
      <w:r>
        <w:rPr>
          <w:rFonts w:ascii="Arial" w:hAnsi="Arial" w:cs="Times New Roman"/>
          <w:sz w:val="24"/>
          <w:szCs w:val="24"/>
        </w:rPr>
        <w:t>previdenciária facilita a exploração e dificulta a denúncia de irregularidades, de modo que essa desigualdade educacional e informacional se torna um obstáculo concreto ao exercício pleno da cidadania e ao acesso à justiça. Diante disso, a deficiência educacional e o acesso limitado à informação configuram dimensões centrais das vulnerabilidades do trabalhador rural, cuja superação demanda políticas públicas integradas, capazes de promover inclusão educacional, tecnológica e cidadã, reduzindo desigualdades historicamente produzidas.</w:t>
      </w:r>
    </w:p>
    <w:p w:rsidR="009D60B7" w:rsidRDefault="00425C09">
      <w:pPr>
        <w:pStyle w:val="Corpodetexto"/>
        <w:tabs>
          <w:tab w:val="left" w:pos="1187"/>
        </w:tabs>
        <w:spacing w:line="360" w:lineRule="auto"/>
        <w:ind w:left="113" w:right="113" w:firstLine="1020"/>
        <w:jc w:val="both"/>
        <w:rPr>
          <w:rFonts w:ascii="Arial" w:hAnsi="Arial"/>
          <w:sz w:val="24"/>
          <w:szCs w:val="24"/>
        </w:rPr>
      </w:pPr>
      <w:r>
        <w:rPr>
          <w:rFonts w:ascii="Arial" w:hAnsi="Arial" w:cs="Times New Roman"/>
          <w:sz w:val="24"/>
          <w:szCs w:val="24"/>
        </w:rPr>
        <w:t>Nesse</w:t>
      </w:r>
      <w:r>
        <w:rPr>
          <w:rFonts w:ascii="Arial" w:hAnsi="Arial" w:cs="Times New Roman"/>
          <w:spacing w:val="-13"/>
          <w:sz w:val="24"/>
          <w:szCs w:val="24"/>
        </w:rPr>
        <w:t xml:space="preserve"> </w:t>
      </w:r>
      <w:r>
        <w:rPr>
          <w:rFonts w:ascii="Arial" w:hAnsi="Arial" w:cs="Times New Roman"/>
          <w:sz w:val="24"/>
          <w:szCs w:val="24"/>
        </w:rPr>
        <w:t>contexto</w:t>
      </w:r>
      <w:r>
        <w:rPr>
          <w:rFonts w:ascii="Arial" w:hAnsi="Arial" w:cs="Times New Roman"/>
          <w:spacing w:val="-15"/>
          <w:sz w:val="24"/>
          <w:szCs w:val="24"/>
        </w:rPr>
        <w:t xml:space="preserve"> </w:t>
      </w:r>
      <w:r>
        <w:rPr>
          <w:rFonts w:ascii="Arial" w:hAnsi="Arial" w:cs="Times New Roman"/>
          <w:sz w:val="24"/>
          <w:szCs w:val="24"/>
        </w:rPr>
        <w:t>de</w:t>
      </w:r>
      <w:r>
        <w:rPr>
          <w:rFonts w:ascii="Arial" w:hAnsi="Arial" w:cs="Times New Roman"/>
          <w:spacing w:val="-14"/>
          <w:sz w:val="24"/>
          <w:szCs w:val="24"/>
        </w:rPr>
        <w:t xml:space="preserve"> </w:t>
      </w:r>
      <w:r>
        <w:rPr>
          <w:rFonts w:ascii="Arial" w:hAnsi="Arial" w:cs="Times New Roman"/>
          <w:sz w:val="24"/>
          <w:szCs w:val="24"/>
        </w:rPr>
        <w:t>fragilidade</w:t>
      </w:r>
      <w:r>
        <w:rPr>
          <w:rFonts w:ascii="Arial" w:hAnsi="Arial" w:cs="Times New Roman"/>
          <w:spacing w:val="-13"/>
          <w:sz w:val="24"/>
          <w:szCs w:val="24"/>
        </w:rPr>
        <w:t xml:space="preserve"> </w:t>
      </w:r>
      <w:r>
        <w:rPr>
          <w:rFonts w:ascii="Arial" w:hAnsi="Arial" w:cs="Times New Roman"/>
          <w:sz w:val="24"/>
          <w:szCs w:val="24"/>
        </w:rPr>
        <w:t>educacional</w:t>
      </w:r>
      <w:r>
        <w:rPr>
          <w:rFonts w:ascii="Arial" w:hAnsi="Arial" w:cs="Times New Roman"/>
          <w:spacing w:val="-17"/>
          <w:sz w:val="24"/>
          <w:szCs w:val="24"/>
        </w:rPr>
        <w:t xml:space="preserve"> </w:t>
      </w:r>
      <w:r>
        <w:rPr>
          <w:rFonts w:ascii="Arial" w:hAnsi="Arial" w:cs="Times New Roman"/>
          <w:sz w:val="24"/>
          <w:szCs w:val="24"/>
        </w:rPr>
        <w:t>e</w:t>
      </w:r>
      <w:r>
        <w:rPr>
          <w:rFonts w:ascii="Arial" w:hAnsi="Arial" w:cs="Times New Roman"/>
          <w:spacing w:val="-13"/>
          <w:sz w:val="24"/>
          <w:szCs w:val="24"/>
        </w:rPr>
        <w:t xml:space="preserve"> </w:t>
      </w:r>
      <w:r>
        <w:rPr>
          <w:rFonts w:ascii="Arial" w:hAnsi="Arial" w:cs="Times New Roman"/>
          <w:sz w:val="24"/>
          <w:szCs w:val="24"/>
        </w:rPr>
        <w:t>de</w:t>
      </w:r>
      <w:r>
        <w:rPr>
          <w:rFonts w:ascii="Arial" w:hAnsi="Arial" w:cs="Times New Roman"/>
          <w:spacing w:val="-15"/>
          <w:sz w:val="24"/>
          <w:szCs w:val="24"/>
        </w:rPr>
        <w:t xml:space="preserve"> </w:t>
      </w:r>
      <w:r>
        <w:rPr>
          <w:rFonts w:ascii="Arial" w:hAnsi="Arial" w:cs="Times New Roman"/>
          <w:sz w:val="24"/>
          <w:szCs w:val="24"/>
        </w:rPr>
        <w:t>limitação</w:t>
      </w:r>
      <w:r>
        <w:rPr>
          <w:rFonts w:ascii="Arial" w:hAnsi="Arial" w:cs="Times New Roman"/>
          <w:spacing w:val="-15"/>
          <w:sz w:val="24"/>
          <w:szCs w:val="24"/>
        </w:rPr>
        <w:t xml:space="preserve"> </w:t>
      </w:r>
      <w:r>
        <w:rPr>
          <w:rFonts w:ascii="Arial" w:hAnsi="Arial" w:cs="Times New Roman"/>
          <w:sz w:val="24"/>
          <w:szCs w:val="24"/>
        </w:rPr>
        <w:t>no</w:t>
      </w:r>
      <w:r>
        <w:rPr>
          <w:rFonts w:ascii="Arial" w:hAnsi="Arial" w:cs="Times New Roman"/>
          <w:spacing w:val="-10"/>
          <w:sz w:val="24"/>
          <w:szCs w:val="24"/>
        </w:rPr>
        <w:t xml:space="preserve"> </w:t>
      </w:r>
      <w:r>
        <w:rPr>
          <w:rFonts w:ascii="Arial" w:hAnsi="Arial" w:cs="Times New Roman"/>
          <w:sz w:val="24"/>
          <w:szCs w:val="24"/>
        </w:rPr>
        <w:t>acesso</w:t>
      </w:r>
      <w:r>
        <w:rPr>
          <w:rFonts w:ascii="Arial" w:hAnsi="Arial" w:cs="Times New Roman"/>
          <w:spacing w:val="-13"/>
          <w:sz w:val="24"/>
          <w:szCs w:val="24"/>
        </w:rPr>
        <w:t xml:space="preserve"> </w:t>
      </w:r>
      <w:r>
        <w:rPr>
          <w:rFonts w:ascii="Arial" w:hAnsi="Arial" w:cs="Times New Roman"/>
          <w:sz w:val="24"/>
          <w:szCs w:val="24"/>
        </w:rPr>
        <w:t>à</w:t>
      </w:r>
      <w:r>
        <w:rPr>
          <w:rFonts w:ascii="Arial" w:hAnsi="Arial" w:cs="Times New Roman"/>
          <w:spacing w:val="-15"/>
          <w:sz w:val="24"/>
          <w:szCs w:val="24"/>
        </w:rPr>
        <w:t xml:space="preserve"> </w:t>
      </w:r>
      <w:r>
        <w:rPr>
          <w:rFonts w:ascii="Arial" w:hAnsi="Arial" w:cs="Times New Roman"/>
          <w:sz w:val="24"/>
          <w:szCs w:val="24"/>
        </w:rPr>
        <w:t>informação, outros obstáculos concretos agravam ainda mais a situação previdenciária do trabalhador</w:t>
      </w:r>
      <w:r>
        <w:rPr>
          <w:rFonts w:ascii="Arial" w:hAnsi="Arial" w:cs="Times New Roman"/>
          <w:spacing w:val="-2"/>
          <w:sz w:val="24"/>
          <w:szCs w:val="24"/>
        </w:rPr>
        <w:t xml:space="preserve"> </w:t>
      </w:r>
      <w:r>
        <w:rPr>
          <w:rFonts w:ascii="Arial" w:hAnsi="Arial" w:cs="Times New Roman"/>
          <w:sz w:val="24"/>
          <w:szCs w:val="24"/>
        </w:rPr>
        <w:t>rural.</w:t>
      </w:r>
      <w:r>
        <w:rPr>
          <w:rFonts w:ascii="Arial" w:hAnsi="Arial" w:cs="Times New Roman"/>
          <w:spacing w:val="-2"/>
          <w:sz w:val="24"/>
          <w:szCs w:val="24"/>
        </w:rPr>
        <w:t xml:space="preserve"> </w:t>
      </w:r>
      <w:r>
        <w:rPr>
          <w:rFonts w:ascii="Arial" w:hAnsi="Arial" w:cs="Times New Roman"/>
          <w:sz w:val="24"/>
          <w:szCs w:val="24"/>
        </w:rPr>
        <w:t>Conforme Farias</w:t>
      </w:r>
      <w:r>
        <w:rPr>
          <w:rFonts w:ascii="Arial" w:hAnsi="Arial" w:cs="Times New Roman"/>
          <w:spacing w:val="-2"/>
          <w:sz w:val="24"/>
          <w:szCs w:val="24"/>
        </w:rPr>
        <w:t xml:space="preserve"> </w:t>
      </w:r>
      <w:r>
        <w:rPr>
          <w:rFonts w:ascii="Arial" w:hAnsi="Arial" w:cs="Times New Roman"/>
          <w:sz w:val="24"/>
          <w:szCs w:val="24"/>
        </w:rPr>
        <w:t>(2020),</w:t>
      </w:r>
      <w:r>
        <w:rPr>
          <w:rFonts w:ascii="Arial" w:hAnsi="Arial" w:cs="Times New Roman"/>
          <w:spacing w:val="-2"/>
          <w:sz w:val="24"/>
          <w:szCs w:val="24"/>
        </w:rPr>
        <w:t xml:space="preserve"> </w:t>
      </w:r>
      <w:r>
        <w:rPr>
          <w:rFonts w:ascii="Arial" w:hAnsi="Arial" w:cs="Times New Roman"/>
          <w:sz w:val="24"/>
          <w:szCs w:val="24"/>
        </w:rPr>
        <w:t>trabalhadores</w:t>
      </w:r>
      <w:r>
        <w:rPr>
          <w:rFonts w:ascii="Arial" w:hAnsi="Arial" w:cs="Times New Roman"/>
          <w:spacing w:val="-2"/>
          <w:sz w:val="24"/>
          <w:szCs w:val="24"/>
        </w:rPr>
        <w:t xml:space="preserve"> </w:t>
      </w:r>
      <w:r>
        <w:rPr>
          <w:rFonts w:ascii="Arial" w:hAnsi="Arial" w:cs="Times New Roman"/>
          <w:sz w:val="24"/>
          <w:szCs w:val="24"/>
        </w:rPr>
        <w:t>rurais</w:t>
      </w:r>
      <w:r>
        <w:rPr>
          <w:rFonts w:ascii="Arial" w:hAnsi="Arial" w:cs="Times New Roman"/>
          <w:spacing w:val="-2"/>
          <w:sz w:val="24"/>
          <w:szCs w:val="24"/>
        </w:rPr>
        <w:t xml:space="preserve"> </w:t>
      </w:r>
      <w:r>
        <w:rPr>
          <w:rFonts w:ascii="Arial" w:hAnsi="Arial" w:cs="Times New Roman"/>
          <w:sz w:val="24"/>
          <w:szCs w:val="24"/>
        </w:rPr>
        <w:t xml:space="preserve">enfrentam dificuldades específicas para acessar benefícios previdenciários, uma vez que as exigências documentais do INSS não correspondem à realidade do campo. </w:t>
      </w:r>
    </w:p>
    <w:p w:rsidR="009D60B7" w:rsidRDefault="00425C09">
      <w:pPr>
        <w:pStyle w:val="Corpodetexto"/>
        <w:spacing w:line="360" w:lineRule="auto"/>
        <w:ind w:left="113" w:right="113" w:firstLine="1020"/>
        <w:jc w:val="both"/>
        <w:rPr>
          <w:rFonts w:ascii="Arial" w:hAnsi="Arial"/>
          <w:sz w:val="24"/>
          <w:szCs w:val="24"/>
        </w:rPr>
      </w:pPr>
      <w:r>
        <w:rPr>
          <w:rFonts w:ascii="Arial" w:hAnsi="Arial" w:cs="Times New Roman"/>
          <w:sz w:val="24"/>
          <w:szCs w:val="24"/>
        </w:rPr>
        <w:lastRenderedPageBreak/>
        <w:t>A ausência de contratos, registros formais e documentos das propriedade, que são comuns na rotina agrícola, gera indeferimentos mesmo que haja efetivo exercício da atividade rural. O autor também aponta que a complexidade da autodeclaração rural, a falta de orientação técnica e o enfraquecimento de sindicatos e associações e como isso contribuí  para que muitos trabalhadores, com</w:t>
      </w:r>
      <w:r>
        <w:rPr>
          <w:rFonts w:ascii="Arial" w:hAnsi="Arial" w:cs="Times New Roman"/>
          <w:spacing w:val="-2"/>
          <w:sz w:val="24"/>
          <w:szCs w:val="24"/>
        </w:rPr>
        <w:t xml:space="preserve"> </w:t>
      </w:r>
      <w:r>
        <w:rPr>
          <w:rFonts w:ascii="Arial" w:hAnsi="Arial" w:cs="Times New Roman"/>
          <w:sz w:val="24"/>
          <w:szCs w:val="24"/>
        </w:rPr>
        <w:t>pouca</w:t>
      </w:r>
      <w:r>
        <w:rPr>
          <w:rFonts w:ascii="Arial" w:hAnsi="Arial" w:cs="Times New Roman"/>
          <w:spacing w:val="-3"/>
          <w:sz w:val="24"/>
          <w:szCs w:val="24"/>
        </w:rPr>
        <w:t xml:space="preserve"> </w:t>
      </w:r>
      <w:r>
        <w:rPr>
          <w:rFonts w:ascii="Arial" w:hAnsi="Arial" w:cs="Times New Roman"/>
          <w:sz w:val="24"/>
          <w:szCs w:val="24"/>
        </w:rPr>
        <w:t>escolaridade</w:t>
      </w:r>
      <w:r>
        <w:rPr>
          <w:rFonts w:ascii="Arial" w:hAnsi="Arial" w:cs="Times New Roman"/>
          <w:spacing w:val="-2"/>
          <w:sz w:val="24"/>
          <w:szCs w:val="24"/>
        </w:rPr>
        <w:t xml:space="preserve"> </w:t>
      </w:r>
      <w:r>
        <w:rPr>
          <w:rFonts w:ascii="Arial" w:hAnsi="Arial" w:cs="Times New Roman"/>
          <w:sz w:val="24"/>
          <w:szCs w:val="24"/>
        </w:rPr>
        <w:t>e</w:t>
      </w:r>
      <w:r>
        <w:rPr>
          <w:rFonts w:ascii="Arial" w:hAnsi="Arial" w:cs="Times New Roman"/>
          <w:spacing w:val="-1"/>
          <w:sz w:val="24"/>
          <w:szCs w:val="24"/>
        </w:rPr>
        <w:t xml:space="preserve"> </w:t>
      </w:r>
      <w:r>
        <w:rPr>
          <w:rFonts w:ascii="Arial" w:hAnsi="Arial" w:cs="Times New Roman"/>
          <w:sz w:val="24"/>
          <w:szCs w:val="24"/>
        </w:rPr>
        <w:t>acesso restrito à</w:t>
      </w:r>
      <w:r>
        <w:rPr>
          <w:rFonts w:ascii="Arial" w:hAnsi="Arial" w:cs="Times New Roman"/>
          <w:spacing w:val="-2"/>
          <w:sz w:val="24"/>
          <w:szCs w:val="24"/>
        </w:rPr>
        <w:t xml:space="preserve"> </w:t>
      </w:r>
      <w:r>
        <w:rPr>
          <w:rFonts w:ascii="Arial" w:hAnsi="Arial" w:cs="Times New Roman"/>
          <w:sz w:val="24"/>
          <w:szCs w:val="24"/>
        </w:rPr>
        <w:t>internet,</w:t>
      </w:r>
      <w:r>
        <w:rPr>
          <w:rFonts w:ascii="Arial" w:hAnsi="Arial" w:cs="Times New Roman"/>
          <w:spacing w:val="-5"/>
          <w:sz w:val="24"/>
          <w:szCs w:val="24"/>
        </w:rPr>
        <w:t xml:space="preserve"> </w:t>
      </w:r>
      <w:r>
        <w:rPr>
          <w:rFonts w:ascii="Arial" w:hAnsi="Arial" w:cs="Times New Roman"/>
          <w:sz w:val="24"/>
          <w:szCs w:val="24"/>
        </w:rPr>
        <w:t>fiquem excluídos de direitos garantidos constitucionalmente  Farias</w:t>
      </w:r>
      <w:r>
        <w:rPr>
          <w:rFonts w:ascii="Arial" w:hAnsi="Arial" w:cs="Times New Roman"/>
          <w:spacing w:val="-2"/>
          <w:sz w:val="24"/>
          <w:szCs w:val="24"/>
        </w:rPr>
        <w:t xml:space="preserve"> </w:t>
      </w:r>
      <w:r>
        <w:rPr>
          <w:rFonts w:ascii="Arial" w:hAnsi="Arial" w:cs="Times New Roman"/>
          <w:sz w:val="24"/>
          <w:szCs w:val="24"/>
        </w:rPr>
        <w:t>(2020).</w:t>
      </w:r>
    </w:p>
    <w:p w:rsidR="009D60B7" w:rsidRDefault="009D60B7">
      <w:pPr>
        <w:pStyle w:val="Corpodetexto"/>
        <w:spacing w:line="360" w:lineRule="auto"/>
        <w:rPr>
          <w:rFonts w:ascii="Arial" w:hAnsi="Arial" w:cs="Times New Roman"/>
          <w:sz w:val="24"/>
          <w:szCs w:val="24"/>
        </w:rPr>
      </w:pPr>
    </w:p>
    <w:p w:rsidR="009D60B7" w:rsidRDefault="00425C09">
      <w:pPr>
        <w:pStyle w:val="PargrafodaLista"/>
        <w:tabs>
          <w:tab w:val="left" w:pos="543"/>
        </w:tabs>
        <w:spacing w:line="360" w:lineRule="auto"/>
        <w:ind w:left="141"/>
        <w:jc w:val="both"/>
        <w:rPr>
          <w:rFonts w:ascii="Arial" w:hAnsi="Arial"/>
          <w:sz w:val="24"/>
          <w:szCs w:val="24"/>
        </w:rPr>
      </w:pPr>
      <w:r>
        <w:rPr>
          <w:rFonts w:ascii="Arial" w:hAnsi="Arial" w:cs="Times New Roman"/>
          <w:spacing w:val="-5"/>
          <w:sz w:val="24"/>
          <w:szCs w:val="24"/>
          <w:lang w:val="pt-BR"/>
        </w:rPr>
        <w:t xml:space="preserve">1.3 </w:t>
      </w:r>
      <w:r>
        <w:rPr>
          <w:rFonts w:ascii="Arial" w:hAnsi="Arial" w:cs="Times New Roman"/>
          <w:spacing w:val="-5"/>
          <w:sz w:val="24"/>
          <w:szCs w:val="24"/>
        </w:rPr>
        <w:t>Idosos</w:t>
      </w:r>
      <w:r>
        <w:rPr>
          <w:rFonts w:ascii="Arial" w:hAnsi="Arial" w:cs="Times New Roman"/>
          <w:spacing w:val="-3"/>
          <w:sz w:val="24"/>
          <w:szCs w:val="24"/>
        </w:rPr>
        <w:t xml:space="preserve"> </w:t>
      </w:r>
      <w:r>
        <w:rPr>
          <w:rFonts w:ascii="Arial" w:hAnsi="Arial" w:cs="Times New Roman"/>
          <w:sz w:val="24"/>
          <w:szCs w:val="24"/>
        </w:rPr>
        <w:t>no</w:t>
      </w:r>
      <w:r>
        <w:rPr>
          <w:rFonts w:ascii="Arial" w:hAnsi="Arial" w:cs="Times New Roman"/>
          <w:spacing w:val="-1"/>
          <w:sz w:val="24"/>
          <w:szCs w:val="24"/>
        </w:rPr>
        <w:t xml:space="preserve"> </w:t>
      </w:r>
      <w:r>
        <w:rPr>
          <w:rFonts w:ascii="Arial" w:hAnsi="Arial" w:cs="Times New Roman"/>
          <w:sz w:val="24"/>
          <w:szCs w:val="24"/>
        </w:rPr>
        <w:t>Campo,</w:t>
      </w:r>
      <w:r>
        <w:rPr>
          <w:rFonts w:ascii="Arial" w:hAnsi="Arial" w:cs="Times New Roman"/>
          <w:spacing w:val="-1"/>
          <w:sz w:val="24"/>
          <w:szCs w:val="24"/>
        </w:rPr>
        <w:t xml:space="preserve"> </w:t>
      </w:r>
      <w:r>
        <w:rPr>
          <w:rFonts w:ascii="Arial" w:hAnsi="Arial" w:cs="Times New Roman"/>
          <w:sz w:val="24"/>
          <w:szCs w:val="24"/>
        </w:rPr>
        <w:t>Condições</w:t>
      </w:r>
      <w:r>
        <w:rPr>
          <w:rFonts w:ascii="Arial" w:hAnsi="Arial" w:cs="Times New Roman"/>
          <w:spacing w:val="-1"/>
          <w:sz w:val="24"/>
          <w:szCs w:val="24"/>
        </w:rPr>
        <w:t xml:space="preserve"> </w:t>
      </w:r>
      <w:r>
        <w:rPr>
          <w:rFonts w:ascii="Arial" w:hAnsi="Arial" w:cs="Times New Roman"/>
          <w:sz w:val="24"/>
          <w:szCs w:val="24"/>
        </w:rPr>
        <w:t>de</w:t>
      </w:r>
      <w:r>
        <w:rPr>
          <w:rFonts w:ascii="Arial" w:hAnsi="Arial" w:cs="Times New Roman"/>
          <w:spacing w:val="-1"/>
          <w:sz w:val="24"/>
          <w:szCs w:val="24"/>
        </w:rPr>
        <w:t xml:space="preserve"> </w:t>
      </w:r>
      <w:r>
        <w:rPr>
          <w:rFonts w:ascii="Arial" w:hAnsi="Arial" w:cs="Times New Roman"/>
          <w:sz w:val="24"/>
          <w:szCs w:val="24"/>
        </w:rPr>
        <w:t>Vida</w:t>
      </w:r>
      <w:r>
        <w:rPr>
          <w:rFonts w:ascii="Arial" w:hAnsi="Arial" w:cs="Times New Roman"/>
          <w:spacing w:val="1"/>
          <w:sz w:val="24"/>
          <w:szCs w:val="24"/>
        </w:rPr>
        <w:t xml:space="preserve"> </w:t>
      </w:r>
      <w:r>
        <w:rPr>
          <w:rFonts w:ascii="Arial" w:hAnsi="Arial" w:cs="Times New Roman"/>
          <w:sz w:val="24"/>
          <w:szCs w:val="24"/>
        </w:rPr>
        <w:t>e</w:t>
      </w:r>
      <w:r>
        <w:rPr>
          <w:rFonts w:ascii="Arial" w:hAnsi="Arial" w:cs="Times New Roman"/>
          <w:spacing w:val="-5"/>
          <w:sz w:val="24"/>
          <w:szCs w:val="24"/>
        </w:rPr>
        <w:t xml:space="preserve"> </w:t>
      </w:r>
      <w:r>
        <w:rPr>
          <w:rFonts w:ascii="Arial" w:hAnsi="Arial" w:cs="Times New Roman"/>
          <w:sz w:val="24"/>
          <w:szCs w:val="24"/>
        </w:rPr>
        <w:t>Principais</w:t>
      </w:r>
      <w:r>
        <w:rPr>
          <w:rFonts w:ascii="Arial" w:hAnsi="Arial" w:cs="Times New Roman"/>
          <w:spacing w:val="-2"/>
          <w:sz w:val="24"/>
          <w:szCs w:val="24"/>
        </w:rPr>
        <w:t xml:space="preserve"> Desafios</w:t>
      </w:r>
    </w:p>
    <w:p w:rsidR="009D60B7" w:rsidRDefault="00425C09">
      <w:pPr>
        <w:pStyle w:val="Corpodetexto"/>
        <w:spacing w:line="360" w:lineRule="auto"/>
        <w:ind w:left="14" w:right="113" w:firstLine="1120"/>
        <w:jc w:val="both"/>
        <w:rPr>
          <w:rFonts w:ascii="Arial" w:hAnsi="Arial"/>
          <w:sz w:val="24"/>
          <w:szCs w:val="24"/>
        </w:rPr>
      </w:pPr>
      <w:r>
        <w:rPr>
          <w:rFonts w:ascii="Arial" w:hAnsi="Arial" w:cs="Times New Roman"/>
          <w:sz w:val="24"/>
          <w:szCs w:val="24"/>
        </w:rPr>
        <w:t>O envelhecimento da população brasileira já perceptível de maneira expressiva no meio rural, pois migração de jovens para as cidades</w:t>
      </w:r>
      <w:r>
        <w:rPr>
          <w:rFonts w:ascii="Arial" w:hAnsi="Arial" w:cs="Times New Roman"/>
          <w:spacing w:val="-9"/>
          <w:sz w:val="24"/>
          <w:szCs w:val="24"/>
        </w:rPr>
        <w:t xml:space="preserve"> </w:t>
      </w:r>
      <w:r>
        <w:rPr>
          <w:rFonts w:ascii="Arial" w:hAnsi="Arial" w:cs="Times New Roman"/>
          <w:sz w:val="24"/>
          <w:szCs w:val="24"/>
        </w:rPr>
        <w:t>e</w:t>
      </w:r>
      <w:r>
        <w:rPr>
          <w:rFonts w:ascii="Arial" w:hAnsi="Arial" w:cs="Times New Roman"/>
          <w:spacing w:val="-7"/>
          <w:sz w:val="24"/>
          <w:szCs w:val="24"/>
        </w:rPr>
        <w:t xml:space="preserve"> </w:t>
      </w:r>
      <w:r>
        <w:rPr>
          <w:rFonts w:ascii="Arial" w:hAnsi="Arial" w:cs="Times New Roman"/>
          <w:sz w:val="24"/>
          <w:szCs w:val="24"/>
        </w:rPr>
        <w:t>a</w:t>
      </w:r>
      <w:r>
        <w:rPr>
          <w:rFonts w:ascii="Arial" w:hAnsi="Arial" w:cs="Times New Roman"/>
          <w:spacing w:val="-4"/>
          <w:sz w:val="24"/>
          <w:szCs w:val="24"/>
        </w:rPr>
        <w:t xml:space="preserve"> </w:t>
      </w:r>
      <w:r>
        <w:rPr>
          <w:rFonts w:ascii="Arial" w:hAnsi="Arial" w:cs="Times New Roman"/>
          <w:sz w:val="24"/>
          <w:szCs w:val="24"/>
        </w:rPr>
        <w:t>permanência</w:t>
      </w:r>
      <w:r>
        <w:rPr>
          <w:rFonts w:ascii="Arial" w:hAnsi="Arial" w:cs="Times New Roman"/>
          <w:spacing w:val="-2"/>
          <w:sz w:val="24"/>
          <w:szCs w:val="24"/>
        </w:rPr>
        <w:t xml:space="preserve"> </w:t>
      </w:r>
      <w:r>
        <w:rPr>
          <w:rFonts w:ascii="Arial" w:hAnsi="Arial" w:cs="Times New Roman"/>
          <w:sz w:val="24"/>
          <w:szCs w:val="24"/>
        </w:rPr>
        <w:t>dos</w:t>
      </w:r>
      <w:r>
        <w:rPr>
          <w:rFonts w:ascii="Arial" w:hAnsi="Arial" w:cs="Times New Roman"/>
          <w:spacing w:val="-9"/>
          <w:sz w:val="24"/>
          <w:szCs w:val="24"/>
        </w:rPr>
        <w:t xml:space="preserve"> </w:t>
      </w:r>
      <w:r>
        <w:rPr>
          <w:rFonts w:ascii="Arial" w:hAnsi="Arial" w:cs="Times New Roman"/>
          <w:sz w:val="24"/>
          <w:szCs w:val="24"/>
        </w:rPr>
        <w:t>mais</w:t>
      </w:r>
      <w:r>
        <w:rPr>
          <w:rFonts w:ascii="Arial" w:hAnsi="Arial" w:cs="Times New Roman"/>
          <w:spacing w:val="-7"/>
          <w:sz w:val="24"/>
          <w:szCs w:val="24"/>
        </w:rPr>
        <w:t xml:space="preserve"> </w:t>
      </w:r>
      <w:r>
        <w:rPr>
          <w:rFonts w:ascii="Arial" w:hAnsi="Arial" w:cs="Times New Roman"/>
          <w:sz w:val="24"/>
          <w:szCs w:val="24"/>
        </w:rPr>
        <w:t>velhos</w:t>
      </w:r>
      <w:r>
        <w:rPr>
          <w:rFonts w:ascii="Arial" w:hAnsi="Arial" w:cs="Times New Roman"/>
          <w:spacing w:val="-2"/>
          <w:sz w:val="24"/>
          <w:szCs w:val="24"/>
        </w:rPr>
        <w:t xml:space="preserve"> </w:t>
      </w:r>
      <w:r>
        <w:rPr>
          <w:rFonts w:ascii="Arial" w:hAnsi="Arial" w:cs="Times New Roman"/>
          <w:sz w:val="24"/>
          <w:szCs w:val="24"/>
        </w:rPr>
        <w:t>no</w:t>
      </w:r>
      <w:r>
        <w:rPr>
          <w:rFonts w:ascii="Arial" w:hAnsi="Arial" w:cs="Times New Roman"/>
          <w:spacing w:val="-8"/>
          <w:sz w:val="24"/>
          <w:szCs w:val="24"/>
        </w:rPr>
        <w:t xml:space="preserve"> </w:t>
      </w:r>
      <w:r>
        <w:rPr>
          <w:rFonts w:ascii="Arial" w:hAnsi="Arial" w:cs="Times New Roman"/>
          <w:sz w:val="24"/>
          <w:szCs w:val="24"/>
        </w:rPr>
        <w:t>campo</w:t>
      </w:r>
      <w:r>
        <w:rPr>
          <w:rFonts w:ascii="Arial" w:hAnsi="Arial" w:cs="Times New Roman"/>
          <w:spacing w:val="-7"/>
          <w:sz w:val="24"/>
          <w:szCs w:val="24"/>
        </w:rPr>
        <w:t xml:space="preserve"> </w:t>
      </w:r>
      <w:r>
        <w:rPr>
          <w:rFonts w:ascii="Arial" w:hAnsi="Arial" w:cs="Times New Roman"/>
          <w:sz w:val="24"/>
          <w:szCs w:val="24"/>
        </w:rPr>
        <w:t>têm</w:t>
      </w:r>
      <w:r>
        <w:rPr>
          <w:rFonts w:ascii="Arial" w:hAnsi="Arial" w:cs="Times New Roman"/>
          <w:spacing w:val="-3"/>
          <w:sz w:val="24"/>
          <w:szCs w:val="24"/>
        </w:rPr>
        <w:t xml:space="preserve"> </w:t>
      </w:r>
      <w:r>
        <w:rPr>
          <w:rFonts w:ascii="Arial" w:hAnsi="Arial" w:cs="Times New Roman"/>
          <w:sz w:val="24"/>
          <w:szCs w:val="24"/>
        </w:rPr>
        <w:t>resultado</w:t>
      </w:r>
      <w:r>
        <w:rPr>
          <w:rFonts w:ascii="Arial" w:hAnsi="Arial" w:cs="Times New Roman"/>
          <w:spacing w:val="-7"/>
          <w:sz w:val="24"/>
          <w:szCs w:val="24"/>
        </w:rPr>
        <w:t xml:space="preserve"> </w:t>
      </w:r>
      <w:r>
        <w:rPr>
          <w:rFonts w:ascii="Arial" w:hAnsi="Arial" w:cs="Times New Roman"/>
          <w:sz w:val="24"/>
          <w:szCs w:val="24"/>
        </w:rPr>
        <w:t>em</w:t>
      </w:r>
      <w:r>
        <w:rPr>
          <w:rFonts w:ascii="Arial" w:hAnsi="Arial" w:cs="Times New Roman"/>
          <w:spacing w:val="-3"/>
          <w:sz w:val="24"/>
          <w:szCs w:val="24"/>
        </w:rPr>
        <w:t xml:space="preserve"> </w:t>
      </w:r>
      <w:r>
        <w:rPr>
          <w:rFonts w:ascii="Arial" w:hAnsi="Arial" w:cs="Times New Roman"/>
          <w:sz w:val="24"/>
          <w:szCs w:val="24"/>
        </w:rPr>
        <w:t>um</w:t>
      </w:r>
      <w:r>
        <w:rPr>
          <w:rFonts w:ascii="Arial" w:hAnsi="Arial" w:cs="Times New Roman"/>
          <w:spacing w:val="-5"/>
          <w:sz w:val="24"/>
          <w:szCs w:val="24"/>
        </w:rPr>
        <w:t xml:space="preserve"> </w:t>
      </w:r>
      <w:r>
        <w:rPr>
          <w:rFonts w:ascii="Arial" w:hAnsi="Arial" w:cs="Times New Roman"/>
          <w:sz w:val="24"/>
          <w:szCs w:val="24"/>
        </w:rPr>
        <w:t>processo de envelhecimento acelerado das comunidades rurais Camarano; Kanso, (2016), dinâmica</w:t>
      </w:r>
      <w:r>
        <w:rPr>
          <w:rFonts w:ascii="Arial" w:hAnsi="Arial" w:cs="Times New Roman"/>
          <w:spacing w:val="-19"/>
          <w:sz w:val="24"/>
          <w:szCs w:val="24"/>
        </w:rPr>
        <w:t xml:space="preserve"> </w:t>
      </w:r>
      <w:r>
        <w:rPr>
          <w:rFonts w:ascii="Arial" w:hAnsi="Arial" w:cs="Times New Roman"/>
          <w:sz w:val="24"/>
          <w:szCs w:val="24"/>
        </w:rPr>
        <w:t>que</w:t>
      </w:r>
      <w:r>
        <w:rPr>
          <w:rFonts w:ascii="Arial" w:hAnsi="Arial" w:cs="Times New Roman"/>
          <w:spacing w:val="-17"/>
          <w:sz w:val="24"/>
          <w:szCs w:val="24"/>
        </w:rPr>
        <w:t xml:space="preserve"> </w:t>
      </w:r>
      <w:r>
        <w:rPr>
          <w:rFonts w:ascii="Arial" w:hAnsi="Arial" w:cs="Times New Roman"/>
          <w:sz w:val="24"/>
          <w:szCs w:val="24"/>
        </w:rPr>
        <w:t>produz</w:t>
      </w:r>
      <w:r>
        <w:rPr>
          <w:rFonts w:ascii="Arial" w:hAnsi="Arial" w:cs="Times New Roman"/>
          <w:spacing w:val="-17"/>
          <w:sz w:val="24"/>
          <w:szCs w:val="24"/>
        </w:rPr>
        <w:t xml:space="preserve"> </w:t>
      </w:r>
      <w:r>
        <w:rPr>
          <w:rFonts w:ascii="Arial" w:hAnsi="Arial" w:cs="Times New Roman"/>
          <w:sz w:val="24"/>
          <w:szCs w:val="24"/>
        </w:rPr>
        <w:t>impactos</w:t>
      </w:r>
      <w:r>
        <w:rPr>
          <w:rFonts w:ascii="Arial" w:hAnsi="Arial" w:cs="Times New Roman"/>
          <w:spacing w:val="-17"/>
          <w:sz w:val="24"/>
          <w:szCs w:val="24"/>
        </w:rPr>
        <w:t xml:space="preserve"> </w:t>
      </w:r>
      <w:r>
        <w:rPr>
          <w:rFonts w:ascii="Arial" w:hAnsi="Arial" w:cs="Times New Roman"/>
          <w:sz w:val="24"/>
          <w:szCs w:val="24"/>
        </w:rPr>
        <w:t>significativos</w:t>
      </w:r>
      <w:r>
        <w:rPr>
          <w:rFonts w:ascii="Arial" w:hAnsi="Arial" w:cs="Times New Roman"/>
          <w:spacing w:val="-17"/>
          <w:sz w:val="24"/>
          <w:szCs w:val="24"/>
        </w:rPr>
        <w:t xml:space="preserve"> </w:t>
      </w:r>
      <w:r>
        <w:rPr>
          <w:rFonts w:ascii="Arial" w:hAnsi="Arial" w:cs="Times New Roman"/>
          <w:sz w:val="24"/>
          <w:szCs w:val="24"/>
        </w:rPr>
        <w:t>nas</w:t>
      </w:r>
      <w:r>
        <w:rPr>
          <w:rFonts w:ascii="Arial" w:hAnsi="Arial" w:cs="Times New Roman"/>
          <w:spacing w:val="-17"/>
          <w:sz w:val="24"/>
          <w:szCs w:val="24"/>
        </w:rPr>
        <w:t xml:space="preserve"> </w:t>
      </w:r>
      <w:r>
        <w:rPr>
          <w:rFonts w:ascii="Arial" w:hAnsi="Arial" w:cs="Times New Roman"/>
          <w:sz w:val="24"/>
          <w:szCs w:val="24"/>
        </w:rPr>
        <w:t>condições</w:t>
      </w:r>
      <w:r>
        <w:rPr>
          <w:rFonts w:ascii="Arial" w:hAnsi="Arial" w:cs="Times New Roman"/>
          <w:spacing w:val="-19"/>
          <w:sz w:val="24"/>
          <w:szCs w:val="24"/>
        </w:rPr>
        <w:t xml:space="preserve"> </w:t>
      </w:r>
      <w:r>
        <w:rPr>
          <w:rFonts w:ascii="Arial" w:hAnsi="Arial" w:cs="Times New Roman"/>
          <w:sz w:val="24"/>
          <w:szCs w:val="24"/>
        </w:rPr>
        <w:t>de</w:t>
      </w:r>
      <w:r>
        <w:rPr>
          <w:rFonts w:ascii="Arial" w:hAnsi="Arial" w:cs="Times New Roman"/>
          <w:spacing w:val="-17"/>
          <w:sz w:val="24"/>
          <w:szCs w:val="24"/>
        </w:rPr>
        <w:t xml:space="preserve"> </w:t>
      </w:r>
      <w:r>
        <w:rPr>
          <w:rFonts w:ascii="Arial" w:hAnsi="Arial" w:cs="Times New Roman"/>
          <w:sz w:val="24"/>
          <w:szCs w:val="24"/>
        </w:rPr>
        <w:t>vida</w:t>
      </w:r>
      <w:r>
        <w:rPr>
          <w:rFonts w:ascii="Arial" w:hAnsi="Arial" w:cs="Times New Roman"/>
          <w:spacing w:val="-18"/>
          <w:sz w:val="24"/>
          <w:szCs w:val="24"/>
        </w:rPr>
        <w:t xml:space="preserve"> </w:t>
      </w:r>
      <w:r>
        <w:rPr>
          <w:rFonts w:ascii="Arial" w:hAnsi="Arial" w:cs="Times New Roman"/>
          <w:sz w:val="24"/>
          <w:szCs w:val="24"/>
        </w:rPr>
        <w:t>dessa</w:t>
      </w:r>
      <w:r>
        <w:rPr>
          <w:rFonts w:ascii="Arial" w:hAnsi="Arial" w:cs="Times New Roman"/>
          <w:spacing w:val="-17"/>
          <w:sz w:val="24"/>
          <w:szCs w:val="24"/>
        </w:rPr>
        <w:t xml:space="preserve"> </w:t>
      </w:r>
      <w:r>
        <w:rPr>
          <w:rFonts w:ascii="Arial" w:hAnsi="Arial" w:cs="Times New Roman"/>
          <w:sz w:val="24"/>
          <w:szCs w:val="24"/>
        </w:rPr>
        <w:t>população, que enfrenta dificuldades decorrentes do isolamento, do acesso restrito a serviços públicos</w:t>
      </w:r>
      <w:r>
        <w:rPr>
          <w:rFonts w:ascii="Arial" w:hAnsi="Arial" w:cs="Times New Roman"/>
          <w:spacing w:val="-8"/>
          <w:sz w:val="24"/>
          <w:szCs w:val="24"/>
        </w:rPr>
        <w:t xml:space="preserve"> </w:t>
      </w:r>
      <w:r>
        <w:rPr>
          <w:rFonts w:ascii="Arial" w:hAnsi="Arial" w:cs="Times New Roman"/>
          <w:sz w:val="24"/>
          <w:szCs w:val="24"/>
        </w:rPr>
        <w:t>e</w:t>
      </w:r>
      <w:r>
        <w:rPr>
          <w:rFonts w:ascii="Arial" w:hAnsi="Arial" w:cs="Times New Roman"/>
          <w:spacing w:val="-13"/>
          <w:sz w:val="24"/>
          <w:szCs w:val="24"/>
        </w:rPr>
        <w:t xml:space="preserve"> </w:t>
      </w:r>
      <w:r>
        <w:rPr>
          <w:rFonts w:ascii="Arial" w:hAnsi="Arial" w:cs="Times New Roman"/>
          <w:sz w:val="24"/>
          <w:szCs w:val="24"/>
        </w:rPr>
        <w:t>das</w:t>
      </w:r>
      <w:r>
        <w:rPr>
          <w:rFonts w:ascii="Arial" w:hAnsi="Arial" w:cs="Times New Roman"/>
          <w:spacing w:val="-12"/>
          <w:sz w:val="24"/>
          <w:szCs w:val="24"/>
        </w:rPr>
        <w:t xml:space="preserve"> </w:t>
      </w:r>
      <w:r>
        <w:rPr>
          <w:rFonts w:ascii="Arial" w:hAnsi="Arial" w:cs="Times New Roman"/>
          <w:sz w:val="24"/>
          <w:szCs w:val="24"/>
        </w:rPr>
        <w:t>limitações</w:t>
      </w:r>
      <w:r>
        <w:rPr>
          <w:rFonts w:ascii="Arial" w:hAnsi="Arial" w:cs="Times New Roman"/>
          <w:spacing w:val="-9"/>
          <w:sz w:val="24"/>
          <w:szCs w:val="24"/>
        </w:rPr>
        <w:t xml:space="preserve"> </w:t>
      </w:r>
      <w:r>
        <w:rPr>
          <w:rFonts w:ascii="Arial" w:hAnsi="Arial" w:cs="Times New Roman"/>
          <w:sz w:val="24"/>
          <w:szCs w:val="24"/>
        </w:rPr>
        <w:t>estruturais</w:t>
      </w:r>
      <w:r>
        <w:rPr>
          <w:rFonts w:ascii="Arial" w:hAnsi="Arial" w:cs="Times New Roman"/>
          <w:spacing w:val="-12"/>
          <w:sz w:val="24"/>
          <w:szCs w:val="24"/>
        </w:rPr>
        <w:t xml:space="preserve"> </w:t>
      </w:r>
      <w:r>
        <w:rPr>
          <w:rFonts w:ascii="Arial" w:hAnsi="Arial" w:cs="Times New Roman"/>
          <w:sz w:val="24"/>
          <w:szCs w:val="24"/>
        </w:rPr>
        <w:t>próprias</w:t>
      </w:r>
      <w:r>
        <w:rPr>
          <w:rFonts w:ascii="Arial" w:hAnsi="Arial" w:cs="Times New Roman"/>
          <w:spacing w:val="-14"/>
          <w:sz w:val="24"/>
          <w:szCs w:val="24"/>
        </w:rPr>
        <w:t xml:space="preserve"> </w:t>
      </w:r>
      <w:r>
        <w:rPr>
          <w:rFonts w:ascii="Arial" w:hAnsi="Arial" w:cs="Times New Roman"/>
          <w:sz w:val="24"/>
          <w:szCs w:val="24"/>
        </w:rPr>
        <w:t>das</w:t>
      </w:r>
      <w:r>
        <w:rPr>
          <w:rFonts w:ascii="Arial" w:hAnsi="Arial" w:cs="Times New Roman"/>
          <w:spacing w:val="-12"/>
          <w:sz w:val="24"/>
          <w:szCs w:val="24"/>
        </w:rPr>
        <w:t xml:space="preserve"> </w:t>
      </w:r>
      <w:r>
        <w:rPr>
          <w:rFonts w:ascii="Arial" w:hAnsi="Arial" w:cs="Times New Roman"/>
          <w:sz w:val="24"/>
          <w:szCs w:val="24"/>
        </w:rPr>
        <w:t>zonas</w:t>
      </w:r>
      <w:r>
        <w:rPr>
          <w:rFonts w:ascii="Arial" w:hAnsi="Arial" w:cs="Times New Roman"/>
          <w:spacing w:val="-8"/>
          <w:sz w:val="24"/>
          <w:szCs w:val="24"/>
        </w:rPr>
        <w:t xml:space="preserve"> </w:t>
      </w:r>
      <w:r>
        <w:rPr>
          <w:rFonts w:ascii="Arial" w:hAnsi="Arial" w:cs="Times New Roman"/>
          <w:sz w:val="24"/>
          <w:szCs w:val="24"/>
        </w:rPr>
        <w:t>rurais.</w:t>
      </w:r>
      <w:r>
        <w:rPr>
          <w:rFonts w:ascii="Arial" w:hAnsi="Arial" w:cs="Times New Roman"/>
          <w:spacing w:val="-12"/>
          <w:sz w:val="24"/>
          <w:szCs w:val="24"/>
        </w:rPr>
        <w:t xml:space="preserve"> </w:t>
      </w:r>
    </w:p>
    <w:p w:rsidR="009D60B7" w:rsidRDefault="00425C09">
      <w:pPr>
        <w:pStyle w:val="Corpodetexto"/>
        <w:spacing w:line="360" w:lineRule="auto"/>
        <w:ind w:right="113" w:firstLine="840"/>
        <w:jc w:val="both"/>
        <w:rPr>
          <w:rFonts w:ascii="Arial" w:hAnsi="Arial"/>
          <w:sz w:val="24"/>
          <w:szCs w:val="24"/>
        </w:rPr>
      </w:pPr>
      <w:r>
        <w:rPr>
          <w:rFonts w:ascii="Arial" w:hAnsi="Arial" w:cs="Times New Roman"/>
          <w:sz w:val="24"/>
          <w:szCs w:val="24"/>
        </w:rPr>
        <w:t>As</w:t>
      </w:r>
      <w:r>
        <w:rPr>
          <w:rFonts w:ascii="Arial" w:hAnsi="Arial" w:cs="Times New Roman"/>
          <w:spacing w:val="-12"/>
          <w:sz w:val="24"/>
          <w:szCs w:val="24"/>
        </w:rPr>
        <w:t xml:space="preserve"> </w:t>
      </w:r>
      <w:r>
        <w:rPr>
          <w:rFonts w:ascii="Arial" w:hAnsi="Arial" w:cs="Times New Roman"/>
          <w:sz w:val="24"/>
          <w:szCs w:val="24"/>
        </w:rPr>
        <w:t>condições</w:t>
      </w:r>
      <w:r>
        <w:rPr>
          <w:rFonts w:ascii="Arial" w:hAnsi="Arial" w:cs="Times New Roman"/>
          <w:spacing w:val="-12"/>
          <w:sz w:val="24"/>
          <w:szCs w:val="24"/>
        </w:rPr>
        <w:t xml:space="preserve"> </w:t>
      </w:r>
      <w:r>
        <w:rPr>
          <w:rFonts w:ascii="Arial" w:hAnsi="Arial" w:cs="Times New Roman"/>
          <w:sz w:val="24"/>
          <w:szCs w:val="24"/>
        </w:rPr>
        <w:t>de</w:t>
      </w:r>
      <w:r>
        <w:rPr>
          <w:rFonts w:ascii="Arial" w:hAnsi="Arial" w:cs="Times New Roman"/>
          <w:spacing w:val="-7"/>
          <w:sz w:val="24"/>
          <w:szCs w:val="24"/>
        </w:rPr>
        <w:t xml:space="preserve"> </w:t>
      </w:r>
      <w:r>
        <w:rPr>
          <w:rFonts w:ascii="Arial" w:hAnsi="Arial" w:cs="Times New Roman"/>
          <w:sz w:val="24"/>
          <w:szCs w:val="24"/>
        </w:rPr>
        <w:t>vida dos idosos rurais revelam múltiplas vulnerabilidades sendo o acesso à saúde um dos principais desafios, pois de acordo com o Ministério da Saúde (2021), essa população</w:t>
      </w:r>
      <w:r>
        <w:rPr>
          <w:rFonts w:ascii="Arial" w:hAnsi="Arial" w:cs="Times New Roman"/>
          <w:spacing w:val="-17"/>
          <w:sz w:val="24"/>
          <w:szCs w:val="24"/>
        </w:rPr>
        <w:t xml:space="preserve"> </w:t>
      </w:r>
      <w:r>
        <w:rPr>
          <w:rFonts w:ascii="Arial" w:hAnsi="Arial" w:cs="Times New Roman"/>
          <w:sz w:val="24"/>
          <w:szCs w:val="24"/>
        </w:rPr>
        <w:t>enfrenta</w:t>
      </w:r>
      <w:r>
        <w:rPr>
          <w:rFonts w:ascii="Arial" w:hAnsi="Arial" w:cs="Times New Roman"/>
          <w:spacing w:val="-17"/>
          <w:sz w:val="24"/>
          <w:szCs w:val="24"/>
        </w:rPr>
        <w:t xml:space="preserve"> </w:t>
      </w:r>
      <w:r>
        <w:rPr>
          <w:rFonts w:ascii="Arial" w:hAnsi="Arial" w:cs="Times New Roman"/>
          <w:sz w:val="24"/>
          <w:szCs w:val="24"/>
        </w:rPr>
        <w:t>trajetos</w:t>
      </w:r>
      <w:r>
        <w:rPr>
          <w:rFonts w:ascii="Arial" w:hAnsi="Arial" w:cs="Times New Roman"/>
          <w:spacing w:val="-16"/>
          <w:sz w:val="24"/>
          <w:szCs w:val="24"/>
        </w:rPr>
        <w:t xml:space="preserve"> </w:t>
      </w:r>
      <w:r>
        <w:rPr>
          <w:rFonts w:ascii="Arial" w:hAnsi="Arial" w:cs="Times New Roman"/>
          <w:sz w:val="24"/>
          <w:szCs w:val="24"/>
        </w:rPr>
        <w:t>longos</w:t>
      </w:r>
      <w:r>
        <w:rPr>
          <w:rFonts w:ascii="Arial" w:hAnsi="Arial" w:cs="Times New Roman"/>
          <w:spacing w:val="-17"/>
          <w:sz w:val="24"/>
          <w:szCs w:val="24"/>
        </w:rPr>
        <w:t xml:space="preserve"> </w:t>
      </w:r>
      <w:r>
        <w:rPr>
          <w:rFonts w:ascii="Arial" w:hAnsi="Arial" w:cs="Times New Roman"/>
          <w:sz w:val="24"/>
          <w:szCs w:val="24"/>
        </w:rPr>
        <w:t>até</w:t>
      </w:r>
      <w:r>
        <w:rPr>
          <w:rFonts w:ascii="Arial" w:hAnsi="Arial" w:cs="Times New Roman"/>
          <w:spacing w:val="-17"/>
          <w:sz w:val="24"/>
          <w:szCs w:val="24"/>
        </w:rPr>
        <w:t xml:space="preserve"> </w:t>
      </w:r>
      <w:r>
        <w:rPr>
          <w:rFonts w:ascii="Arial" w:hAnsi="Arial" w:cs="Times New Roman"/>
          <w:sz w:val="24"/>
          <w:szCs w:val="24"/>
        </w:rPr>
        <w:t>unidades</w:t>
      </w:r>
      <w:r>
        <w:rPr>
          <w:rFonts w:ascii="Arial" w:hAnsi="Arial" w:cs="Times New Roman"/>
          <w:spacing w:val="-17"/>
          <w:sz w:val="24"/>
          <w:szCs w:val="24"/>
        </w:rPr>
        <w:t xml:space="preserve"> </w:t>
      </w:r>
      <w:r>
        <w:rPr>
          <w:rFonts w:ascii="Arial" w:hAnsi="Arial" w:cs="Times New Roman"/>
          <w:sz w:val="24"/>
          <w:szCs w:val="24"/>
        </w:rPr>
        <w:t>de</w:t>
      </w:r>
      <w:r>
        <w:rPr>
          <w:rFonts w:ascii="Arial" w:hAnsi="Arial" w:cs="Times New Roman"/>
          <w:spacing w:val="-16"/>
          <w:sz w:val="24"/>
          <w:szCs w:val="24"/>
        </w:rPr>
        <w:t xml:space="preserve"> </w:t>
      </w:r>
      <w:r>
        <w:rPr>
          <w:rFonts w:ascii="Arial" w:hAnsi="Arial" w:cs="Times New Roman"/>
          <w:sz w:val="24"/>
          <w:szCs w:val="24"/>
        </w:rPr>
        <w:t>saúde,</w:t>
      </w:r>
      <w:r>
        <w:rPr>
          <w:rFonts w:ascii="Arial" w:hAnsi="Arial" w:cs="Times New Roman"/>
          <w:spacing w:val="-17"/>
          <w:sz w:val="24"/>
          <w:szCs w:val="24"/>
        </w:rPr>
        <w:t xml:space="preserve"> </w:t>
      </w:r>
      <w:r>
        <w:rPr>
          <w:rFonts w:ascii="Arial" w:hAnsi="Arial" w:cs="Times New Roman"/>
          <w:sz w:val="24"/>
          <w:szCs w:val="24"/>
        </w:rPr>
        <w:t>falta</w:t>
      </w:r>
      <w:r>
        <w:rPr>
          <w:rFonts w:ascii="Arial" w:hAnsi="Arial" w:cs="Times New Roman"/>
          <w:spacing w:val="-17"/>
          <w:sz w:val="24"/>
          <w:szCs w:val="24"/>
        </w:rPr>
        <w:t xml:space="preserve"> </w:t>
      </w:r>
      <w:r>
        <w:rPr>
          <w:rFonts w:ascii="Arial" w:hAnsi="Arial" w:cs="Times New Roman"/>
          <w:sz w:val="24"/>
          <w:szCs w:val="24"/>
        </w:rPr>
        <w:t>de</w:t>
      </w:r>
      <w:r>
        <w:rPr>
          <w:rFonts w:ascii="Arial" w:hAnsi="Arial" w:cs="Times New Roman"/>
          <w:spacing w:val="-15"/>
          <w:sz w:val="24"/>
          <w:szCs w:val="24"/>
        </w:rPr>
        <w:t xml:space="preserve"> </w:t>
      </w:r>
      <w:r>
        <w:rPr>
          <w:rFonts w:ascii="Arial" w:hAnsi="Arial" w:cs="Times New Roman"/>
          <w:sz w:val="24"/>
          <w:szCs w:val="24"/>
        </w:rPr>
        <w:t>transporte</w:t>
      </w:r>
      <w:r>
        <w:rPr>
          <w:rFonts w:ascii="Arial" w:hAnsi="Arial" w:cs="Times New Roman"/>
          <w:spacing w:val="-17"/>
          <w:sz w:val="24"/>
          <w:szCs w:val="24"/>
        </w:rPr>
        <w:t xml:space="preserve"> </w:t>
      </w:r>
      <w:r>
        <w:rPr>
          <w:rFonts w:ascii="Arial" w:hAnsi="Arial" w:cs="Times New Roman"/>
          <w:sz w:val="24"/>
          <w:szCs w:val="24"/>
        </w:rPr>
        <w:t>público e</w:t>
      </w:r>
      <w:r>
        <w:rPr>
          <w:rFonts w:ascii="Arial" w:hAnsi="Arial" w:cs="Times New Roman"/>
          <w:spacing w:val="-9"/>
          <w:sz w:val="24"/>
          <w:szCs w:val="24"/>
        </w:rPr>
        <w:t xml:space="preserve"> </w:t>
      </w:r>
      <w:r>
        <w:rPr>
          <w:rFonts w:ascii="Arial" w:hAnsi="Arial" w:cs="Times New Roman"/>
          <w:sz w:val="24"/>
          <w:szCs w:val="24"/>
        </w:rPr>
        <w:t>menor</w:t>
      </w:r>
      <w:r>
        <w:rPr>
          <w:rFonts w:ascii="Arial" w:hAnsi="Arial" w:cs="Times New Roman"/>
          <w:spacing w:val="-5"/>
          <w:sz w:val="24"/>
          <w:szCs w:val="24"/>
        </w:rPr>
        <w:t xml:space="preserve"> </w:t>
      </w:r>
      <w:r>
        <w:rPr>
          <w:rFonts w:ascii="Arial" w:hAnsi="Arial" w:cs="Times New Roman"/>
          <w:sz w:val="24"/>
          <w:szCs w:val="24"/>
        </w:rPr>
        <w:t>oferta</w:t>
      </w:r>
      <w:r>
        <w:rPr>
          <w:rFonts w:ascii="Arial" w:hAnsi="Arial" w:cs="Times New Roman"/>
          <w:spacing w:val="-9"/>
          <w:sz w:val="24"/>
          <w:szCs w:val="24"/>
        </w:rPr>
        <w:t xml:space="preserve"> </w:t>
      </w:r>
      <w:r>
        <w:rPr>
          <w:rFonts w:ascii="Arial" w:hAnsi="Arial" w:cs="Times New Roman"/>
          <w:sz w:val="24"/>
          <w:szCs w:val="24"/>
        </w:rPr>
        <w:t>de</w:t>
      </w:r>
      <w:r>
        <w:rPr>
          <w:rFonts w:ascii="Arial" w:hAnsi="Arial" w:cs="Times New Roman"/>
          <w:spacing w:val="-6"/>
          <w:sz w:val="24"/>
          <w:szCs w:val="24"/>
        </w:rPr>
        <w:t xml:space="preserve"> </w:t>
      </w:r>
      <w:r>
        <w:rPr>
          <w:rFonts w:ascii="Arial" w:hAnsi="Arial" w:cs="Times New Roman"/>
          <w:sz w:val="24"/>
          <w:szCs w:val="24"/>
        </w:rPr>
        <w:t>serviços</w:t>
      </w:r>
      <w:r>
        <w:rPr>
          <w:rFonts w:ascii="Arial" w:hAnsi="Arial" w:cs="Times New Roman"/>
          <w:spacing w:val="-7"/>
          <w:sz w:val="24"/>
          <w:szCs w:val="24"/>
        </w:rPr>
        <w:t xml:space="preserve"> </w:t>
      </w:r>
      <w:r>
        <w:rPr>
          <w:rFonts w:ascii="Arial" w:hAnsi="Arial" w:cs="Times New Roman"/>
          <w:sz w:val="24"/>
          <w:szCs w:val="24"/>
        </w:rPr>
        <w:t>especializados,</w:t>
      </w:r>
      <w:r>
        <w:rPr>
          <w:rFonts w:ascii="Arial" w:hAnsi="Arial" w:cs="Times New Roman"/>
          <w:spacing w:val="-9"/>
          <w:sz w:val="24"/>
          <w:szCs w:val="24"/>
        </w:rPr>
        <w:t xml:space="preserve"> </w:t>
      </w:r>
      <w:r>
        <w:rPr>
          <w:rFonts w:ascii="Arial" w:hAnsi="Arial" w:cs="Times New Roman"/>
          <w:sz w:val="24"/>
          <w:szCs w:val="24"/>
        </w:rPr>
        <w:t>o</w:t>
      </w:r>
      <w:r>
        <w:rPr>
          <w:rFonts w:ascii="Arial" w:hAnsi="Arial" w:cs="Times New Roman"/>
          <w:spacing w:val="-7"/>
          <w:sz w:val="24"/>
          <w:szCs w:val="24"/>
        </w:rPr>
        <w:t xml:space="preserve"> </w:t>
      </w:r>
      <w:r>
        <w:rPr>
          <w:rFonts w:ascii="Arial" w:hAnsi="Arial" w:cs="Times New Roman"/>
          <w:sz w:val="24"/>
          <w:szCs w:val="24"/>
        </w:rPr>
        <w:t>que</w:t>
      </w:r>
      <w:r>
        <w:rPr>
          <w:rFonts w:ascii="Arial" w:hAnsi="Arial" w:cs="Times New Roman"/>
          <w:spacing w:val="-7"/>
          <w:sz w:val="24"/>
          <w:szCs w:val="24"/>
        </w:rPr>
        <w:t xml:space="preserve"> </w:t>
      </w:r>
      <w:r>
        <w:rPr>
          <w:rFonts w:ascii="Arial" w:hAnsi="Arial" w:cs="Times New Roman"/>
          <w:sz w:val="24"/>
          <w:szCs w:val="24"/>
        </w:rPr>
        <w:t>agrava</w:t>
      </w:r>
      <w:r>
        <w:rPr>
          <w:rFonts w:ascii="Arial" w:hAnsi="Arial" w:cs="Times New Roman"/>
          <w:spacing w:val="-2"/>
          <w:sz w:val="24"/>
          <w:szCs w:val="24"/>
        </w:rPr>
        <w:t xml:space="preserve"> </w:t>
      </w:r>
      <w:r>
        <w:rPr>
          <w:rFonts w:ascii="Arial" w:hAnsi="Arial" w:cs="Times New Roman"/>
          <w:sz w:val="24"/>
          <w:szCs w:val="24"/>
        </w:rPr>
        <w:t>doenças</w:t>
      </w:r>
      <w:r>
        <w:rPr>
          <w:rFonts w:ascii="Arial" w:hAnsi="Arial" w:cs="Times New Roman"/>
          <w:spacing w:val="-9"/>
          <w:sz w:val="24"/>
          <w:szCs w:val="24"/>
        </w:rPr>
        <w:t xml:space="preserve"> </w:t>
      </w:r>
      <w:r>
        <w:rPr>
          <w:rFonts w:ascii="Arial" w:hAnsi="Arial" w:cs="Times New Roman"/>
          <w:sz w:val="24"/>
          <w:szCs w:val="24"/>
        </w:rPr>
        <w:t>crônicas</w:t>
      </w:r>
      <w:r>
        <w:rPr>
          <w:rFonts w:ascii="Arial" w:hAnsi="Arial" w:cs="Times New Roman"/>
          <w:spacing w:val="-7"/>
          <w:sz w:val="24"/>
          <w:szCs w:val="24"/>
        </w:rPr>
        <w:t xml:space="preserve"> </w:t>
      </w:r>
      <w:r>
        <w:rPr>
          <w:rFonts w:ascii="Arial" w:hAnsi="Arial" w:cs="Times New Roman"/>
          <w:sz w:val="24"/>
          <w:szCs w:val="24"/>
        </w:rPr>
        <w:t>e</w:t>
      </w:r>
      <w:r>
        <w:rPr>
          <w:rFonts w:ascii="Arial" w:hAnsi="Arial" w:cs="Times New Roman"/>
          <w:spacing w:val="-7"/>
          <w:sz w:val="24"/>
          <w:szCs w:val="24"/>
        </w:rPr>
        <w:t xml:space="preserve"> </w:t>
      </w:r>
      <w:r>
        <w:rPr>
          <w:rFonts w:ascii="Arial" w:hAnsi="Arial" w:cs="Times New Roman"/>
          <w:sz w:val="24"/>
          <w:szCs w:val="24"/>
        </w:rPr>
        <w:t>limita</w:t>
      </w:r>
      <w:r>
        <w:rPr>
          <w:rFonts w:ascii="Arial" w:hAnsi="Arial" w:cs="Times New Roman"/>
          <w:spacing w:val="-9"/>
          <w:sz w:val="24"/>
          <w:szCs w:val="24"/>
        </w:rPr>
        <w:t xml:space="preserve"> </w:t>
      </w:r>
      <w:r>
        <w:rPr>
          <w:rFonts w:ascii="Arial" w:hAnsi="Arial" w:cs="Times New Roman"/>
          <w:sz w:val="24"/>
          <w:szCs w:val="24"/>
        </w:rPr>
        <w:t>o acompanhamento adequado. Além disso, fatores como renda baixa, moradia precária e ausência de saneamento básico em algumas regiões contribuem para a intensificação</w:t>
      </w:r>
      <w:r>
        <w:rPr>
          <w:rFonts w:ascii="Arial" w:hAnsi="Arial" w:cs="Times New Roman"/>
          <w:spacing w:val="-17"/>
          <w:sz w:val="24"/>
          <w:szCs w:val="24"/>
        </w:rPr>
        <w:t xml:space="preserve"> </w:t>
      </w:r>
      <w:r>
        <w:rPr>
          <w:rFonts w:ascii="Arial" w:hAnsi="Arial" w:cs="Times New Roman"/>
          <w:sz w:val="24"/>
          <w:szCs w:val="24"/>
        </w:rPr>
        <w:t>da</w:t>
      </w:r>
      <w:r>
        <w:rPr>
          <w:rFonts w:ascii="Arial" w:hAnsi="Arial" w:cs="Times New Roman"/>
          <w:spacing w:val="-15"/>
          <w:sz w:val="24"/>
          <w:szCs w:val="24"/>
        </w:rPr>
        <w:t xml:space="preserve"> </w:t>
      </w:r>
      <w:r>
        <w:rPr>
          <w:rFonts w:ascii="Arial" w:hAnsi="Arial" w:cs="Times New Roman"/>
          <w:sz w:val="24"/>
          <w:szCs w:val="24"/>
        </w:rPr>
        <w:t>vulnerabilidade</w:t>
      </w:r>
      <w:r>
        <w:rPr>
          <w:rFonts w:ascii="Arial" w:hAnsi="Arial" w:cs="Times New Roman"/>
          <w:spacing w:val="-17"/>
          <w:sz w:val="24"/>
          <w:szCs w:val="24"/>
        </w:rPr>
        <w:t xml:space="preserve"> </w:t>
      </w:r>
      <w:r>
        <w:rPr>
          <w:rFonts w:ascii="Arial" w:hAnsi="Arial" w:cs="Times New Roman"/>
          <w:sz w:val="24"/>
          <w:szCs w:val="24"/>
        </w:rPr>
        <w:t>social</w:t>
      </w:r>
      <w:r>
        <w:rPr>
          <w:rFonts w:ascii="Arial" w:hAnsi="Arial" w:cs="Times New Roman"/>
          <w:spacing w:val="-17"/>
          <w:sz w:val="24"/>
          <w:szCs w:val="24"/>
        </w:rPr>
        <w:t xml:space="preserve"> </w:t>
      </w:r>
      <w:r>
        <w:rPr>
          <w:rFonts w:ascii="Arial" w:hAnsi="Arial" w:cs="Times New Roman"/>
          <w:sz w:val="24"/>
          <w:szCs w:val="24"/>
        </w:rPr>
        <w:t>no</w:t>
      </w:r>
      <w:r>
        <w:rPr>
          <w:rFonts w:ascii="Arial" w:hAnsi="Arial" w:cs="Times New Roman"/>
          <w:spacing w:val="-16"/>
          <w:sz w:val="24"/>
          <w:szCs w:val="24"/>
        </w:rPr>
        <w:t xml:space="preserve"> </w:t>
      </w:r>
      <w:r>
        <w:rPr>
          <w:rFonts w:ascii="Arial" w:hAnsi="Arial" w:cs="Times New Roman"/>
          <w:sz w:val="24"/>
          <w:szCs w:val="24"/>
        </w:rPr>
        <w:t>envelhecimento.</w:t>
      </w:r>
      <w:r>
        <w:rPr>
          <w:rFonts w:ascii="Arial" w:hAnsi="Arial" w:cs="Times New Roman"/>
          <w:spacing w:val="-15"/>
          <w:sz w:val="24"/>
          <w:szCs w:val="24"/>
        </w:rPr>
        <w:t xml:space="preserve"> </w:t>
      </w:r>
    </w:p>
    <w:p w:rsidR="009D60B7" w:rsidRDefault="00425C09">
      <w:pPr>
        <w:pStyle w:val="Corpodetexto"/>
        <w:tabs>
          <w:tab w:val="left" w:pos="1187"/>
        </w:tabs>
        <w:spacing w:line="360" w:lineRule="auto"/>
        <w:ind w:left="14" w:right="113" w:firstLine="826"/>
        <w:jc w:val="both"/>
        <w:rPr>
          <w:rFonts w:ascii="Arial" w:hAnsi="Arial"/>
          <w:sz w:val="24"/>
          <w:szCs w:val="24"/>
        </w:rPr>
      </w:pPr>
      <w:r>
        <w:rPr>
          <w:rFonts w:ascii="Arial" w:hAnsi="Arial" w:cs="Times New Roman"/>
          <w:sz w:val="24"/>
          <w:szCs w:val="24"/>
        </w:rPr>
        <w:t>No</w:t>
      </w:r>
      <w:r>
        <w:rPr>
          <w:rFonts w:ascii="Arial" w:hAnsi="Arial" w:cs="Times New Roman"/>
          <w:spacing w:val="-16"/>
          <w:sz w:val="24"/>
          <w:szCs w:val="24"/>
        </w:rPr>
        <w:t xml:space="preserve"> </w:t>
      </w:r>
      <w:r>
        <w:rPr>
          <w:rFonts w:ascii="Arial" w:hAnsi="Arial" w:cs="Times New Roman"/>
          <w:sz w:val="24"/>
          <w:szCs w:val="24"/>
        </w:rPr>
        <w:t>campo,</w:t>
      </w:r>
      <w:r>
        <w:rPr>
          <w:rFonts w:ascii="Arial" w:hAnsi="Arial" w:cs="Times New Roman"/>
          <w:spacing w:val="-16"/>
          <w:sz w:val="24"/>
          <w:szCs w:val="24"/>
        </w:rPr>
        <w:t xml:space="preserve"> </w:t>
      </w:r>
      <w:r>
        <w:rPr>
          <w:rFonts w:ascii="Arial" w:hAnsi="Arial" w:cs="Times New Roman"/>
          <w:sz w:val="24"/>
          <w:szCs w:val="24"/>
        </w:rPr>
        <w:t>é</w:t>
      </w:r>
      <w:r>
        <w:rPr>
          <w:rFonts w:ascii="Arial" w:hAnsi="Arial" w:cs="Times New Roman"/>
          <w:spacing w:val="-16"/>
          <w:sz w:val="24"/>
          <w:szCs w:val="24"/>
        </w:rPr>
        <w:t xml:space="preserve"> </w:t>
      </w:r>
      <w:r>
        <w:rPr>
          <w:rFonts w:ascii="Arial" w:hAnsi="Arial" w:cs="Times New Roman"/>
          <w:sz w:val="24"/>
          <w:szCs w:val="24"/>
        </w:rPr>
        <w:t>comum</w:t>
      </w:r>
      <w:r>
        <w:rPr>
          <w:rFonts w:ascii="Arial" w:hAnsi="Arial" w:cs="Times New Roman"/>
          <w:spacing w:val="-14"/>
          <w:sz w:val="24"/>
          <w:szCs w:val="24"/>
        </w:rPr>
        <w:t xml:space="preserve"> </w:t>
      </w:r>
      <w:r>
        <w:rPr>
          <w:rFonts w:ascii="Arial" w:hAnsi="Arial" w:cs="Times New Roman"/>
          <w:sz w:val="24"/>
          <w:szCs w:val="24"/>
        </w:rPr>
        <w:t>que idosos continuem trabalhando mesmo após a aposentadoria, segundo Carneiro (2012),</w:t>
      </w:r>
      <w:r>
        <w:rPr>
          <w:rFonts w:ascii="Arial" w:hAnsi="Arial" w:cs="Times New Roman"/>
          <w:spacing w:val="-17"/>
          <w:sz w:val="24"/>
          <w:szCs w:val="24"/>
        </w:rPr>
        <w:t xml:space="preserve"> </w:t>
      </w:r>
      <w:r>
        <w:rPr>
          <w:rFonts w:ascii="Arial" w:hAnsi="Arial" w:cs="Times New Roman"/>
          <w:sz w:val="24"/>
          <w:szCs w:val="24"/>
        </w:rPr>
        <w:t>muitos</w:t>
      </w:r>
      <w:r>
        <w:rPr>
          <w:rFonts w:ascii="Arial" w:hAnsi="Arial" w:cs="Times New Roman"/>
          <w:spacing w:val="-14"/>
          <w:sz w:val="24"/>
          <w:szCs w:val="24"/>
        </w:rPr>
        <w:t xml:space="preserve"> </w:t>
      </w:r>
      <w:r>
        <w:rPr>
          <w:rFonts w:ascii="Arial" w:hAnsi="Arial" w:cs="Times New Roman"/>
          <w:sz w:val="24"/>
          <w:szCs w:val="24"/>
        </w:rPr>
        <w:t>permanecem</w:t>
      </w:r>
      <w:r>
        <w:rPr>
          <w:rFonts w:ascii="Arial" w:hAnsi="Arial" w:cs="Times New Roman"/>
          <w:spacing w:val="-13"/>
          <w:sz w:val="24"/>
          <w:szCs w:val="24"/>
        </w:rPr>
        <w:t xml:space="preserve"> </w:t>
      </w:r>
      <w:r>
        <w:rPr>
          <w:rFonts w:ascii="Arial" w:hAnsi="Arial" w:cs="Times New Roman"/>
          <w:sz w:val="24"/>
          <w:szCs w:val="24"/>
        </w:rPr>
        <w:t>na</w:t>
      </w:r>
      <w:r>
        <w:rPr>
          <w:rFonts w:ascii="Arial" w:hAnsi="Arial" w:cs="Times New Roman"/>
          <w:spacing w:val="-13"/>
          <w:sz w:val="24"/>
          <w:szCs w:val="24"/>
        </w:rPr>
        <w:t xml:space="preserve"> </w:t>
      </w:r>
      <w:r>
        <w:rPr>
          <w:rFonts w:ascii="Arial" w:hAnsi="Arial" w:cs="Times New Roman"/>
          <w:sz w:val="24"/>
          <w:szCs w:val="24"/>
        </w:rPr>
        <w:t>agricultura</w:t>
      </w:r>
      <w:r>
        <w:rPr>
          <w:rFonts w:ascii="Arial" w:hAnsi="Arial" w:cs="Times New Roman"/>
          <w:spacing w:val="-15"/>
          <w:sz w:val="24"/>
          <w:szCs w:val="24"/>
        </w:rPr>
        <w:t xml:space="preserve"> </w:t>
      </w:r>
      <w:r>
        <w:rPr>
          <w:rFonts w:ascii="Arial" w:hAnsi="Arial" w:cs="Times New Roman"/>
          <w:sz w:val="24"/>
          <w:szCs w:val="24"/>
        </w:rPr>
        <w:t>familiar</w:t>
      </w:r>
      <w:r>
        <w:rPr>
          <w:rFonts w:ascii="Arial" w:hAnsi="Arial" w:cs="Times New Roman"/>
          <w:spacing w:val="-10"/>
          <w:sz w:val="24"/>
          <w:szCs w:val="24"/>
        </w:rPr>
        <w:t xml:space="preserve"> </w:t>
      </w:r>
      <w:r>
        <w:rPr>
          <w:rFonts w:ascii="Arial" w:hAnsi="Arial" w:cs="Times New Roman"/>
          <w:sz w:val="24"/>
          <w:szCs w:val="24"/>
        </w:rPr>
        <w:t>por</w:t>
      </w:r>
      <w:r>
        <w:rPr>
          <w:rFonts w:ascii="Arial" w:hAnsi="Arial" w:cs="Times New Roman"/>
          <w:spacing w:val="-8"/>
          <w:sz w:val="24"/>
          <w:szCs w:val="24"/>
        </w:rPr>
        <w:t xml:space="preserve"> </w:t>
      </w:r>
      <w:r>
        <w:rPr>
          <w:rFonts w:ascii="Arial" w:hAnsi="Arial" w:cs="Times New Roman"/>
          <w:sz w:val="24"/>
          <w:szCs w:val="24"/>
        </w:rPr>
        <w:t>necessidade, devido a dificuldade</w:t>
      </w:r>
      <w:r>
        <w:rPr>
          <w:rFonts w:ascii="Arial" w:hAnsi="Arial" w:cs="Times New Roman"/>
          <w:spacing w:val="-8"/>
          <w:sz w:val="24"/>
          <w:szCs w:val="24"/>
        </w:rPr>
        <w:t xml:space="preserve"> </w:t>
      </w:r>
      <w:r>
        <w:rPr>
          <w:rFonts w:ascii="Arial" w:hAnsi="Arial" w:cs="Times New Roman"/>
          <w:sz w:val="24"/>
          <w:szCs w:val="24"/>
        </w:rPr>
        <w:t>de</w:t>
      </w:r>
      <w:r>
        <w:rPr>
          <w:rFonts w:ascii="Arial" w:hAnsi="Arial" w:cs="Times New Roman"/>
          <w:spacing w:val="-13"/>
          <w:sz w:val="24"/>
          <w:szCs w:val="24"/>
        </w:rPr>
        <w:t xml:space="preserve"> </w:t>
      </w:r>
      <w:r>
        <w:rPr>
          <w:rFonts w:ascii="Arial" w:hAnsi="Arial" w:cs="Times New Roman"/>
          <w:sz w:val="24"/>
          <w:szCs w:val="24"/>
        </w:rPr>
        <w:t>comprovação</w:t>
      </w:r>
      <w:r>
        <w:rPr>
          <w:rFonts w:ascii="Arial" w:hAnsi="Arial" w:cs="Times New Roman"/>
          <w:spacing w:val="-13"/>
          <w:sz w:val="24"/>
          <w:szCs w:val="24"/>
        </w:rPr>
        <w:t xml:space="preserve"> </w:t>
      </w:r>
      <w:r>
        <w:rPr>
          <w:rFonts w:ascii="Arial" w:hAnsi="Arial" w:cs="Times New Roman"/>
          <w:sz w:val="24"/>
          <w:szCs w:val="24"/>
        </w:rPr>
        <w:t>de</w:t>
      </w:r>
      <w:r>
        <w:rPr>
          <w:rFonts w:ascii="Arial" w:hAnsi="Arial" w:cs="Times New Roman"/>
          <w:spacing w:val="-8"/>
          <w:sz w:val="24"/>
          <w:szCs w:val="24"/>
        </w:rPr>
        <w:t xml:space="preserve"> </w:t>
      </w:r>
      <w:r>
        <w:rPr>
          <w:rFonts w:ascii="Arial" w:hAnsi="Arial" w:cs="Times New Roman"/>
          <w:sz w:val="24"/>
          <w:szCs w:val="24"/>
        </w:rPr>
        <w:t>tempo</w:t>
      </w:r>
      <w:r>
        <w:rPr>
          <w:rFonts w:ascii="Arial" w:hAnsi="Arial" w:cs="Times New Roman"/>
          <w:spacing w:val="-13"/>
          <w:sz w:val="24"/>
          <w:szCs w:val="24"/>
        </w:rPr>
        <w:t xml:space="preserve"> </w:t>
      </w:r>
      <w:r>
        <w:rPr>
          <w:rFonts w:ascii="Arial" w:hAnsi="Arial" w:cs="Times New Roman"/>
          <w:sz w:val="24"/>
          <w:szCs w:val="24"/>
        </w:rPr>
        <w:t>de</w:t>
      </w:r>
      <w:r>
        <w:rPr>
          <w:rFonts w:ascii="Arial" w:hAnsi="Arial" w:cs="Times New Roman"/>
          <w:spacing w:val="-7"/>
          <w:sz w:val="24"/>
          <w:szCs w:val="24"/>
        </w:rPr>
        <w:t xml:space="preserve"> </w:t>
      </w:r>
      <w:r>
        <w:rPr>
          <w:rFonts w:ascii="Arial" w:hAnsi="Arial" w:cs="Times New Roman"/>
          <w:sz w:val="24"/>
          <w:szCs w:val="24"/>
        </w:rPr>
        <w:t>atividade</w:t>
      </w:r>
      <w:r>
        <w:rPr>
          <w:rFonts w:ascii="Arial" w:hAnsi="Arial" w:cs="Times New Roman"/>
          <w:spacing w:val="-10"/>
          <w:sz w:val="24"/>
          <w:szCs w:val="24"/>
        </w:rPr>
        <w:t xml:space="preserve"> </w:t>
      </w:r>
      <w:r>
        <w:rPr>
          <w:rFonts w:ascii="Arial" w:hAnsi="Arial" w:cs="Times New Roman"/>
          <w:sz w:val="24"/>
          <w:szCs w:val="24"/>
        </w:rPr>
        <w:t>rural</w:t>
      </w:r>
      <w:r>
        <w:rPr>
          <w:rFonts w:ascii="Arial" w:hAnsi="Arial" w:cs="Times New Roman"/>
          <w:spacing w:val="-13"/>
          <w:sz w:val="24"/>
          <w:szCs w:val="24"/>
        </w:rPr>
        <w:t xml:space="preserve"> </w:t>
      </w:r>
      <w:r>
        <w:rPr>
          <w:rFonts w:ascii="Arial" w:hAnsi="Arial" w:cs="Times New Roman"/>
          <w:sz w:val="24"/>
          <w:szCs w:val="24"/>
        </w:rPr>
        <w:t>ou</w:t>
      </w:r>
      <w:r>
        <w:rPr>
          <w:rFonts w:ascii="Arial" w:hAnsi="Arial" w:cs="Times New Roman"/>
          <w:spacing w:val="-10"/>
          <w:sz w:val="24"/>
          <w:szCs w:val="24"/>
        </w:rPr>
        <w:t xml:space="preserve"> </w:t>
      </w:r>
      <w:r>
        <w:rPr>
          <w:rFonts w:ascii="Arial" w:hAnsi="Arial" w:cs="Times New Roman"/>
          <w:sz w:val="24"/>
          <w:szCs w:val="24"/>
        </w:rPr>
        <w:t>vínculo</w:t>
      </w:r>
      <w:r>
        <w:rPr>
          <w:rFonts w:ascii="Arial" w:hAnsi="Arial" w:cs="Times New Roman"/>
          <w:spacing w:val="-6"/>
          <w:sz w:val="24"/>
          <w:szCs w:val="24"/>
        </w:rPr>
        <w:t xml:space="preserve"> </w:t>
      </w:r>
      <w:r>
        <w:rPr>
          <w:rFonts w:ascii="Arial" w:hAnsi="Arial" w:cs="Times New Roman"/>
          <w:sz w:val="24"/>
          <w:szCs w:val="24"/>
        </w:rPr>
        <w:t>cultural</w:t>
      </w:r>
      <w:r>
        <w:rPr>
          <w:rFonts w:ascii="Arial" w:hAnsi="Arial" w:cs="Times New Roman"/>
          <w:spacing w:val="-8"/>
          <w:sz w:val="24"/>
          <w:szCs w:val="24"/>
        </w:rPr>
        <w:t xml:space="preserve"> </w:t>
      </w:r>
      <w:r>
        <w:rPr>
          <w:rFonts w:ascii="Arial" w:hAnsi="Arial" w:cs="Times New Roman"/>
          <w:sz w:val="24"/>
          <w:szCs w:val="24"/>
        </w:rPr>
        <w:t>com a</w:t>
      </w:r>
      <w:r>
        <w:rPr>
          <w:rFonts w:ascii="Arial" w:hAnsi="Arial" w:cs="Times New Roman"/>
          <w:spacing w:val="-6"/>
          <w:sz w:val="24"/>
          <w:szCs w:val="24"/>
        </w:rPr>
        <w:t xml:space="preserve"> </w:t>
      </w:r>
      <w:r>
        <w:rPr>
          <w:rFonts w:ascii="Arial" w:hAnsi="Arial" w:cs="Times New Roman"/>
          <w:sz w:val="24"/>
          <w:szCs w:val="24"/>
        </w:rPr>
        <w:t>terra,</w:t>
      </w:r>
      <w:r>
        <w:rPr>
          <w:rFonts w:ascii="Arial" w:hAnsi="Arial" w:cs="Times New Roman"/>
          <w:spacing w:val="-2"/>
          <w:sz w:val="24"/>
          <w:szCs w:val="24"/>
        </w:rPr>
        <w:t xml:space="preserve"> </w:t>
      </w:r>
      <w:r>
        <w:rPr>
          <w:rFonts w:ascii="Arial" w:hAnsi="Arial" w:cs="Times New Roman"/>
          <w:sz w:val="24"/>
          <w:szCs w:val="24"/>
        </w:rPr>
        <w:t>realidade</w:t>
      </w:r>
      <w:r>
        <w:rPr>
          <w:rFonts w:ascii="Arial" w:hAnsi="Arial" w:cs="Times New Roman"/>
          <w:spacing w:val="-2"/>
          <w:sz w:val="24"/>
          <w:szCs w:val="24"/>
        </w:rPr>
        <w:t xml:space="preserve"> </w:t>
      </w:r>
      <w:r>
        <w:rPr>
          <w:rFonts w:ascii="Arial" w:hAnsi="Arial" w:cs="Times New Roman"/>
          <w:sz w:val="24"/>
          <w:szCs w:val="24"/>
        </w:rPr>
        <w:t>que</w:t>
      </w:r>
      <w:r>
        <w:rPr>
          <w:rFonts w:ascii="Arial" w:hAnsi="Arial" w:cs="Times New Roman"/>
          <w:spacing w:val="-11"/>
          <w:sz w:val="24"/>
          <w:szCs w:val="24"/>
        </w:rPr>
        <w:t xml:space="preserve"> </w:t>
      </w:r>
      <w:r>
        <w:rPr>
          <w:rFonts w:ascii="Arial" w:hAnsi="Arial" w:cs="Times New Roman"/>
          <w:sz w:val="24"/>
          <w:szCs w:val="24"/>
        </w:rPr>
        <w:t>expõe</w:t>
      </w:r>
      <w:r>
        <w:rPr>
          <w:rFonts w:ascii="Arial" w:hAnsi="Arial" w:cs="Times New Roman"/>
          <w:spacing w:val="-4"/>
          <w:sz w:val="24"/>
          <w:szCs w:val="24"/>
        </w:rPr>
        <w:t xml:space="preserve"> </w:t>
      </w:r>
      <w:r>
        <w:rPr>
          <w:rFonts w:ascii="Arial" w:hAnsi="Arial" w:cs="Times New Roman"/>
          <w:sz w:val="24"/>
          <w:szCs w:val="24"/>
        </w:rPr>
        <w:t>esses</w:t>
      </w:r>
      <w:r>
        <w:rPr>
          <w:rFonts w:ascii="Arial" w:hAnsi="Arial" w:cs="Times New Roman"/>
          <w:spacing w:val="-11"/>
          <w:sz w:val="24"/>
          <w:szCs w:val="24"/>
        </w:rPr>
        <w:t xml:space="preserve"> </w:t>
      </w:r>
      <w:r>
        <w:rPr>
          <w:rFonts w:ascii="Arial" w:hAnsi="Arial" w:cs="Times New Roman"/>
          <w:sz w:val="24"/>
          <w:szCs w:val="24"/>
        </w:rPr>
        <w:t>indivíduos</w:t>
      </w:r>
      <w:r>
        <w:rPr>
          <w:rFonts w:ascii="Arial" w:hAnsi="Arial" w:cs="Times New Roman"/>
          <w:spacing w:val="-6"/>
          <w:sz w:val="24"/>
          <w:szCs w:val="24"/>
        </w:rPr>
        <w:t xml:space="preserve"> </w:t>
      </w:r>
      <w:r>
        <w:rPr>
          <w:rFonts w:ascii="Arial" w:hAnsi="Arial" w:cs="Times New Roman"/>
          <w:sz w:val="24"/>
          <w:szCs w:val="24"/>
        </w:rPr>
        <w:t>a</w:t>
      </w:r>
      <w:r>
        <w:rPr>
          <w:rFonts w:ascii="Arial" w:hAnsi="Arial" w:cs="Times New Roman"/>
          <w:spacing w:val="-8"/>
          <w:sz w:val="24"/>
          <w:szCs w:val="24"/>
        </w:rPr>
        <w:t xml:space="preserve"> </w:t>
      </w:r>
      <w:r>
        <w:rPr>
          <w:rFonts w:ascii="Arial" w:hAnsi="Arial" w:cs="Times New Roman"/>
          <w:sz w:val="24"/>
          <w:szCs w:val="24"/>
        </w:rPr>
        <w:t>riscos</w:t>
      </w:r>
      <w:r>
        <w:rPr>
          <w:rFonts w:ascii="Arial" w:hAnsi="Arial" w:cs="Times New Roman"/>
          <w:spacing w:val="-6"/>
          <w:sz w:val="24"/>
          <w:szCs w:val="24"/>
        </w:rPr>
        <w:t xml:space="preserve"> </w:t>
      </w:r>
      <w:r>
        <w:rPr>
          <w:rFonts w:ascii="Arial" w:hAnsi="Arial" w:cs="Times New Roman"/>
          <w:sz w:val="24"/>
          <w:szCs w:val="24"/>
        </w:rPr>
        <w:t>elevados,</w:t>
      </w:r>
      <w:r>
        <w:rPr>
          <w:rFonts w:ascii="Arial" w:hAnsi="Arial" w:cs="Times New Roman"/>
          <w:spacing w:val="-6"/>
          <w:sz w:val="24"/>
          <w:szCs w:val="24"/>
        </w:rPr>
        <w:t xml:space="preserve"> </w:t>
      </w:r>
      <w:r>
        <w:rPr>
          <w:rFonts w:ascii="Arial" w:hAnsi="Arial" w:cs="Times New Roman"/>
          <w:sz w:val="24"/>
          <w:szCs w:val="24"/>
        </w:rPr>
        <w:t>como</w:t>
      </w:r>
      <w:r>
        <w:rPr>
          <w:rFonts w:ascii="Arial" w:hAnsi="Arial" w:cs="Times New Roman"/>
          <w:spacing w:val="-10"/>
          <w:sz w:val="24"/>
          <w:szCs w:val="24"/>
        </w:rPr>
        <w:t xml:space="preserve"> </w:t>
      </w:r>
      <w:r>
        <w:rPr>
          <w:rFonts w:ascii="Arial" w:hAnsi="Arial" w:cs="Times New Roman"/>
          <w:sz w:val="24"/>
          <w:szCs w:val="24"/>
        </w:rPr>
        <w:t>esforço</w:t>
      </w:r>
      <w:r>
        <w:rPr>
          <w:rFonts w:ascii="Arial" w:hAnsi="Arial" w:cs="Times New Roman"/>
          <w:spacing w:val="-11"/>
          <w:sz w:val="24"/>
          <w:szCs w:val="24"/>
        </w:rPr>
        <w:t xml:space="preserve"> </w:t>
      </w:r>
      <w:r>
        <w:rPr>
          <w:rFonts w:ascii="Arial" w:hAnsi="Arial" w:cs="Times New Roman"/>
          <w:sz w:val="24"/>
          <w:szCs w:val="24"/>
        </w:rPr>
        <w:t>físico intenso,</w:t>
      </w:r>
      <w:r>
        <w:rPr>
          <w:rFonts w:ascii="Arial" w:hAnsi="Arial" w:cs="Times New Roman"/>
          <w:spacing w:val="-17"/>
          <w:sz w:val="24"/>
          <w:szCs w:val="24"/>
        </w:rPr>
        <w:t xml:space="preserve"> </w:t>
      </w:r>
      <w:r>
        <w:rPr>
          <w:rFonts w:ascii="Arial" w:hAnsi="Arial" w:cs="Times New Roman"/>
          <w:sz w:val="24"/>
          <w:szCs w:val="24"/>
        </w:rPr>
        <w:t>exposição</w:t>
      </w:r>
      <w:r>
        <w:rPr>
          <w:rFonts w:ascii="Arial" w:hAnsi="Arial" w:cs="Times New Roman"/>
          <w:spacing w:val="-16"/>
          <w:sz w:val="24"/>
          <w:szCs w:val="24"/>
        </w:rPr>
        <w:t xml:space="preserve"> </w:t>
      </w:r>
      <w:r>
        <w:rPr>
          <w:rFonts w:ascii="Arial" w:hAnsi="Arial" w:cs="Times New Roman"/>
          <w:sz w:val="24"/>
          <w:szCs w:val="24"/>
        </w:rPr>
        <w:t>prolongada</w:t>
      </w:r>
      <w:r>
        <w:rPr>
          <w:rFonts w:ascii="Arial" w:hAnsi="Arial" w:cs="Times New Roman"/>
          <w:spacing w:val="-15"/>
          <w:sz w:val="24"/>
          <w:szCs w:val="24"/>
        </w:rPr>
        <w:t xml:space="preserve"> </w:t>
      </w:r>
      <w:r>
        <w:rPr>
          <w:rFonts w:ascii="Arial" w:hAnsi="Arial" w:cs="Times New Roman"/>
          <w:sz w:val="24"/>
          <w:szCs w:val="24"/>
        </w:rPr>
        <w:t>ao</w:t>
      </w:r>
      <w:r>
        <w:rPr>
          <w:rFonts w:ascii="Arial" w:hAnsi="Arial" w:cs="Times New Roman"/>
          <w:spacing w:val="-17"/>
          <w:sz w:val="24"/>
          <w:szCs w:val="24"/>
        </w:rPr>
        <w:t xml:space="preserve"> </w:t>
      </w:r>
      <w:r>
        <w:rPr>
          <w:rFonts w:ascii="Arial" w:hAnsi="Arial" w:cs="Times New Roman"/>
          <w:sz w:val="24"/>
          <w:szCs w:val="24"/>
        </w:rPr>
        <w:t>sol</w:t>
      </w:r>
      <w:r>
        <w:rPr>
          <w:rFonts w:ascii="Arial" w:hAnsi="Arial" w:cs="Times New Roman"/>
          <w:spacing w:val="-17"/>
          <w:sz w:val="24"/>
          <w:szCs w:val="24"/>
        </w:rPr>
        <w:t xml:space="preserve"> </w:t>
      </w:r>
      <w:r>
        <w:rPr>
          <w:rFonts w:ascii="Arial" w:hAnsi="Arial" w:cs="Times New Roman"/>
          <w:sz w:val="24"/>
          <w:szCs w:val="24"/>
        </w:rPr>
        <w:t>e</w:t>
      </w:r>
      <w:r>
        <w:rPr>
          <w:rFonts w:ascii="Arial" w:hAnsi="Arial" w:cs="Times New Roman"/>
          <w:spacing w:val="-16"/>
          <w:sz w:val="24"/>
          <w:szCs w:val="24"/>
        </w:rPr>
        <w:t xml:space="preserve"> </w:t>
      </w:r>
      <w:r>
        <w:rPr>
          <w:rFonts w:ascii="Arial" w:hAnsi="Arial" w:cs="Times New Roman"/>
          <w:sz w:val="24"/>
          <w:szCs w:val="24"/>
        </w:rPr>
        <w:t>manipulação</w:t>
      </w:r>
      <w:r>
        <w:rPr>
          <w:rFonts w:ascii="Arial" w:hAnsi="Arial" w:cs="Times New Roman"/>
          <w:spacing w:val="-15"/>
          <w:sz w:val="24"/>
          <w:szCs w:val="24"/>
        </w:rPr>
        <w:t xml:space="preserve"> </w:t>
      </w:r>
      <w:r>
        <w:rPr>
          <w:rFonts w:ascii="Arial" w:hAnsi="Arial" w:cs="Times New Roman"/>
          <w:sz w:val="24"/>
          <w:szCs w:val="24"/>
        </w:rPr>
        <w:t>de</w:t>
      </w:r>
      <w:r>
        <w:rPr>
          <w:rFonts w:ascii="Arial" w:hAnsi="Arial" w:cs="Times New Roman"/>
          <w:spacing w:val="-17"/>
          <w:sz w:val="24"/>
          <w:szCs w:val="24"/>
        </w:rPr>
        <w:t xml:space="preserve"> </w:t>
      </w:r>
      <w:r>
        <w:rPr>
          <w:rFonts w:ascii="Arial" w:hAnsi="Arial" w:cs="Times New Roman"/>
          <w:sz w:val="24"/>
          <w:szCs w:val="24"/>
        </w:rPr>
        <w:t>equipamentos</w:t>
      </w:r>
      <w:r>
        <w:rPr>
          <w:rFonts w:ascii="Arial" w:hAnsi="Arial" w:cs="Times New Roman"/>
          <w:spacing w:val="-15"/>
          <w:sz w:val="24"/>
          <w:szCs w:val="24"/>
        </w:rPr>
        <w:t xml:space="preserve"> </w:t>
      </w:r>
      <w:r>
        <w:rPr>
          <w:rFonts w:ascii="Arial" w:hAnsi="Arial" w:cs="Times New Roman"/>
          <w:sz w:val="24"/>
          <w:szCs w:val="24"/>
        </w:rPr>
        <w:t>ou</w:t>
      </w:r>
      <w:r>
        <w:rPr>
          <w:rFonts w:ascii="Arial" w:hAnsi="Arial" w:cs="Times New Roman"/>
          <w:spacing w:val="-15"/>
          <w:sz w:val="24"/>
          <w:szCs w:val="24"/>
        </w:rPr>
        <w:t xml:space="preserve"> </w:t>
      </w:r>
      <w:r>
        <w:rPr>
          <w:rFonts w:ascii="Arial" w:hAnsi="Arial" w:cs="Times New Roman"/>
          <w:sz w:val="24"/>
          <w:szCs w:val="24"/>
        </w:rPr>
        <w:t xml:space="preserve">defensivos </w:t>
      </w:r>
      <w:r>
        <w:rPr>
          <w:rFonts w:ascii="Arial" w:hAnsi="Arial" w:cs="Times New Roman"/>
          <w:spacing w:val="-2"/>
          <w:sz w:val="24"/>
          <w:szCs w:val="24"/>
        </w:rPr>
        <w:t>agrícolas.</w:t>
      </w:r>
    </w:p>
    <w:p w:rsidR="009D60B7" w:rsidRDefault="00425C09">
      <w:pPr>
        <w:pStyle w:val="Corpodetexto"/>
        <w:spacing w:line="360" w:lineRule="auto"/>
        <w:ind w:left="14" w:right="113" w:firstLine="826"/>
        <w:jc w:val="both"/>
        <w:rPr>
          <w:rFonts w:ascii="Arial" w:hAnsi="Arial"/>
          <w:sz w:val="24"/>
          <w:szCs w:val="24"/>
        </w:rPr>
      </w:pPr>
      <w:r>
        <w:rPr>
          <w:rFonts w:ascii="Arial" w:hAnsi="Arial" w:cs="Times New Roman"/>
          <w:sz w:val="24"/>
          <w:szCs w:val="24"/>
        </w:rPr>
        <w:t xml:space="preserve">O acesso à previdência também constitui desafio relevante pois a informalidade predominante nas atividades agrícolas e a insuficiência de documentos comprobatórios dificultam a obtenção de benefícios, como aposentadoria por idade rural, prevista na Lei nº 8.213/1991, e, como destaca Delgado (2014), a burocracia e a complexidade do </w:t>
      </w:r>
      <w:r>
        <w:rPr>
          <w:rFonts w:ascii="Arial" w:hAnsi="Arial" w:cs="Times New Roman"/>
          <w:sz w:val="24"/>
          <w:szCs w:val="24"/>
        </w:rPr>
        <w:lastRenderedPageBreak/>
        <w:t xml:space="preserve">sistema previdenciário podem levar à exclusão de idosos que trabalharam a vida toda em regime de economia </w:t>
      </w:r>
      <w:r>
        <w:rPr>
          <w:rFonts w:ascii="Arial" w:hAnsi="Arial" w:cs="Times New Roman"/>
          <w:spacing w:val="-2"/>
          <w:sz w:val="24"/>
          <w:szCs w:val="24"/>
        </w:rPr>
        <w:t>familiar.</w:t>
      </w:r>
    </w:p>
    <w:p w:rsidR="009D60B7" w:rsidRDefault="009D60B7">
      <w:pPr>
        <w:pStyle w:val="Corpodetexto"/>
        <w:spacing w:line="360" w:lineRule="auto"/>
        <w:ind w:left="443" w:right="130" w:firstLine="602"/>
        <w:jc w:val="both"/>
        <w:rPr>
          <w:rFonts w:ascii="Arial" w:hAnsi="Arial" w:cs="Times New Roman"/>
          <w:spacing w:val="-2"/>
        </w:rPr>
      </w:pPr>
    </w:p>
    <w:p w:rsidR="009D60B7" w:rsidRPr="0073048D" w:rsidRDefault="00425C09">
      <w:pPr>
        <w:pStyle w:val="Ttulo1"/>
        <w:spacing w:before="0" w:line="360" w:lineRule="auto"/>
        <w:jc w:val="both"/>
        <w:rPr>
          <w:rFonts w:ascii="Arial" w:hAnsi="Arial"/>
          <w:bCs/>
          <w:sz w:val="24"/>
          <w:szCs w:val="24"/>
        </w:rPr>
      </w:pPr>
      <w:r w:rsidRPr="0073048D">
        <w:rPr>
          <w:rFonts w:ascii="Arial" w:hAnsi="Arial" w:cs="Times New Roman"/>
          <w:bCs/>
          <w:sz w:val="24"/>
          <w:szCs w:val="24"/>
          <w:lang w:val="pt-BR"/>
        </w:rPr>
        <w:t xml:space="preserve">2 </w:t>
      </w:r>
      <w:r w:rsidRPr="0073048D">
        <w:rPr>
          <w:rFonts w:ascii="Arial" w:hAnsi="Arial" w:cs="Times New Roman"/>
          <w:bCs/>
          <w:sz w:val="24"/>
          <w:szCs w:val="24"/>
        </w:rPr>
        <w:t>DIFERENÇAS ENTRE O SEGURADO ESPECIAL RURAL E O EMPREGADO RURAL CELETISTA</w:t>
      </w:r>
    </w:p>
    <w:p w:rsidR="009D60B7" w:rsidRDefault="00425C09">
      <w:pPr>
        <w:pStyle w:val="Textbody"/>
        <w:tabs>
          <w:tab w:val="left" w:pos="1128"/>
        </w:tabs>
        <w:spacing w:after="0" w:line="360" w:lineRule="auto"/>
        <w:ind w:firstLineChars="350" w:firstLine="840"/>
        <w:jc w:val="both"/>
        <w:rPr>
          <w:rFonts w:ascii="Arial" w:hAnsi="Arial" w:cs="Times New Roman"/>
        </w:rPr>
      </w:pPr>
      <w:r>
        <w:rPr>
          <w:rFonts w:ascii="Arial" w:hAnsi="Arial" w:cs="Times New Roman"/>
        </w:rPr>
        <w:t>No sistema previdenciário brasileiro, a proteção social dos trabalhadores está vinculada ao Regime Geral de Previdência Social (RGPS), instituído pela Lei nº 8.213/1991. Dentro desse sistema, é possível identificar diferentes categorias de trabalhadores que exercem atividades no meio rural, destacando-se o segurado especial rural e o empregado rural.</w:t>
      </w:r>
    </w:p>
    <w:p w:rsidR="009D60B7" w:rsidRDefault="00425C09">
      <w:pPr>
        <w:pStyle w:val="Textbody"/>
        <w:tabs>
          <w:tab w:val="left" w:pos="1128"/>
        </w:tabs>
        <w:spacing w:after="0" w:line="360" w:lineRule="auto"/>
        <w:ind w:firstLineChars="350" w:firstLine="840"/>
        <w:jc w:val="both"/>
        <w:rPr>
          <w:rFonts w:ascii="Arial" w:hAnsi="Arial" w:cs="Times New Roman"/>
          <w:color w:val="000000" w:themeColor="dark1"/>
          <w:kern w:val="0"/>
          <w:shd w:val="clear" w:color="auto" w:fill="FFFFFF"/>
        </w:rPr>
      </w:pPr>
      <w:r>
        <w:rPr>
          <w:rFonts w:ascii="Arial" w:hAnsi="Arial" w:cs="Times New Roman"/>
          <w:color w:val="000000" w:themeColor="dark1"/>
          <w:kern w:val="0"/>
          <w:shd w:val="clear" w:color="auto" w:fill="FFFFFF"/>
        </w:rPr>
        <w:t xml:space="preserve">O inciso VII do artigo 11 da Lei nº 8.213 do ano de 1991, estabelece que o segurado especial rural é aquele que exerce atividade agrícola em regime de economia familiar, junto com seu cônjuge e filhos e reside em imóvel rural ou em local próximo, admitindo a contratação eventual de terceiros para auxiliar nas atividades do campo, desde que não haja vínculo empregatício permanente. </w:t>
      </w:r>
    </w:p>
    <w:p w:rsidR="009D60B7" w:rsidRDefault="00425C09">
      <w:pPr>
        <w:pStyle w:val="Textbody"/>
        <w:tabs>
          <w:tab w:val="left" w:pos="1128"/>
        </w:tabs>
        <w:spacing w:after="0" w:line="360" w:lineRule="auto"/>
        <w:ind w:firstLineChars="350" w:firstLine="840"/>
        <w:jc w:val="both"/>
        <w:rPr>
          <w:rFonts w:ascii="Arial" w:hAnsi="Arial"/>
        </w:rPr>
      </w:pPr>
      <w:r>
        <w:rPr>
          <w:rFonts w:ascii="Arial" w:hAnsi="Arial" w:cs="Times New Roman"/>
          <w:color w:val="000000" w:themeColor="dark1"/>
          <w:kern w:val="0"/>
          <w:shd w:val="clear" w:color="auto" w:fill="FFFFFF"/>
        </w:rPr>
        <w:t xml:space="preserve">A </w:t>
      </w:r>
      <w:r>
        <w:rPr>
          <w:rFonts w:ascii="Arial" w:hAnsi="Arial" w:cs="Times New Roman"/>
          <w:color w:val="000000" w:themeColor="dark1"/>
        </w:rPr>
        <w:t xml:space="preserve">produção realizada por esse trabalhador é destinada principalmente à subsistência própria e de sua família, sendo a comercialização limitada. Ressalta-se ainda que o segurado especial não precisa necessariamente ser proprietário da terra, podendo exercer a atividade na condição de possuidor, assentado, parceiro, meeiro, comodatário ou arrendatário </w:t>
      </w:r>
      <w:r>
        <w:rPr>
          <w:rFonts w:ascii="Arial" w:hAnsi="Arial" w:cs="Times New Roman"/>
        </w:rPr>
        <w:t>(Brasil, Lei nº 8.213/1991, art. 11, VII)</w:t>
      </w:r>
    </w:p>
    <w:p w:rsidR="009D60B7" w:rsidRDefault="00425C09">
      <w:pPr>
        <w:pStyle w:val="Textbody"/>
        <w:tabs>
          <w:tab w:val="left" w:pos="1248"/>
        </w:tabs>
        <w:spacing w:after="0" w:line="360" w:lineRule="auto"/>
        <w:ind w:firstLineChars="350" w:firstLine="840"/>
        <w:jc w:val="both"/>
        <w:rPr>
          <w:rFonts w:ascii="Arial" w:hAnsi="Arial"/>
        </w:rPr>
      </w:pPr>
      <w:r>
        <w:rPr>
          <w:rFonts w:ascii="Arial" w:hAnsi="Arial" w:cs="Times New Roman"/>
        </w:rPr>
        <w:t>No que se refere à contribuição previdenciária, essa categoria possui uma forma diferente de recolhimento, uma vez que a contribuição está vinculada à comercialização da produção rural, não sendo exigido, em regra, o recolhimento mensal direto pelo trabalhador, como ocorre com outras categorias de segurados (Berwanger, 2025; Brasil, 1991).</w:t>
      </w:r>
    </w:p>
    <w:p w:rsidR="009D60B7" w:rsidRDefault="00425C09">
      <w:pPr>
        <w:pStyle w:val="Textbody"/>
        <w:spacing w:after="0" w:line="360" w:lineRule="auto"/>
        <w:ind w:firstLineChars="350" w:firstLine="840"/>
        <w:jc w:val="both"/>
        <w:rPr>
          <w:rFonts w:hint="eastAsia"/>
        </w:rPr>
      </w:pPr>
      <w:r>
        <w:rPr>
          <w:rFonts w:ascii="Arial" w:hAnsi="Arial" w:cs="Times New Roman"/>
        </w:rPr>
        <w:t xml:space="preserve">Por outro lado, o empregado rural celetista é aquele que desempenha atividades ligadas à agricultura ou à pecuária em propriedade rural ou em prédio rústico, prestando serviços para um empregador mediante vínculo formal de trabalho. A relação jurídica é regida pela </w:t>
      </w:r>
      <w:r>
        <w:rPr>
          <w:rStyle w:val="Forte1"/>
          <w:rFonts w:ascii="Arial" w:hAnsi="Arial" w:cs="Times New Roman"/>
          <w:b w:val="0"/>
          <w:bCs w:val="0"/>
        </w:rPr>
        <w:t>Consolidação das Leis do Trabalho (CLT)</w:t>
      </w:r>
      <w:r>
        <w:rPr>
          <w:rFonts w:ascii="Arial" w:hAnsi="Arial" w:cs="Times New Roman"/>
        </w:rPr>
        <w:t>, instituída pelo Decreto-Lei nº 5.452/1943, responsável por estabelecer as normas que regulamentam as relações trabalhistas no Brasil (Berwanger, 2025).</w:t>
      </w:r>
    </w:p>
    <w:p w:rsidR="009D60B7" w:rsidRDefault="00425C09">
      <w:pPr>
        <w:pStyle w:val="Textbody"/>
        <w:spacing w:after="0" w:line="360" w:lineRule="auto"/>
        <w:ind w:firstLine="840"/>
        <w:jc w:val="both"/>
        <w:rPr>
          <w:rFonts w:ascii="Arial" w:hAnsi="Arial"/>
        </w:rPr>
      </w:pPr>
      <w:r>
        <w:rPr>
          <w:rFonts w:ascii="Arial" w:hAnsi="Arial" w:cs="Times New Roman"/>
        </w:rPr>
        <w:t xml:space="preserve">Para que o trabalhador seja reconhecido como empregado rural, é necessário que estejam presentes os elementos que caracterizam a relação de emprego, tais como </w:t>
      </w:r>
      <w:r>
        <w:rPr>
          <w:rFonts w:ascii="Arial" w:hAnsi="Arial" w:cs="Times New Roman"/>
        </w:rPr>
        <w:lastRenderedPageBreak/>
        <w:t>a prestação de serviços por pessoa física, a pessoalidade, a habitualidade ou não eventualidade, a onerosidade e a subordinação ao empregador. A presença desses requisitos é fundamental para que se configure o vínculo empregatício e, consequentemente, para que sejam aplicadas as normas trabalhistas e previdenciárias correspondentes</w:t>
      </w:r>
      <w:r>
        <w:rPr>
          <w:rFonts w:ascii="Arial" w:hAnsi="Arial" w:cs="Times New Roman"/>
          <w:color w:val="C9211E"/>
        </w:rPr>
        <w:t xml:space="preserve"> </w:t>
      </w:r>
      <w:r>
        <w:rPr>
          <w:rFonts w:ascii="Arial" w:hAnsi="Arial" w:cs="Times New Roman"/>
          <w:color w:val="000000"/>
        </w:rPr>
        <w:t>(Castro; Lazzari, 2023)</w:t>
      </w:r>
    </w:p>
    <w:p w:rsidR="009D60B7" w:rsidRDefault="00425C09">
      <w:pPr>
        <w:pStyle w:val="Textbody"/>
        <w:spacing w:after="0" w:line="360" w:lineRule="auto"/>
        <w:ind w:firstLineChars="350" w:firstLine="840"/>
        <w:jc w:val="both"/>
        <w:rPr>
          <w:rFonts w:ascii="Arial" w:hAnsi="Arial"/>
        </w:rPr>
      </w:pPr>
      <w:r>
        <w:rPr>
          <w:rFonts w:ascii="Arial" w:hAnsi="Arial" w:cs="Times New Roman"/>
        </w:rPr>
        <w:t>Os trabalhadores rurais celetistas possuem jornada de trabalho definida em lei e contam com direitos trabalhistas assegurados, e o descumprimento desses direitos pode gerar responsabilização do empregador nas esferas civil e trabalhista. No que se refere às contribuições previdenciárias, essa classe está inserida no Regime Geral de Previdência Social, estando sujeito às mesmas regras de contribuição aplicadas aos trabalhadores urbanos que são recolhidas pelo empregador, cujo realiza o desconto diretamente na folha de pagamento do trabalhador e posteriormente repassa os valores ao sistema previdenciário antes da efetivação do pagamento do salário (Castro; Lazzari, 2023; Jusbrasil, 2022).</w:t>
      </w:r>
    </w:p>
    <w:p w:rsidR="009D60B7" w:rsidRDefault="009D60B7">
      <w:pPr>
        <w:pStyle w:val="Textbody"/>
        <w:spacing w:after="0" w:line="360" w:lineRule="auto"/>
        <w:ind w:left="141" w:firstLine="1191"/>
        <w:jc w:val="both"/>
        <w:rPr>
          <w:rFonts w:ascii="Arial" w:hAnsi="Arial" w:cs="Times New Roman"/>
          <w:sz w:val="20"/>
          <w:szCs w:val="20"/>
        </w:rPr>
      </w:pPr>
    </w:p>
    <w:p w:rsidR="009D60B7" w:rsidRDefault="00425C09">
      <w:pPr>
        <w:pStyle w:val="Ttulo1"/>
        <w:spacing w:before="0" w:line="360" w:lineRule="auto"/>
        <w:jc w:val="both"/>
        <w:rPr>
          <w:rFonts w:ascii="Arial" w:hAnsi="Arial"/>
          <w:sz w:val="24"/>
          <w:szCs w:val="24"/>
        </w:rPr>
      </w:pPr>
      <w:r>
        <w:rPr>
          <w:rFonts w:ascii="Arial" w:hAnsi="Arial" w:cs="Times New Roman"/>
          <w:sz w:val="24"/>
          <w:szCs w:val="24"/>
        </w:rPr>
        <w:t>2.1. Dos benefícios previdenciários para os rurícolas</w:t>
      </w:r>
    </w:p>
    <w:p w:rsidR="009D60B7" w:rsidRDefault="00425C09">
      <w:pPr>
        <w:pStyle w:val="Textbody"/>
        <w:spacing w:after="0" w:line="360" w:lineRule="auto"/>
        <w:ind w:firstLineChars="419" w:firstLine="1006"/>
        <w:jc w:val="both"/>
        <w:rPr>
          <w:rFonts w:ascii="Arial" w:hAnsi="Arial"/>
          <w:sz w:val="20"/>
          <w:szCs w:val="20"/>
        </w:rPr>
      </w:pPr>
      <w:r>
        <w:rPr>
          <w:rFonts w:ascii="Arial" w:hAnsi="Arial" w:cs="Times New Roman"/>
        </w:rPr>
        <w:t>A doutrina previdenciária reconheceu e buscou respeitar peculiaridades da atividade rural, marcada por informalidade, sazonalidade e dificuldades de registro formal de vínculos de trabalho, assegurando maior proteção social ao trabalhador do campo. A concessão dos benefícios previdenciários aos rurícolas é um importante instrumento de proteção social, que garante maior segurança aos trabalhadores e suas famílias, entre os principais benefícios destinados aos rurícolas destacam-se a aposentadoria por idade rural, a aposentadoria por incapacidade permanente, o auxílio por incapacidade temporária, o salário-maternidade, o auxílio-acidente, além da pensão por morte e do auxílio-reclusão para os dependentes (Apbprev, 202</w:t>
      </w:r>
      <w:r>
        <w:rPr>
          <w:rFonts w:ascii="Arial" w:hAnsi="Arial" w:cs="Times New Roman"/>
          <w:sz w:val="20"/>
          <w:szCs w:val="20"/>
        </w:rPr>
        <w:t>4).</w:t>
      </w:r>
    </w:p>
    <w:p w:rsidR="009D60B7" w:rsidRDefault="009D60B7">
      <w:pPr>
        <w:pStyle w:val="Textbody"/>
        <w:spacing w:after="0" w:line="360" w:lineRule="auto"/>
        <w:ind w:left="113" w:firstLine="1247"/>
        <w:jc w:val="both"/>
        <w:rPr>
          <w:rFonts w:ascii="Arial" w:hAnsi="Arial" w:cs="Times New Roman"/>
          <w:sz w:val="20"/>
          <w:szCs w:val="20"/>
        </w:rPr>
      </w:pPr>
    </w:p>
    <w:p w:rsidR="009D60B7" w:rsidRDefault="00425C09">
      <w:pPr>
        <w:pStyle w:val="Ttulo1"/>
        <w:spacing w:before="0" w:line="360" w:lineRule="auto"/>
        <w:jc w:val="both"/>
        <w:rPr>
          <w:rFonts w:ascii="Arial" w:hAnsi="Arial"/>
          <w:sz w:val="24"/>
          <w:szCs w:val="24"/>
        </w:rPr>
      </w:pPr>
      <w:r>
        <w:rPr>
          <w:rFonts w:ascii="Arial" w:hAnsi="Arial" w:cs="Times New Roman"/>
          <w:sz w:val="24"/>
          <w:szCs w:val="24"/>
        </w:rPr>
        <w:t>2.2 Aposentadoria por Idade e por Tempo de Contribuição após a Reforma Previdenciária.</w:t>
      </w:r>
    </w:p>
    <w:p w:rsidR="009D60B7" w:rsidRDefault="00425C09">
      <w:pPr>
        <w:pStyle w:val="Textbody"/>
        <w:spacing w:after="0" w:line="360" w:lineRule="auto"/>
        <w:ind w:firstLineChars="307" w:firstLine="737"/>
        <w:jc w:val="both"/>
        <w:rPr>
          <w:rFonts w:ascii="Arial" w:hAnsi="Arial"/>
        </w:rPr>
      </w:pPr>
      <w:r>
        <w:rPr>
          <w:rFonts w:ascii="Arial" w:hAnsi="Arial" w:cs="Times New Roman"/>
        </w:rPr>
        <w:t>A aposentadoria por rural é um direito assegurado ao trabalhador rural que exerce atividade no campo e contribui para o sistema previdenciário brasileiro, administrado pelo Instituto Nacional do Seguro Social (INSS). A legislação previdenciária estabelece regras específicas para concessão desse benefício.</w:t>
      </w:r>
    </w:p>
    <w:p w:rsidR="009D60B7" w:rsidRDefault="00425C09">
      <w:pPr>
        <w:pStyle w:val="Textbody"/>
        <w:spacing w:after="0" w:line="360" w:lineRule="auto"/>
        <w:ind w:firstLineChars="307" w:firstLine="737"/>
        <w:jc w:val="both"/>
        <w:rPr>
          <w:rFonts w:ascii="Arial" w:hAnsi="Arial"/>
        </w:rPr>
      </w:pPr>
      <w:r>
        <w:rPr>
          <w:rFonts w:ascii="Arial" w:hAnsi="Arial" w:cs="Times New Roman"/>
        </w:rPr>
        <w:lastRenderedPageBreak/>
        <w:t xml:space="preserve">Segundo Ulrich (2004), a aposentadoria é considerada como um direito programável, onde o trabalhador precisa cumprir previamente requisitos como idade e tempo de contribuição, acabando com a ideia de tipos diferentes de aposentadoria rural, passando a ser necessário um planejamento ao longo da vida profissional. </w:t>
      </w:r>
    </w:p>
    <w:p w:rsidR="009D60B7" w:rsidRDefault="00425C09">
      <w:pPr>
        <w:pStyle w:val="Textbody"/>
        <w:spacing w:after="0" w:line="360" w:lineRule="auto"/>
        <w:ind w:firstLineChars="307" w:firstLine="737"/>
        <w:jc w:val="both"/>
        <w:rPr>
          <w:rFonts w:ascii="Arial" w:hAnsi="Arial"/>
        </w:rPr>
      </w:pPr>
      <w:r>
        <w:rPr>
          <w:rFonts w:ascii="Arial" w:hAnsi="Arial" w:cs="Times New Roman"/>
        </w:rPr>
        <w:t>Nesse sentido, o trabalhador rural pode se aposentar aos 60 anos de idade, se homem, e 55 anos, se mulher, e 180 meses de contribuição que equivale a 15 anos, para ambos os sexos, enquanto os trabalhadores urbanos, em regra, devem atingir 65 anos (homem) e 62 anos (mulher) e o mesmo tempo de contribuição, instituído pela Lei nº 8.213 do ano de 1991. Essa redução de cinco anos na idade mínima existe como um mecanismo de compensação social pelas condições mais severas enfrentadas no trabalho agrícola, reconhecendo o desgaste físico e as limitações estruturais da atividade rural.</w:t>
      </w:r>
    </w:p>
    <w:p w:rsidR="009D60B7" w:rsidRDefault="009D60B7">
      <w:pPr>
        <w:pStyle w:val="Textbody"/>
        <w:spacing w:after="0" w:line="360" w:lineRule="auto"/>
        <w:ind w:firstLineChars="307" w:firstLine="737"/>
        <w:jc w:val="both"/>
        <w:rPr>
          <w:rFonts w:ascii="Arial" w:hAnsi="Arial" w:cs="Times New Roman"/>
        </w:rPr>
      </w:pPr>
    </w:p>
    <w:p w:rsidR="009D60B7" w:rsidRDefault="00425C09">
      <w:pPr>
        <w:pStyle w:val="Ttulo1"/>
        <w:spacing w:before="0" w:line="360" w:lineRule="auto"/>
        <w:jc w:val="both"/>
        <w:rPr>
          <w:rFonts w:ascii="Arial" w:hAnsi="Arial"/>
          <w:sz w:val="24"/>
          <w:szCs w:val="24"/>
        </w:rPr>
      </w:pPr>
      <w:r>
        <w:rPr>
          <w:rFonts w:ascii="Arial" w:hAnsi="Arial" w:cs="Times New Roman"/>
          <w:sz w:val="24"/>
          <w:szCs w:val="24"/>
        </w:rPr>
        <w:t>2.3 Forma de contribuição ao sistema previdenciário</w:t>
      </w:r>
    </w:p>
    <w:p w:rsidR="009D60B7" w:rsidRDefault="00425C09">
      <w:pPr>
        <w:pStyle w:val="NormalWeb"/>
        <w:spacing w:beforeAutospacing="0" w:afterAutospacing="0" w:line="360" w:lineRule="auto"/>
        <w:ind w:firstLineChars="307" w:firstLine="737"/>
        <w:jc w:val="both"/>
      </w:pPr>
      <w:r>
        <w:rPr>
          <w:rFonts w:ascii="Arial" w:hAnsi="Arial"/>
        </w:rPr>
        <w:t xml:space="preserve">No âmbito do Regime Geral de Previdência Social, o financiamento do sistema ocorre por meio de contribuições sociais destinadas à manutenção da seguridade social, conforme previsto no art. 195 da </w:t>
      </w:r>
      <w:r>
        <w:rPr>
          <w:rStyle w:val="whitespace-normal"/>
          <w:rFonts w:ascii="Arial" w:hAnsi="Arial"/>
        </w:rPr>
        <w:t>Constituição Federal de 1988</w:t>
      </w:r>
      <w:r>
        <w:rPr>
          <w:rFonts w:ascii="Arial" w:hAnsi="Arial"/>
        </w:rPr>
        <w:t xml:space="preserve">. Entretanto, o legislador estabeleceu formas diferenciadas de contribuição para determinadas categorias de trabalhadores, especialmente em razão das particularidades da atividade exercida, como ocorre com o segurado especial, definido no art. 11, inciso VII, da </w:t>
      </w:r>
      <w:r>
        <w:rPr>
          <w:rStyle w:val="whitespace-normal"/>
          <w:rFonts w:ascii="Arial" w:hAnsi="Arial"/>
        </w:rPr>
        <w:t>Lei nº 8.213/1991</w:t>
      </w:r>
      <w:r>
        <w:rPr>
          <w:rFonts w:ascii="Arial" w:hAnsi="Arial"/>
        </w:rPr>
        <w:t xml:space="preserve">. Nesse sentido, </w:t>
      </w:r>
      <w:r>
        <w:rPr>
          <w:rStyle w:val="whitespace-normal"/>
          <w:rFonts w:ascii="Arial" w:hAnsi="Arial"/>
        </w:rPr>
        <w:t>Carlos Alberto Pereira de Castro</w:t>
      </w:r>
      <w:r>
        <w:rPr>
          <w:rFonts w:ascii="Arial" w:hAnsi="Arial"/>
        </w:rPr>
        <w:t xml:space="preserve"> e </w:t>
      </w:r>
      <w:r>
        <w:rPr>
          <w:rStyle w:val="whitespace-normal"/>
          <w:rFonts w:ascii="Arial" w:hAnsi="Arial"/>
        </w:rPr>
        <w:t>João Batista Lazzari</w:t>
      </w:r>
      <w:r>
        <w:rPr>
          <w:rFonts w:ascii="Arial" w:hAnsi="Arial"/>
        </w:rPr>
        <w:t xml:space="preserve"> destacam que o sistema previdenciário admite formas diferenciadas de custeio como forma de garantir a inclusão desses trabalhadores no sistema de proteção social (Castro; Lazzari , 2022).</w:t>
      </w:r>
    </w:p>
    <w:p w:rsidR="009D60B7" w:rsidRDefault="00425C09">
      <w:pPr>
        <w:pStyle w:val="NormalWeb"/>
        <w:spacing w:beforeAutospacing="0" w:afterAutospacing="0" w:line="360" w:lineRule="auto"/>
        <w:ind w:firstLineChars="307" w:firstLine="737"/>
        <w:jc w:val="both"/>
        <w:rPr>
          <w:rFonts w:ascii="Arial" w:hAnsi="Arial"/>
        </w:rPr>
      </w:pPr>
      <w:r>
        <w:rPr>
          <w:rFonts w:ascii="Arial" w:hAnsi="Arial"/>
        </w:rPr>
        <w:t>Nos termos do art. 25 da Lei nº 8.212/1991, a contribuição previdenciária do segurado especial incide sobre a receita bruta proveniente da comercialização da produção rural, sendo destinada ao financiamento da seguridade social. Diferentemente das demais categorias de segurados, que realizam contribuições mensais sobre a remuneração, o segurado especial contribui de forma indireta, vinculada à comercialização de sua produção. Trata-se, portanto, de uma categoria legalmente reconhecida, cuja forma de contribuição evidencia a adaptação do sistema previdenciário às particularidades do meio rural.</w:t>
      </w:r>
    </w:p>
    <w:p w:rsidR="009D60B7" w:rsidRDefault="00425C09">
      <w:pPr>
        <w:pStyle w:val="NormalWeb"/>
        <w:spacing w:beforeAutospacing="0" w:afterAutospacing="0" w:line="360" w:lineRule="auto"/>
        <w:ind w:firstLineChars="307" w:firstLine="737"/>
        <w:jc w:val="both"/>
      </w:pPr>
      <w:r>
        <w:rPr>
          <w:rFonts w:ascii="Arial" w:hAnsi="Arial"/>
        </w:rPr>
        <w:t>A doutrina previdenciária ressalta que essa forma de contribuição foi estruturada considerando a instabilidade e sazonalidade da renda rural. Nesse sentido, Fr</w:t>
      </w:r>
      <w:r>
        <w:rPr>
          <w:rStyle w:val="whitespace-normal"/>
          <w:rFonts w:ascii="Arial" w:hAnsi="Arial"/>
        </w:rPr>
        <w:t xml:space="preserve">ederico </w:t>
      </w:r>
      <w:r>
        <w:rPr>
          <w:rStyle w:val="whitespace-normal"/>
          <w:rFonts w:ascii="Arial" w:hAnsi="Arial"/>
        </w:rPr>
        <w:lastRenderedPageBreak/>
        <w:t>Amado</w:t>
      </w:r>
      <w:r>
        <w:rPr>
          <w:rFonts w:ascii="Arial" w:hAnsi="Arial"/>
        </w:rPr>
        <w:t xml:space="preserve"> destaca que o modelo contributivo do segurado especial busca conciliar a inclusão previdenciária com as peculiaridades da atividade rural, permitindo que o trabalhador participe do sistema mesmo sem contribuições mensais contínuas (Amado, 2020).</w:t>
      </w:r>
    </w:p>
    <w:p w:rsidR="009D60B7" w:rsidRDefault="00425C09">
      <w:pPr>
        <w:pStyle w:val="NormalWeb"/>
        <w:spacing w:beforeAutospacing="0" w:afterAutospacing="0" w:line="360" w:lineRule="auto"/>
        <w:ind w:firstLineChars="307" w:firstLine="737"/>
        <w:jc w:val="both"/>
      </w:pPr>
      <w:r>
        <w:rPr>
          <w:rFonts w:ascii="Arial" w:hAnsi="Arial"/>
        </w:rPr>
        <w:t xml:space="preserve">Além da contribuição vinculada à comercialização da produção, a legislação também prevê a possibilidade de o segurado especial realizar contribuições facultativas ao sistema previdenciário. Tal possibilidade encontra fundamento no art. 21 da </w:t>
      </w:r>
      <w:r>
        <w:rPr>
          <w:rStyle w:val="whitespace-normal"/>
          <w:rFonts w:ascii="Arial" w:hAnsi="Arial"/>
        </w:rPr>
        <w:t>Lei nº 8.212/1991</w:t>
      </w:r>
      <w:r>
        <w:rPr>
          <w:rFonts w:ascii="Arial" w:hAnsi="Arial"/>
        </w:rPr>
        <w:t xml:space="preserve">, bem como no art. 39, inciso II, da </w:t>
      </w:r>
      <w:r>
        <w:rPr>
          <w:rStyle w:val="whitespace-normal"/>
          <w:rFonts w:ascii="Arial" w:hAnsi="Arial"/>
        </w:rPr>
        <w:t>Lei nº 8.213/1991</w:t>
      </w:r>
      <w:r>
        <w:rPr>
          <w:rFonts w:ascii="Arial" w:hAnsi="Arial"/>
        </w:rPr>
        <w:t xml:space="preserve">. Nesses casos, o trabalhador rural pode optar por realizar recolhimentos mensais calculados com base no salário de contribuição escolhido, o que possibilita o acesso a benefícios com valores superiores ao salário mínimo, conforme observa </w:t>
      </w:r>
      <w:r>
        <w:rPr>
          <w:rStyle w:val="whitespace-normal"/>
          <w:rFonts w:ascii="Arial" w:hAnsi="Arial"/>
        </w:rPr>
        <w:t>Fábio Zambitte Ibrahim</w:t>
      </w:r>
      <w:r>
        <w:rPr>
          <w:rFonts w:ascii="Arial" w:hAnsi="Arial"/>
        </w:rPr>
        <w:t>, a contribuição facultativa permite ampliar a proteção previdenciária do segurado especial dentro do sistema previdenciário (Ibrahim, 2015).</w:t>
      </w:r>
    </w:p>
    <w:p w:rsidR="009D60B7" w:rsidRDefault="009D60B7">
      <w:pPr>
        <w:pStyle w:val="NormalWeb"/>
        <w:spacing w:beforeAutospacing="0" w:afterAutospacing="0" w:line="360" w:lineRule="auto"/>
        <w:ind w:firstLineChars="307" w:firstLine="737"/>
        <w:jc w:val="both"/>
        <w:rPr>
          <w:rFonts w:ascii="Arial" w:hAnsi="Arial"/>
        </w:rPr>
      </w:pPr>
    </w:p>
    <w:p w:rsidR="009D60B7" w:rsidRDefault="00425C09">
      <w:pPr>
        <w:pStyle w:val="Ttulo1"/>
        <w:spacing w:before="0" w:line="360" w:lineRule="auto"/>
        <w:jc w:val="both"/>
        <w:rPr>
          <w:rFonts w:ascii="Arial" w:hAnsi="Arial"/>
          <w:sz w:val="24"/>
          <w:szCs w:val="24"/>
        </w:rPr>
      </w:pPr>
      <w:r>
        <w:rPr>
          <w:rFonts w:ascii="Arial" w:hAnsi="Arial" w:cs="Times New Roman"/>
          <w:sz w:val="24"/>
          <w:szCs w:val="24"/>
        </w:rPr>
        <w:t>2.3.1 Base legal e critérios para comprovação da atividade rural</w:t>
      </w:r>
    </w:p>
    <w:p w:rsidR="009D60B7" w:rsidRDefault="00425C09">
      <w:pPr>
        <w:pStyle w:val="NormalWeb"/>
        <w:spacing w:beforeAutospacing="0" w:afterAutospacing="0" w:line="360" w:lineRule="auto"/>
        <w:ind w:firstLineChars="307" w:firstLine="737"/>
        <w:jc w:val="both"/>
      </w:pPr>
      <w:r>
        <w:rPr>
          <w:rFonts w:ascii="Arial" w:hAnsi="Arial"/>
        </w:rPr>
        <w:t xml:space="preserve">A comprovação do exercício da atividade rural constitui requisito essencial para o reconhecimento da condição de segurado especial e, consequentemente, para a concessão de benefícios previdenciários. Isso ocorre porque, diferentemente de outros segurados do Regime Geral de Previdência Social, o trabalhador rural, em regra, não realiza contribuições mensais diretas, o que torna indispensável a demonstração do efetivo exercício da atividade para fins de enquadramento no sistema previdenciário. Nesse sentido, a legislação estabelece critérios específicos para a comprovação da atividade rural, exigindo a apresentação de elementos que evidenciem o desempenho das atividades no meio rural, conforme dispõe o art. 55, §3º, da </w:t>
      </w:r>
      <w:r>
        <w:rPr>
          <w:rStyle w:val="whitespace-normal"/>
          <w:rFonts w:ascii="Arial" w:hAnsi="Arial"/>
        </w:rPr>
        <w:t>Lei nº 8.213/1991</w:t>
      </w:r>
      <w:r>
        <w:rPr>
          <w:rFonts w:ascii="Arial" w:hAnsi="Arial"/>
        </w:rPr>
        <w:t>.</w:t>
      </w:r>
    </w:p>
    <w:p w:rsidR="009D60B7" w:rsidRDefault="00425C09">
      <w:pPr>
        <w:pStyle w:val="NormalWeb"/>
        <w:spacing w:beforeAutospacing="0" w:afterAutospacing="0" w:line="360" w:lineRule="auto"/>
        <w:ind w:firstLineChars="307" w:firstLine="737"/>
        <w:jc w:val="both"/>
      </w:pPr>
      <w:r>
        <w:rPr>
          <w:rFonts w:ascii="Arial" w:hAnsi="Arial"/>
        </w:rPr>
        <w:t xml:space="preserve">A exigência de início de prova material revela-se como um dos principais critérios estabelecidos pelo ordenamento jurídico, tendo como finalidade assegurar maior segurança jurídica na análise dos pedidos previdenciários. Tal exigência decorre da necessidade de evitar fraudes e garantir que apenas aqueles que efetivamente exerceram atividade rural sejam reconhecidos como segurados especiais. Nesse contexto, </w:t>
      </w:r>
      <w:r>
        <w:rPr>
          <w:rStyle w:val="whitespace-normal"/>
          <w:rFonts w:ascii="Arial" w:hAnsi="Arial"/>
        </w:rPr>
        <w:t>Daniel Machado da Rocha</w:t>
      </w:r>
      <w:r>
        <w:rPr>
          <w:rFonts w:ascii="Arial" w:hAnsi="Arial"/>
        </w:rPr>
        <w:t xml:space="preserve"> e </w:t>
      </w:r>
      <w:r>
        <w:rPr>
          <w:rStyle w:val="whitespace-normal"/>
          <w:rFonts w:ascii="Arial" w:hAnsi="Arial"/>
        </w:rPr>
        <w:t>José Paulo Baltazar Júnior</w:t>
      </w:r>
      <w:r>
        <w:rPr>
          <w:rFonts w:ascii="Arial" w:hAnsi="Arial"/>
        </w:rPr>
        <w:t xml:space="preserve"> destacam que a comprovação da atividade rural não pode se basear exclusivamente em alegações do segurado, sendo indispensável a apresentação de elementos documentais que sirvam como início de prova material (Rocha; Baltazar Júnior, 2019).</w:t>
      </w:r>
    </w:p>
    <w:p w:rsidR="009D60B7" w:rsidRDefault="00425C09">
      <w:pPr>
        <w:pStyle w:val="NormalWeb"/>
        <w:spacing w:beforeAutospacing="0" w:afterAutospacing="0" w:line="360" w:lineRule="auto"/>
        <w:ind w:firstLineChars="307" w:firstLine="737"/>
        <w:jc w:val="both"/>
      </w:pPr>
      <w:r>
        <w:rPr>
          <w:rFonts w:ascii="Arial" w:hAnsi="Arial"/>
        </w:rPr>
        <w:lastRenderedPageBreak/>
        <w:t xml:space="preserve">Além disso, é importante destacar que a exigência probatória está diretamente relacionada às peculiaridades da atividade rural, que, muitas vezes, é exercida de forma informal e sem registros sistemáticos. Por essa razão, o legislador adotou um critério mais flexível quanto aos meios de prova, sem, contudo, afastar a necessidade de demonstração mínima documental, conforme se observa no art. 106 da </w:t>
      </w:r>
      <w:r>
        <w:rPr>
          <w:rStyle w:val="whitespace-normal"/>
          <w:rFonts w:ascii="Arial" w:hAnsi="Arial"/>
        </w:rPr>
        <w:t>Lei nº 8.213/1991</w:t>
      </w:r>
      <w:r>
        <w:rPr>
          <w:rFonts w:ascii="Arial" w:hAnsi="Arial"/>
        </w:rPr>
        <w:t xml:space="preserve">. </w:t>
      </w:r>
    </w:p>
    <w:p w:rsidR="009D60B7" w:rsidRDefault="00425C09">
      <w:pPr>
        <w:pStyle w:val="NormalWeb"/>
        <w:spacing w:beforeAutospacing="0" w:afterAutospacing="0" w:line="360" w:lineRule="auto"/>
        <w:ind w:firstLineChars="307" w:firstLine="737"/>
        <w:jc w:val="both"/>
      </w:pPr>
      <w:r>
        <w:rPr>
          <w:rFonts w:ascii="Arial" w:hAnsi="Arial"/>
        </w:rPr>
        <w:t xml:space="preserve">Assim, a comprovação da atividade rural resulta de um equilíbrio entre a necessidade de proteção do trabalhador rural e a preservação da segurança jurídica do sistema previdenciário, evitando o reconhecimento indevido de direitos sem a devida comprovação, conforme ressaltam </w:t>
      </w:r>
      <w:r>
        <w:rPr>
          <w:rStyle w:val="whitespace-normal"/>
          <w:rFonts w:ascii="Arial" w:hAnsi="Arial"/>
        </w:rPr>
        <w:t>Carlos Alberto Pereira de Castro</w:t>
      </w:r>
      <w:r>
        <w:rPr>
          <w:rFonts w:ascii="Arial" w:hAnsi="Arial"/>
        </w:rPr>
        <w:t xml:space="preserve"> e </w:t>
      </w:r>
      <w:r>
        <w:rPr>
          <w:rStyle w:val="whitespace-normal"/>
          <w:rFonts w:ascii="Arial" w:hAnsi="Arial"/>
        </w:rPr>
        <w:t>João Batista Lazzari</w:t>
      </w:r>
      <w:r>
        <w:rPr>
          <w:rFonts w:ascii="Arial" w:hAnsi="Arial"/>
        </w:rPr>
        <w:t xml:space="preserve"> (2022).</w:t>
      </w:r>
    </w:p>
    <w:p w:rsidR="009D60B7" w:rsidRDefault="009D60B7">
      <w:pPr>
        <w:pStyle w:val="NormalWeb"/>
        <w:spacing w:beforeAutospacing="0" w:afterAutospacing="0" w:line="360" w:lineRule="auto"/>
        <w:ind w:firstLineChars="307" w:firstLine="737"/>
        <w:jc w:val="both"/>
        <w:rPr>
          <w:rFonts w:ascii="Arial" w:hAnsi="Arial"/>
        </w:rPr>
      </w:pPr>
    </w:p>
    <w:p w:rsidR="009D60B7" w:rsidRDefault="00425C09">
      <w:pPr>
        <w:pStyle w:val="Ttulo1"/>
        <w:spacing w:before="0" w:line="360" w:lineRule="auto"/>
        <w:jc w:val="both"/>
        <w:rPr>
          <w:rFonts w:ascii="Arial" w:hAnsi="Arial"/>
          <w:sz w:val="24"/>
          <w:szCs w:val="24"/>
        </w:rPr>
      </w:pPr>
      <w:r>
        <w:rPr>
          <w:rFonts w:ascii="Arial" w:hAnsi="Arial" w:cs="Times New Roman"/>
          <w:sz w:val="24"/>
          <w:szCs w:val="24"/>
        </w:rPr>
        <w:t>2.3.2. Dos meios de prova admitidos para comprovação do exercício da atividade rural</w:t>
      </w:r>
    </w:p>
    <w:p w:rsidR="009D60B7" w:rsidRDefault="00425C09">
      <w:pPr>
        <w:pStyle w:val="NormalWeb"/>
        <w:spacing w:beforeAutospacing="0" w:afterAutospacing="0" w:line="360" w:lineRule="auto"/>
        <w:ind w:firstLineChars="307" w:firstLine="737"/>
        <w:jc w:val="both"/>
        <w:rPr>
          <w:rFonts w:ascii="Arial" w:hAnsi="Arial"/>
        </w:rPr>
      </w:pPr>
      <w:r>
        <w:rPr>
          <w:rFonts w:ascii="Arial" w:hAnsi="Arial"/>
        </w:rPr>
        <w:t xml:space="preserve">Para fins de reconhecimento do tempo de serviço rural, a legislação previdenciária admite diferentes meios de prova capazes de demonstrar o exercício da atividade rural, sendo a prova documental considerada o principal instrumento para evidenciar o vínculo do trabalhador com o meio rural. </w:t>
      </w:r>
    </w:p>
    <w:p w:rsidR="009D60B7" w:rsidRDefault="00425C09">
      <w:pPr>
        <w:pStyle w:val="NormalWeb"/>
        <w:spacing w:beforeAutospacing="0" w:afterAutospacing="0" w:line="360" w:lineRule="auto"/>
        <w:ind w:firstLineChars="307" w:firstLine="737"/>
        <w:jc w:val="both"/>
      </w:pPr>
      <w:r>
        <w:rPr>
          <w:rFonts w:ascii="Arial" w:hAnsi="Arial"/>
        </w:rPr>
        <w:t xml:space="preserve">Nesse sentido, o art. 106 da </w:t>
      </w:r>
      <w:r>
        <w:rPr>
          <w:rStyle w:val="whitespace-normal"/>
          <w:rFonts w:ascii="Arial" w:hAnsi="Arial"/>
        </w:rPr>
        <w:t>Lei nº 8.213 do ano de 1991</w:t>
      </w:r>
      <w:r>
        <w:rPr>
          <w:rFonts w:ascii="Arial" w:hAnsi="Arial"/>
        </w:rPr>
        <w:t xml:space="preserve"> apresenta rol exemplificativo de documentos aptos a constituir início de prova material, entre os quais se destacam certidões de nascimento ou casamento com qualificação profissional como lavrador, contratos de arrendamento ou parceria rural, comprovantes de cadastro em órgãos públicos vinculados à atividade agrícola, notas fiscais de comercialização da produção rural e registros em sindicatos rurais.</w:t>
      </w:r>
    </w:p>
    <w:p w:rsidR="009D60B7" w:rsidRDefault="00425C09">
      <w:pPr>
        <w:pStyle w:val="NormalWeb"/>
        <w:spacing w:beforeAutospacing="0" w:afterAutospacing="0" w:line="360" w:lineRule="auto"/>
        <w:ind w:firstLineChars="307" w:firstLine="737"/>
        <w:jc w:val="both"/>
        <w:rPr>
          <w:rFonts w:ascii="Arial" w:hAnsi="Arial"/>
        </w:rPr>
      </w:pPr>
      <w:r>
        <w:rPr>
          <w:rFonts w:ascii="Arial" w:hAnsi="Arial"/>
        </w:rPr>
        <w:t xml:space="preserve">Além da prova documental, admite-se a utilização de prova testemunhal como meio complementar de comprovação da atividade rural, especialmente quando a documentação apresentada não abrange integralmente todo o período de trabalho alegado pelo segurado. </w:t>
      </w:r>
    </w:p>
    <w:p w:rsidR="009D60B7" w:rsidRDefault="00425C09">
      <w:pPr>
        <w:pStyle w:val="NormalWeb"/>
        <w:spacing w:beforeAutospacing="0" w:afterAutospacing="0" w:line="360" w:lineRule="auto"/>
        <w:ind w:firstLineChars="307" w:firstLine="737"/>
        <w:jc w:val="both"/>
      </w:pPr>
      <w:r>
        <w:rPr>
          <w:rFonts w:ascii="Arial" w:hAnsi="Arial"/>
        </w:rPr>
        <w:t xml:space="preserve">Nesse sentido, </w:t>
      </w:r>
      <w:r>
        <w:rPr>
          <w:rStyle w:val="whitespace-normal"/>
          <w:rFonts w:ascii="Arial" w:hAnsi="Arial"/>
        </w:rPr>
        <w:t>Ibrahim</w:t>
      </w:r>
      <w:r>
        <w:rPr>
          <w:rFonts w:ascii="Arial" w:hAnsi="Arial"/>
        </w:rPr>
        <w:t xml:space="preserve"> destaca que os depoimentos testemunhais contribuem para confirmar o exercício da atividade rural, desde que analisados em conjunto com outros elementos probatórios (Ibrahim, 2015). Contudo, a prova exclusivamente testemunhal não é admitida para tal finalidade, conforme entendimento consolidado na </w:t>
      </w:r>
      <w:r>
        <w:rPr>
          <w:rStyle w:val="whitespace-normal"/>
          <w:rFonts w:ascii="Arial" w:hAnsi="Arial"/>
        </w:rPr>
        <w:t>Súmula 149 do Superior Tribunal de Justiça</w:t>
      </w:r>
      <w:r>
        <w:rPr>
          <w:rFonts w:ascii="Arial" w:hAnsi="Arial"/>
        </w:rPr>
        <w:t>, razão pela qual a análise do direito ao benefício deve considerar o conjunto probatório aprese</w:t>
      </w:r>
      <w:r>
        <w:rPr>
          <w:rFonts w:ascii="Arial" w:hAnsi="Arial"/>
          <w:sz w:val="20"/>
          <w:szCs w:val="20"/>
        </w:rPr>
        <w:t>ntado.</w:t>
      </w:r>
    </w:p>
    <w:p w:rsidR="009D60B7" w:rsidRDefault="009D60B7">
      <w:pPr>
        <w:pStyle w:val="NormalWeb"/>
        <w:spacing w:beforeAutospacing="0" w:afterAutospacing="0" w:line="360" w:lineRule="auto"/>
        <w:jc w:val="both"/>
        <w:rPr>
          <w:rFonts w:ascii="Arial" w:hAnsi="Arial"/>
          <w:sz w:val="20"/>
          <w:szCs w:val="20"/>
        </w:rPr>
      </w:pPr>
    </w:p>
    <w:p w:rsidR="009D60B7" w:rsidRPr="00BA533E" w:rsidRDefault="00425C09">
      <w:pPr>
        <w:pStyle w:val="NormalWeb"/>
        <w:spacing w:beforeAutospacing="0" w:afterAutospacing="0" w:line="360" w:lineRule="auto"/>
        <w:jc w:val="both"/>
        <w:rPr>
          <w:rFonts w:ascii="Arial" w:hAnsi="Arial"/>
        </w:rPr>
      </w:pPr>
      <w:r w:rsidRPr="00BA533E">
        <w:rPr>
          <w:rFonts w:ascii="Arial" w:hAnsi="Arial"/>
          <w:bCs/>
          <w:lang w:val="pt-BR"/>
        </w:rPr>
        <w:t>3</w:t>
      </w:r>
      <w:r w:rsidRPr="00BA533E">
        <w:rPr>
          <w:rFonts w:ascii="Arial" w:hAnsi="Arial"/>
          <w:bCs/>
        </w:rPr>
        <w:t xml:space="preserve"> A INFORMALIDADE NAS RELAÇÕES DE TRABALHO NO CAMPO</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A informalidade nas relações de trabalho no meio rural constitui uma realidade estrutural que compromete a efetividade dos direitos sociais no Brasil, especialmente no âmbito previdenciário. Apesar de a Constituição Federal de 1988 consagrar um modelo de seguridade social baseado na universalidade da cobertura, ao estabelecer que “a seguridade social compreende um conjunto integrado de ações de iniciativa dos Poderes Públicos e da sociedade” (Brasil, 1988, art. 194), verifica-se, na prática, a exclusão de significativa parcela de trabalhadores rurais do sistema protetivo.</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Essa exclusão decorre de fatores históricos e estruturais que consolidaram práticas laborais marcadas pela ausência de formalização, sobretudo no âmbito da agricultura familiar e do trabalho eventual no campo. Nesse sentido, Sérgio Pinto Martins observa que “no meio rural, a informalidade das relações de trabalho ainda é predominante, dificultando a comprovação do tempo de serviço” (Martins, 2023, p. 214), o que evidencia a inadequação do modelo jurídico tradicional à realidade social rural.</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Além disso, a informalidade fragiliza a inserção do trabalhador no sistema previdenciário, comprometendo não apenas o reconhecimento do tempo de serviço, mas também o acesso a benefícios essenciais. Conforme destaca Frederico Amado, “a ausência de registros formais impede a adequada vinculação do trabalhador rural ao sistema previdenciário” (Amado, 2023, p. 518), o que transforma o direito à previdência em uma garantia muitas vezes meramente formal.</w:t>
      </w:r>
    </w:p>
    <w:p w:rsidR="009D60B7" w:rsidRDefault="009D60B7">
      <w:pPr>
        <w:pStyle w:val="NormalWeb"/>
        <w:spacing w:beforeAutospacing="0" w:afterAutospacing="0" w:line="360" w:lineRule="auto"/>
        <w:ind w:firstLine="1134"/>
        <w:jc w:val="both"/>
        <w:rPr>
          <w:rFonts w:ascii="Arial" w:hAnsi="Arial"/>
          <w:sz w:val="20"/>
          <w:szCs w:val="20"/>
        </w:rPr>
      </w:pPr>
    </w:p>
    <w:p w:rsidR="009D60B7" w:rsidRDefault="00425C09">
      <w:pPr>
        <w:pStyle w:val="NormalWeb"/>
        <w:spacing w:beforeAutospacing="0" w:afterAutospacing="0" w:line="360" w:lineRule="auto"/>
        <w:jc w:val="both"/>
        <w:rPr>
          <w:rFonts w:ascii="Arial" w:hAnsi="Arial"/>
        </w:rPr>
      </w:pPr>
      <w:r>
        <w:rPr>
          <w:rFonts w:ascii="Arial" w:hAnsi="Arial"/>
        </w:rPr>
        <w:t>3.1. Os obstáculos ao reconhecimento do direito previdenciário do trabalhador rural informal</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O reconhecimento do direito previdenciário do trabalhador rural informal encontra entraves que decorrem, sobretudo, da exigência de comprovação do exercício da atividade rural, requisito indispensável à concessão de benefícios. A Lei nº 8.213 do ano de 1991, em seu art. 55, §3 dispõe que “a comprovação do tempo de serviço [...] só produzirá efeito quando baseada em início de prova material” (Brasil, 1991,</w:t>
      </w:r>
      <w:r>
        <w:rPr>
          <w:rFonts w:ascii="Arial" w:hAnsi="Arial"/>
          <w:i/>
          <w:iCs/>
        </w:rPr>
        <w:t xml:space="preserve"> on line</w:t>
      </w:r>
      <w:r>
        <w:rPr>
          <w:rFonts w:ascii="Arial" w:hAnsi="Arial"/>
        </w:rPr>
        <w:t>), estabelecendo um modelo probatório centrado na documentação formal.</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 xml:space="preserve">Todavia, tal exigência revela-se, muitas vezes, incompatível com a realidade do trabalhador rural informal, que, em razão da própria natureza de sua atividade, não dispõe de registros documentais suficientes. Conforme lecionam Carlos Alberto Pereira </w:t>
      </w:r>
      <w:r>
        <w:rPr>
          <w:rFonts w:ascii="Arial" w:hAnsi="Arial"/>
        </w:rPr>
        <w:lastRenderedPageBreak/>
        <w:t>de Castro e João Batista Lazzari, “a dificuldade de produção de prova material no meio rural impõe ao segurado um encargo probatório desproporcional” (Castro; Lazzari, 2024, p. 389), evidenciando a tensão entre norma e realidade.</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A problemática é agravada pela atuação administrativa do Instituto Nacional do Seguro Social, que frequentemente adota uma postura formalista na análise dos requerimentos, desconsiderando as peculiaridades do trabalho rural. Nesse contexto, Frederico Amado ressalta que “a Administração Previdenciária tende a exigir documentação incompatível com a realidade do trabalhador rural informal” (Amado, 2023, p. 522), contribuindo para a negativa indevida de benefícios.</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Diante desse cenário, impõe-se a necessidade de uma releitura do sistema probatório previdenciário à luz dos princípios constitucionais, especialmente os da dignidade da pessoa humana, da proteção social e da primazia da realidade. Como destaca Sérgio Pinto Martins, “a aplicação do direito previdenciário deve considerar as condições concretas do segurado” (Martins, 2023, p. 220), sob pena de transformar a exigência probatória em um instrumento de exclusão social, em flagrante contradição com os objetivos da seguridade social.</w:t>
      </w:r>
    </w:p>
    <w:p w:rsidR="009D60B7" w:rsidRDefault="009D60B7">
      <w:pPr>
        <w:pStyle w:val="NormalWeb"/>
        <w:spacing w:beforeAutospacing="0" w:afterAutospacing="0" w:line="360" w:lineRule="auto"/>
        <w:ind w:firstLine="1191"/>
        <w:jc w:val="both"/>
        <w:rPr>
          <w:rFonts w:ascii="Arial" w:hAnsi="Arial"/>
          <w:sz w:val="20"/>
          <w:szCs w:val="20"/>
        </w:rPr>
      </w:pPr>
    </w:p>
    <w:p w:rsidR="009D60B7" w:rsidRDefault="00425C09">
      <w:pPr>
        <w:pStyle w:val="Standard"/>
        <w:widowControl w:val="0"/>
        <w:spacing w:line="360" w:lineRule="auto"/>
        <w:jc w:val="both"/>
        <w:rPr>
          <w:rFonts w:ascii="Arial" w:hAnsi="Arial"/>
        </w:rPr>
      </w:pPr>
      <w:r>
        <w:rPr>
          <w:rFonts w:ascii="Arial" w:hAnsi="Arial" w:cs="Times New Roman"/>
          <w:kern w:val="0"/>
        </w:rPr>
        <w:t>3.1.1 As dificuldades de comprovação do vínculo empregatício rural</w:t>
      </w:r>
    </w:p>
    <w:p w:rsidR="009D60B7" w:rsidRDefault="00425C09">
      <w:pPr>
        <w:pStyle w:val="Textbody"/>
        <w:widowControl w:val="0"/>
        <w:spacing w:after="0" w:line="360" w:lineRule="auto"/>
        <w:ind w:firstLineChars="350" w:firstLine="840"/>
        <w:jc w:val="both"/>
        <w:rPr>
          <w:rFonts w:ascii="Arial" w:hAnsi="Arial"/>
        </w:rPr>
      </w:pPr>
      <w:r>
        <w:rPr>
          <w:rFonts w:ascii="Arial" w:hAnsi="Arial" w:cs="Times New Roman"/>
          <w:color w:val="000000" w:themeColor="dark1"/>
          <w:kern w:val="0"/>
        </w:rPr>
        <w:t xml:space="preserve">A comprovação do vínculo empregatício rural apresenta diversos obstáculos, sobretudo no momento da produção de provas, uma vez que muitos trabalhadores exercem suas atividades a margem da informalidade. A ausência de registro na Carteira de Trabalho e Previdência Social (CTPS) é recorrente, mesmo quando estão presentes os requisitos que caracterizam a relação de emprego. De acordo com dados divulgados em reportagem do G1 do Paraná, o setor agrícola concentra uma das maiores taxas de informalidade entre as atividades econômicas do país, alcançando cerca de 66% (G1, 2023, </w:t>
      </w:r>
      <w:r>
        <w:rPr>
          <w:rFonts w:ascii="Arial" w:hAnsi="Arial" w:cs="Times New Roman"/>
          <w:i/>
          <w:iCs/>
          <w:color w:val="000000" w:themeColor="dark1"/>
          <w:kern w:val="0"/>
        </w:rPr>
        <w:t>on line</w:t>
      </w:r>
      <w:r>
        <w:rPr>
          <w:rFonts w:ascii="Arial" w:hAnsi="Arial" w:cs="Times New Roman"/>
          <w:color w:val="000000" w:themeColor="dark1"/>
          <w:kern w:val="0"/>
        </w:rPr>
        <w:t>). Essa realidade evidencia a fragilidade na formalização das relações de trabalho no meio rural.</w:t>
      </w:r>
    </w:p>
    <w:p w:rsidR="009D60B7" w:rsidRDefault="00425C09">
      <w:pPr>
        <w:pStyle w:val="Textbody"/>
        <w:spacing w:after="0" w:line="360" w:lineRule="auto"/>
        <w:ind w:firstLineChars="350" w:firstLine="840"/>
        <w:jc w:val="both"/>
        <w:rPr>
          <w:rFonts w:ascii="Arial" w:hAnsi="Arial"/>
        </w:rPr>
      </w:pPr>
      <w:r>
        <w:rPr>
          <w:rFonts w:ascii="Arial" w:hAnsi="Arial" w:cs="Times New Roman"/>
        </w:rPr>
        <w:t xml:space="preserve">Aponta-se que esse grupo de trabalhadores também sofre diretamente os efeitos da exclusão social, do acesso restrito à informação e das dificuldades de adaptação às tecnologias atualmente utilizadas pelos sistemas previdenciários. </w:t>
      </w:r>
    </w:p>
    <w:p w:rsidR="009D60B7" w:rsidRDefault="00425C09">
      <w:pPr>
        <w:pStyle w:val="Textbody"/>
        <w:spacing w:after="0" w:line="360" w:lineRule="auto"/>
        <w:ind w:firstLineChars="350" w:firstLine="840"/>
        <w:jc w:val="both"/>
        <w:rPr>
          <w:rFonts w:ascii="Arial" w:hAnsi="Arial"/>
        </w:rPr>
      </w:pPr>
      <w:r>
        <w:rPr>
          <w:rFonts w:ascii="Arial" w:hAnsi="Arial" w:cs="Times New Roman"/>
        </w:rPr>
        <w:t xml:space="preserve">Soma-se a isso ao baixo nível de escolaridade, que dificulta ainda mais a compreensão dos procedimentos necessários e a organização dos documentos exigidos para comprovar o exercício da atividade rural. Nesse contexto, a limitação no acesso à </w:t>
      </w:r>
      <w:r>
        <w:rPr>
          <w:rFonts w:ascii="Arial" w:hAnsi="Arial" w:cs="Times New Roman"/>
        </w:rPr>
        <w:lastRenderedPageBreak/>
        <w:t>informação e aos recursos tecnológicos torna-se um fator que interfere diretamente na comprovação da atividade laboral no meio rural e no consequente reconhecimento dos direitos previdenciários desses trabalhadores (Berwanger; Weber, 2024).</w:t>
      </w:r>
    </w:p>
    <w:p w:rsidR="009D60B7" w:rsidRDefault="00425C09">
      <w:pPr>
        <w:pStyle w:val="Textbody"/>
        <w:spacing w:after="0" w:line="360" w:lineRule="auto"/>
        <w:ind w:firstLineChars="350" w:firstLine="840"/>
        <w:jc w:val="both"/>
        <w:rPr>
          <w:rFonts w:ascii="Arial" w:hAnsi="Arial"/>
        </w:rPr>
      </w:pPr>
      <w:r>
        <w:rPr>
          <w:rFonts w:ascii="Arial" w:hAnsi="Arial" w:cs="Times New Roman"/>
        </w:rPr>
        <w:t>Dados divulgados pelo Instituto Brasileiro de Geografia e Estatística indicam que o Brasil que no ano de 2024 aproximadamente 9,1 milhões de pessoas eram analfabetas, demonstrando que, o analfabetismo ainda representa um desafio social relevante, especialmente para populações em situação de maior vulnerabilidade como aqueles que residem no campo e enfrentam constantemente dificuldades em acessar os locais de ensino (IBGE, 2024).</w:t>
      </w:r>
    </w:p>
    <w:p w:rsidR="009D60B7" w:rsidRDefault="009D60B7">
      <w:pPr>
        <w:pStyle w:val="Textbody"/>
        <w:spacing w:after="0" w:line="360" w:lineRule="auto"/>
        <w:ind w:firstLine="1134"/>
        <w:rPr>
          <w:rFonts w:ascii="Arial" w:hAnsi="Arial" w:cs="Times New Roman"/>
          <w:color w:val="0F172A"/>
          <w:kern w:val="0"/>
          <w:sz w:val="20"/>
          <w:szCs w:val="20"/>
        </w:rPr>
      </w:pPr>
    </w:p>
    <w:p w:rsidR="009D60B7" w:rsidRDefault="00425C09">
      <w:pPr>
        <w:pStyle w:val="Standard"/>
        <w:widowControl w:val="0"/>
        <w:spacing w:line="360" w:lineRule="auto"/>
        <w:jc w:val="both"/>
        <w:rPr>
          <w:rFonts w:ascii="Arial" w:hAnsi="Arial"/>
        </w:rPr>
      </w:pPr>
      <w:r>
        <w:rPr>
          <w:rFonts w:ascii="Arial" w:hAnsi="Arial" w:cs="Times New Roman"/>
          <w:kern w:val="0"/>
        </w:rPr>
        <w:t>3.1.2 Da insuficiência documental</w:t>
      </w:r>
    </w:p>
    <w:p w:rsidR="009D60B7" w:rsidRDefault="00425C09">
      <w:pPr>
        <w:pStyle w:val="Standard"/>
        <w:widowControl w:val="0"/>
        <w:spacing w:line="360" w:lineRule="auto"/>
        <w:ind w:firstLine="840"/>
        <w:jc w:val="both"/>
        <w:rPr>
          <w:rFonts w:ascii="Arial" w:hAnsi="Arial" w:cs="Times New Roman"/>
          <w:kern w:val="0"/>
          <w:lang w:val="pt-PT"/>
        </w:rPr>
      </w:pPr>
      <w:r>
        <w:rPr>
          <w:rFonts w:ascii="Arial" w:hAnsi="Arial" w:cs="Times New Roman"/>
          <w:kern w:val="0"/>
          <w:lang w:val="pt-PT"/>
        </w:rPr>
        <w:t>A insuficiência documental, devido a informalidade trabalhista representa um dos principais entraves enfrentados pelos trabalhadores rurais no momento de comprovar o labor e a contribuição trabalhista. Visto que a prova material, que é extraída por meio de documentos é inviável, devido essas atividades serem desempenhadas sem registro formal. Gerando, desta forma escassez de documentação, que torna-se um fator determinante para o indeferimento de benefícios e para a dificuldade de acesso à aposentadoria rural (Mendes; Coelho, 2025).</w:t>
      </w:r>
    </w:p>
    <w:p w:rsidR="009D60B7" w:rsidRDefault="00425C09">
      <w:pPr>
        <w:pStyle w:val="Standard"/>
        <w:widowControl w:val="0"/>
        <w:spacing w:line="360" w:lineRule="auto"/>
        <w:ind w:firstLine="840"/>
        <w:jc w:val="both"/>
        <w:rPr>
          <w:rStyle w:val="Forte1"/>
          <w:rFonts w:ascii="Arial" w:hAnsi="Arial" w:cs="Times New Roman"/>
          <w:b w:val="0"/>
          <w:color w:val="0A0A0A"/>
          <w:kern w:val="0"/>
          <w:lang w:val="pt-PT"/>
        </w:rPr>
      </w:pPr>
      <w:r>
        <w:rPr>
          <w:rFonts w:ascii="Arial" w:hAnsi="Arial" w:cs="Times New Roman"/>
          <w:kern w:val="0"/>
          <w:lang w:val="pt-PT"/>
        </w:rPr>
        <w:t xml:space="preserve">A </w:t>
      </w:r>
      <w:r>
        <w:rPr>
          <w:rFonts w:ascii="Arial" w:hAnsi="Arial" w:cs="Times New Roman"/>
          <w:color w:val="000000"/>
        </w:rPr>
        <w:t xml:space="preserve"> CTPS existe desde 2017, em formato digital, contudo  não substituía o documento físico, tornando-se substituível apenas a partir de 24 de setembro de 2019 (Brasil, 2024). D</w:t>
      </w:r>
      <w:r>
        <w:rPr>
          <w:rFonts w:ascii="Arial" w:hAnsi="Arial" w:cs="Times New Roman"/>
          <w:color w:val="000000"/>
          <w:kern w:val="0"/>
          <w:lang w:val="pt-PT"/>
        </w:rPr>
        <w:t>ian</w:t>
      </w:r>
      <w:r>
        <w:rPr>
          <w:rFonts w:ascii="Arial" w:hAnsi="Arial" w:cs="Times New Roman"/>
          <w:kern w:val="0"/>
          <w:lang w:val="pt-PT"/>
        </w:rPr>
        <w:t>te desta informação é notório a ausência de tecnologias, para os registros das atividades laborais cujo eram realizados por meio de documentos em papel, tal como os outros meios probatórios dispostos na Lei</w:t>
      </w:r>
      <w:r>
        <w:rPr>
          <w:rStyle w:val="Forte1"/>
          <w:rFonts w:ascii="Arial" w:hAnsi="Arial" w:cs="Times New Roman"/>
          <w:b w:val="0"/>
          <w:color w:val="0A0A0A"/>
          <w:kern w:val="0"/>
          <w:lang w:val="pt-PT"/>
        </w:rPr>
        <w:t xml:space="preserve"> da Lei 8.213/1991 e em jurisprudências e súmulas.</w:t>
      </w:r>
    </w:p>
    <w:p w:rsidR="009D60B7" w:rsidRDefault="00425C09">
      <w:pPr>
        <w:pStyle w:val="Standard"/>
        <w:widowControl w:val="0"/>
        <w:spacing w:line="360" w:lineRule="auto"/>
        <w:ind w:firstLine="840"/>
        <w:jc w:val="both"/>
        <w:rPr>
          <w:rFonts w:ascii="Arial" w:hAnsi="Arial" w:cs="Times New Roman"/>
          <w:color w:val="212529"/>
          <w:kern w:val="0"/>
          <w:lang w:val="pt-PT"/>
        </w:rPr>
      </w:pPr>
      <w:r>
        <w:rPr>
          <w:rFonts w:ascii="Arial" w:hAnsi="Arial" w:cs="Times New Roman"/>
          <w:kern w:val="0"/>
          <w:lang w:val="pt-PT"/>
        </w:rPr>
        <w:t>Segundo a Universidade Federal de Sergipe (2023), diversos fatores  podem deteriorar papeis e  comprometer a integridade das informações registradas,  dificultando sua utilização como meio de prova.</w:t>
      </w:r>
      <w:r>
        <w:rPr>
          <w:rFonts w:ascii="Arial" w:hAnsi="Arial" w:cs="Times New Roman"/>
        </w:rPr>
        <w:t xml:space="preserve"> </w:t>
      </w:r>
      <w:r>
        <w:rPr>
          <w:rFonts w:ascii="Arial" w:hAnsi="Arial" w:cs="Times New Roman"/>
          <w:kern w:val="0"/>
          <w:lang w:val="pt-PT"/>
        </w:rPr>
        <w:t>Visto que os papeis tornam-se suscetíveis à ação de diversos fatores naturais que podem comprometer sua conservação, como umidade, variações de temperatura, exposição à luz, poeira, ataques de insetos, roedores e d</w:t>
      </w:r>
      <w:r>
        <w:rPr>
          <w:rFonts w:ascii="Arial" w:hAnsi="Arial" w:cs="Times New Roman"/>
          <w:color w:val="212529"/>
          <w:kern w:val="0"/>
          <w:lang w:val="pt-PT"/>
        </w:rPr>
        <w:t>esastres naturais.</w:t>
      </w:r>
    </w:p>
    <w:p w:rsidR="009D60B7" w:rsidRDefault="00425C09">
      <w:pPr>
        <w:pStyle w:val="Standard"/>
        <w:widowControl w:val="0"/>
        <w:spacing w:line="360" w:lineRule="auto"/>
        <w:ind w:firstLine="840"/>
        <w:jc w:val="both"/>
        <w:rPr>
          <w:rFonts w:ascii="Arial" w:hAnsi="Arial"/>
        </w:rPr>
      </w:pPr>
      <w:r>
        <w:rPr>
          <w:rFonts w:ascii="Arial" w:hAnsi="Arial" w:cs="Times New Roman"/>
          <w:kern w:val="0"/>
          <w:lang w:val="pt-PT"/>
        </w:rPr>
        <w:t xml:space="preserve"> Essas condições podem destruir os registros, dificultando sua utilização como meio de comprovação do vínculo empregatício. Assim, os meios probatórios utilizados para demonstrar a relação de trabalho tornam-se frágeis e suscetíveis a danos, o que </w:t>
      </w:r>
      <w:r>
        <w:rPr>
          <w:rFonts w:ascii="Arial" w:hAnsi="Arial" w:cs="Times New Roman"/>
          <w:kern w:val="0"/>
          <w:lang w:val="pt-PT"/>
        </w:rPr>
        <w:lastRenderedPageBreak/>
        <w:t>pode comprometer o reconhecimento de direitos fundamentais do trabalhador, relacionados à dignidade da pessoa humana e ao reconhecimento de sua contribuição para a sociedade.</w:t>
      </w:r>
    </w:p>
    <w:p w:rsidR="009D60B7" w:rsidRDefault="009D60B7">
      <w:pPr>
        <w:pStyle w:val="Standard"/>
        <w:widowControl w:val="0"/>
        <w:spacing w:line="360" w:lineRule="auto"/>
        <w:ind w:firstLine="1134"/>
        <w:jc w:val="both"/>
        <w:rPr>
          <w:rFonts w:ascii="Arial" w:hAnsi="Arial" w:cs="Times New Roman"/>
          <w:kern w:val="0"/>
          <w:lang w:val="pt-PT"/>
        </w:rPr>
      </w:pPr>
    </w:p>
    <w:p w:rsidR="009D60B7" w:rsidRPr="00BA533E" w:rsidRDefault="00425C09">
      <w:pPr>
        <w:pStyle w:val="Standard"/>
        <w:spacing w:line="360" w:lineRule="auto"/>
        <w:ind w:firstLine="57"/>
        <w:jc w:val="both"/>
        <w:rPr>
          <w:rFonts w:ascii="Arial" w:hAnsi="Arial"/>
          <w:sz w:val="20"/>
          <w:szCs w:val="20"/>
        </w:rPr>
      </w:pPr>
      <w:r w:rsidRPr="00BA533E">
        <w:rPr>
          <w:rFonts w:ascii="Arial" w:hAnsi="Arial" w:cs="Times New Roman"/>
          <w:bCs/>
          <w:kern w:val="0"/>
        </w:rPr>
        <w:t xml:space="preserve">4 </w:t>
      </w:r>
      <w:r w:rsidRPr="00BA533E">
        <w:rPr>
          <w:rFonts w:ascii="Arial" w:hAnsi="Arial" w:cs="Times New Roman"/>
          <w:bCs/>
          <w:kern w:val="0"/>
          <w:lang w:val="pt-PT"/>
        </w:rPr>
        <w:t>A PROTEÇÃO JURÍDICA DO TRABALHADOR RURAL E A UTILIZAÇÃO DA JURISPRUDÊNCIA</w:t>
      </w:r>
      <w:r w:rsidRPr="00BA533E">
        <w:rPr>
          <w:rFonts w:ascii="Arial" w:hAnsi="Arial" w:cs="Times New Roman"/>
          <w:kern w:val="0"/>
          <w:lang w:val="pt-PT"/>
        </w:rPr>
        <w:t xml:space="preserve"> </w:t>
      </w:r>
    </w:p>
    <w:p w:rsidR="009D60B7" w:rsidRDefault="00425C09">
      <w:pPr>
        <w:pStyle w:val="Standard"/>
        <w:spacing w:line="360" w:lineRule="auto"/>
        <w:ind w:firstLineChars="419" w:firstLine="1006"/>
        <w:jc w:val="both"/>
        <w:rPr>
          <w:rFonts w:ascii="Arial" w:hAnsi="Arial"/>
        </w:rPr>
      </w:pPr>
      <w:r>
        <w:rPr>
          <w:rFonts w:ascii="Arial" w:hAnsi="Arial" w:cs="Times New Roman"/>
          <w:kern w:val="0"/>
          <w:lang w:val="pt-PT"/>
        </w:rPr>
        <w:t>A Constituição Federal de 1988 trás em seu texto os direitos inerentes aos trabalhadores, equiparando-os, tanto urbanos como rurais. Este fato é importante pois permite a comparação entre o trabalhador rural que é excluído. O texto normativo está disposto do art. 7º da CF/88 “São direitos dos trabalhadores urbanos e rurais, além de outros que visem à melhoria de sua condição social”.</w:t>
      </w:r>
    </w:p>
    <w:p w:rsidR="009D60B7" w:rsidRDefault="00425C09">
      <w:pPr>
        <w:pStyle w:val="Standard"/>
        <w:spacing w:line="360" w:lineRule="auto"/>
        <w:ind w:firstLineChars="419" w:firstLine="1006"/>
        <w:jc w:val="both"/>
        <w:rPr>
          <w:rFonts w:ascii="Arial" w:hAnsi="Arial"/>
        </w:rPr>
      </w:pPr>
      <w:r>
        <w:rPr>
          <w:rFonts w:ascii="Arial" w:hAnsi="Arial" w:cs="Times New Roman"/>
          <w:kern w:val="0"/>
          <w:lang w:val="pt-PT"/>
        </w:rPr>
        <w:t>A Constituição da República Federativa do Brasil de 1988, existe como meio de proteção social dos indivíduos, o artigo 7º dispõe que “São direitos dos trabalhadores urbanos e rurais, além de outros que visem à melhoria de sua condição social ”, a normativa existe também como um meio de equiparação social das classes trabalhistas. Nesse sentido, a previsão constitucional tem como fundamento proteger aquele que se encontra em situação desassistência, uma vez que, embora os direitos existam na legislação, nem sempre são efetivamente garantidos na prática (Brasil, 1988).</w:t>
      </w:r>
    </w:p>
    <w:p w:rsidR="009D60B7" w:rsidRDefault="00425C09">
      <w:pPr>
        <w:pStyle w:val="Standard"/>
        <w:spacing w:line="360" w:lineRule="auto"/>
        <w:ind w:firstLineChars="419" w:firstLine="1006"/>
        <w:jc w:val="both"/>
        <w:rPr>
          <w:rFonts w:ascii="Arial" w:hAnsi="Arial"/>
        </w:rPr>
      </w:pPr>
      <w:r>
        <w:rPr>
          <w:rFonts w:ascii="Arial" w:hAnsi="Arial" w:cs="Times New Roman"/>
          <w:kern w:val="0"/>
          <w:lang w:val="pt-PT"/>
        </w:rPr>
        <w:t>Outro fundamento importante é a Lei nº 8.213/1991, que dispõe sobre os Planos de e os Benefícios da Previdência Social. Essa lei prevê direitos como aposentadoria rural, auxílio-doença, salário-maternidade e pensão por morte, está lei é essencial como meio de garantia de direitos e proteção social dessa classe, com ressalva especial aqueles que não possuem vínculo trabalhista formal (Brasil, 1991).</w:t>
      </w:r>
    </w:p>
    <w:p w:rsidR="009D60B7" w:rsidRDefault="00425C09">
      <w:pPr>
        <w:pStyle w:val="Standard"/>
        <w:spacing w:line="360" w:lineRule="auto"/>
        <w:ind w:firstLineChars="419" w:firstLine="1006"/>
        <w:jc w:val="both"/>
        <w:rPr>
          <w:rFonts w:ascii="Arial" w:hAnsi="Arial"/>
        </w:rPr>
      </w:pPr>
      <w:r>
        <w:rPr>
          <w:rFonts w:ascii="Arial" w:hAnsi="Arial" w:cs="Times New Roman"/>
          <w:kern w:val="0"/>
          <w:lang w:val="pt-PT"/>
        </w:rPr>
        <w:t>A proteção jurídica do trabalhador rural informal, no âmbito previdenciário, tem sido cada vez mais desenvolvida pela jurisprudência, especialmente diante das dificuldades de comprovação do exercício da atividade rural. Nesse contexto, a atuação do Poder Judiciário revela-se essencial para a efetivação dos direitos sociais, ao promover uma interpretação mais adequada à realidade do meio rural (Amado, 2023).</w:t>
      </w:r>
    </w:p>
    <w:p w:rsidR="009D60B7" w:rsidRDefault="00425C09">
      <w:pPr>
        <w:pStyle w:val="Standard"/>
        <w:widowControl w:val="0"/>
        <w:spacing w:line="360" w:lineRule="auto"/>
        <w:ind w:firstLineChars="419" w:firstLine="1006"/>
        <w:jc w:val="both"/>
        <w:rPr>
          <w:rFonts w:ascii="Arial" w:hAnsi="Arial"/>
        </w:rPr>
      </w:pPr>
      <w:r>
        <w:rPr>
          <w:rFonts w:ascii="Arial" w:hAnsi="Arial" w:cs="Times New Roman"/>
        </w:rPr>
        <w:t xml:space="preserve">O Superior Tribunal de Justiça no REsp 1.352.721/SP consolidou entendimento no sentido de que o início de prova material não precisa abranger todo o período de carência, podendo ser complementado por prova testemunhal, o que evidencia a flexibilização do sistema probatório em favor do trabalhador rural. Da mesma forma, admite-se a utilização de documentos em nome de terceiros do grupo familiar, desde que </w:t>
      </w:r>
      <w:r>
        <w:rPr>
          <w:rFonts w:ascii="Arial" w:hAnsi="Arial" w:cs="Times New Roman"/>
        </w:rPr>
        <w:lastRenderedPageBreak/>
        <w:t>corroborados por outros elementos de prova, reconhecendo as especificidades do trabalho em regime de economia familiar (Brasil, 2012).</w:t>
      </w:r>
    </w:p>
    <w:p w:rsidR="009D60B7" w:rsidRDefault="00425C09">
      <w:pPr>
        <w:pStyle w:val="Standard"/>
        <w:widowControl w:val="0"/>
        <w:spacing w:line="360" w:lineRule="auto"/>
        <w:ind w:firstLineChars="419" w:firstLine="1006"/>
        <w:jc w:val="both"/>
        <w:rPr>
          <w:rFonts w:ascii="Arial" w:hAnsi="Arial"/>
        </w:rPr>
      </w:pPr>
      <w:r>
        <w:rPr>
          <w:rFonts w:ascii="Arial" w:hAnsi="Arial" w:cs="Times New Roman"/>
        </w:rPr>
        <w:t xml:space="preserve"> </w:t>
      </w:r>
    </w:p>
    <w:p w:rsidR="009D60B7" w:rsidRDefault="00425C09">
      <w:pPr>
        <w:pStyle w:val="Standard"/>
        <w:widowControl w:val="0"/>
        <w:spacing w:line="360" w:lineRule="auto"/>
        <w:jc w:val="both"/>
        <w:rPr>
          <w:rFonts w:ascii="Arial" w:hAnsi="Arial"/>
        </w:rPr>
      </w:pPr>
      <w:r>
        <w:rPr>
          <w:rFonts w:ascii="Arial" w:hAnsi="Arial" w:cs="Times New Roman"/>
          <w:kern w:val="0"/>
          <w:lang w:val="pt-PT"/>
        </w:rPr>
        <w:t>4.</w:t>
      </w:r>
      <w:r>
        <w:rPr>
          <w:rFonts w:ascii="Arial" w:hAnsi="Arial" w:cs="Times New Roman"/>
          <w:kern w:val="0"/>
        </w:rPr>
        <w:t>1</w:t>
      </w:r>
      <w:r>
        <w:rPr>
          <w:rFonts w:ascii="Arial" w:hAnsi="Arial" w:cs="Times New Roman"/>
          <w:kern w:val="0"/>
          <w:lang w:val="pt-PT"/>
        </w:rPr>
        <w:t xml:space="preserve">  Recomendações e medidas de aperfeiçoamento</w:t>
      </w:r>
    </w:p>
    <w:p w:rsidR="009D60B7" w:rsidRDefault="00425C09">
      <w:pPr>
        <w:widowControl/>
        <w:spacing w:line="360" w:lineRule="auto"/>
        <w:ind w:firstLineChars="350" w:firstLine="840"/>
        <w:jc w:val="both"/>
        <w:rPr>
          <w:rFonts w:ascii="Arial" w:hAnsi="Arial"/>
          <w:sz w:val="24"/>
          <w:szCs w:val="24"/>
        </w:rPr>
      </w:pPr>
      <w:r>
        <w:rPr>
          <w:rFonts w:ascii="Arial" w:hAnsi="Arial" w:cs="Times New Roman"/>
          <w:sz w:val="24"/>
          <w:szCs w:val="24"/>
        </w:rPr>
        <w:t xml:space="preserve"> </w:t>
      </w:r>
      <w:r>
        <w:rPr>
          <w:rFonts w:ascii="Arial" w:eastAsia="Times New Roman" w:hAnsi="Arial" w:cs="Times New Roman"/>
          <w:sz w:val="24"/>
          <w:szCs w:val="24"/>
          <w:lang w:val="pt-BR" w:eastAsia="pt-BR"/>
        </w:rPr>
        <w:t>A ampliação do acesso à assistência jurídica gratuita configura medida indispensável para assegurar que os trabalhadores rurais informais possam reconhecer e efetivamente reivindicar seus direitos previdenciários. A ausência de orientação adequada contribui para a manutenção da informalidade nas relações de trabalho, bem como para a dificuldade no acesso à aposentadoria.</w:t>
      </w:r>
    </w:p>
    <w:p w:rsidR="009D60B7" w:rsidRDefault="00425C09">
      <w:pPr>
        <w:widowControl/>
        <w:spacing w:line="360" w:lineRule="auto"/>
        <w:ind w:firstLineChars="350" w:firstLine="840"/>
        <w:jc w:val="both"/>
        <w:rPr>
          <w:rFonts w:ascii="Arial" w:hAnsi="Arial"/>
          <w:sz w:val="24"/>
          <w:szCs w:val="24"/>
        </w:rPr>
      </w:pPr>
      <w:r>
        <w:rPr>
          <w:rFonts w:ascii="Arial" w:eastAsia="Times New Roman" w:hAnsi="Arial" w:cs="Times New Roman"/>
          <w:sz w:val="24"/>
          <w:szCs w:val="24"/>
          <w:lang w:val="pt-BR" w:eastAsia="pt-BR"/>
        </w:rPr>
        <w:t xml:space="preserve">Nesse contexto, revela-se fundamental o fortalecimento da atuação de instituições como a Defensoria Pública da União e o Ministério Público do Trabalho, com a ampliação do atendimento ao meio rural e a promoção de ações voltadas à orientação jurídica. Tais instituições desempenham papel relevante tanto na defesa dos trabalhadores quanto na mediação de conflitos e na regularização das relações de trabalho </w:t>
      </w:r>
      <w:r>
        <w:rPr>
          <w:rFonts w:ascii="Arial" w:hAnsi="Arial" w:cs="Times New Roman"/>
          <w:sz w:val="24"/>
          <w:szCs w:val="24"/>
        </w:rPr>
        <w:t>(Brasil, Constituição Federal de 1988, art. 134; LC nº 75/1993)</w:t>
      </w:r>
    </w:p>
    <w:p w:rsidR="009D60B7" w:rsidRDefault="00425C09">
      <w:pPr>
        <w:widowControl/>
        <w:spacing w:line="360" w:lineRule="auto"/>
        <w:ind w:firstLineChars="350" w:firstLine="840"/>
        <w:jc w:val="both"/>
        <w:rPr>
          <w:rFonts w:ascii="Arial" w:hAnsi="Arial"/>
          <w:sz w:val="24"/>
          <w:szCs w:val="24"/>
        </w:rPr>
      </w:pPr>
      <w:r>
        <w:rPr>
          <w:rFonts w:ascii="Arial" w:eastAsia="Times New Roman" w:hAnsi="Arial" w:cs="Times New Roman"/>
          <w:sz w:val="24"/>
          <w:szCs w:val="24"/>
          <w:lang w:val="pt-BR" w:eastAsia="pt-BR"/>
        </w:rPr>
        <w:t>Ademais, a criação de canais acessíveis de atendimento e denúncia mostra-se essencial para possibilitar que trabalhadores em situação de vulnerabilidade busquem apoio de forma segura. Essa medida contribui para a identificação de irregularidades e para a responsabilização dos empregadores, consolidando a assistência jurídica gratuita como instrumento eficaz para a inclusão previdenciária e para a superação das dificuldades de acesso à aposentadoria.</w:t>
      </w:r>
    </w:p>
    <w:p w:rsidR="009D60B7" w:rsidRDefault="00425C09">
      <w:pPr>
        <w:widowControl/>
        <w:spacing w:line="360" w:lineRule="auto"/>
        <w:ind w:firstLineChars="350" w:firstLine="840"/>
        <w:jc w:val="both"/>
        <w:rPr>
          <w:rFonts w:ascii="Arial" w:hAnsi="Arial"/>
          <w:sz w:val="24"/>
          <w:szCs w:val="24"/>
        </w:rPr>
      </w:pPr>
      <w:r>
        <w:rPr>
          <w:rFonts w:ascii="Arial" w:hAnsi="Arial" w:cs="Times New Roman"/>
          <w:sz w:val="24"/>
          <w:szCs w:val="24"/>
        </w:rPr>
        <w:t xml:space="preserve"> </w:t>
      </w:r>
      <w:r>
        <w:rPr>
          <w:rFonts w:ascii="Arial" w:eastAsia="Times New Roman" w:hAnsi="Arial" w:cs="Times New Roman"/>
          <w:sz w:val="24"/>
          <w:szCs w:val="24"/>
          <w:lang w:val="pt-BR" w:eastAsia="pt-BR"/>
        </w:rPr>
        <w:t>A integração entre órgãos públicos é uma medida essencial para o combate à informalidade nas relações de trabalho, visto que em muitos casos não se tem o registro trabalhista formal. A cooperação entre instituições como o Instituto Nacional do Seguro Social, o Ministério do Trabalho e Emprego e a Receita Federal do Brasil pode contribuir significativamente para a identificação de vínculos trabalhistas não registrados.</w:t>
      </w:r>
    </w:p>
    <w:p w:rsidR="009D60B7" w:rsidRDefault="00425C09">
      <w:pPr>
        <w:widowControl/>
        <w:spacing w:line="360" w:lineRule="auto"/>
        <w:ind w:firstLineChars="350" w:firstLine="840"/>
        <w:jc w:val="both"/>
        <w:rPr>
          <w:rFonts w:ascii="Arial" w:hAnsi="Arial"/>
          <w:sz w:val="24"/>
          <w:szCs w:val="24"/>
        </w:rPr>
      </w:pPr>
      <w:r>
        <w:rPr>
          <w:rFonts w:ascii="Arial" w:eastAsia="Times New Roman" w:hAnsi="Arial" w:cs="Times New Roman"/>
          <w:sz w:val="24"/>
          <w:szCs w:val="24"/>
          <w:lang w:val="pt-BR" w:eastAsia="pt-BR"/>
        </w:rPr>
        <w:t>A fiscalização integrada também teria como função a análise de dados financeiros de produtores rurais, através da Receita Federal, que verificaria as movimentações bancárias, com intuito localizar os pagamentos recorrentes, cujo acontecem comumente sob mesmo valor, em dia específico do mês, realizados a determinadas pessoas. Essa fiscalização tem como fundamento a verificação da existência de relações de trabalho não formalizadas.</w:t>
      </w:r>
    </w:p>
    <w:p w:rsidR="009D60B7" w:rsidRDefault="00425C09">
      <w:pPr>
        <w:widowControl/>
        <w:spacing w:line="360" w:lineRule="auto"/>
        <w:ind w:firstLineChars="350" w:firstLine="840"/>
        <w:jc w:val="both"/>
        <w:rPr>
          <w:rFonts w:ascii="Arial" w:hAnsi="Arial"/>
          <w:sz w:val="24"/>
          <w:szCs w:val="24"/>
        </w:rPr>
      </w:pPr>
      <w:r>
        <w:rPr>
          <w:rFonts w:ascii="Arial" w:hAnsi="Arial" w:cs="Times New Roman"/>
          <w:sz w:val="24"/>
          <w:szCs w:val="24"/>
        </w:rPr>
        <w:lastRenderedPageBreak/>
        <w:t xml:space="preserve">  </w:t>
      </w:r>
      <w:r>
        <w:rPr>
          <w:rFonts w:ascii="Arial" w:eastAsia="Times New Roman" w:hAnsi="Arial" w:cs="Times New Roman"/>
          <w:sz w:val="24"/>
          <w:szCs w:val="24"/>
          <w:lang w:val="pt-BR" w:eastAsia="pt-BR"/>
        </w:rPr>
        <w:t>Nesse contexto, o compartilhamento de informações entre esses órgãos permite o cruzamento de dados referentes às contribuições previdenciárias, declarações fiscais e possíveis vínculos empregatícios. Tornando possível identificar situações em que o trabalhador exerce atividade rural, cumprindo todos os requisitos legais para enquadramento de vínculo trabalhista, mas não tem o devido registro em carteira de trabalho. Essa medida busca não apenas a identificação de irregularidades, mas também a promoção da proteção jurídica e social daqueles que exercem suas atividades no campo.</w:t>
      </w:r>
    </w:p>
    <w:p w:rsidR="009D60B7" w:rsidRDefault="009D60B7">
      <w:pPr>
        <w:widowControl/>
        <w:spacing w:line="360" w:lineRule="auto"/>
        <w:ind w:firstLineChars="350" w:firstLine="840"/>
        <w:jc w:val="both"/>
        <w:rPr>
          <w:rFonts w:ascii="Arial" w:eastAsia="Times New Roman" w:hAnsi="Arial" w:cs="Times New Roman"/>
          <w:sz w:val="24"/>
          <w:szCs w:val="24"/>
          <w:lang w:val="pt-BR" w:eastAsia="pt-BR"/>
        </w:rPr>
      </w:pPr>
    </w:p>
    <w:p w:rsidR="009D60B7" w:rsidRDefault="00425C09">
      <w:pPr>
        <w:pStyle w:val="Standard"/>
        <w:spacing w:line="360" w:lineRule="auto"/>
        <w:jc w:val="both"/>
        <w:rPr>
          <w:rFonts w:ascii="Arial" w:hAnsi="Arial"/>
        </w:rPr>
      </w:pPr>
      <w:r>
        <w:rPr>
          <w:rFonts w:ascii="Arial" w:hAnsi="Arial" w:cs="Times New Roman"/>
        </w:rPr>
        <w:t>4.2 Conscientização social e fortalecimento das medidas de fiscalização</w:t>
      </w:r>
    </w:p>
    <w:p w:rsidR="009D60B7" w:rsidRDefault="00425C09">
      <w:pPr>
        <w:pStyle w:val="Standard"/>
        <w:spacing w:line="360" w:lineRule="auto"/>
        <w:ind w:firstLineChars="350" w:firstLine="840"/>
        <w:jc w:val="both"/>
        <w:rPr>
          <w:rFonts w:ascii="Arial" w:hAnsi="Arial"/>
        </w:rPr>
      </w:pPr>
      <w:r>
        <w:rPr>
          <w:rFonts w:ascii="Arial" w:hAnsi="Arial" w:cs="Times New Roman"/>
        </w:rPr>
        <w:t>Diante das dificuldades enfrentadas pelo trabalhador rural informal para o acesso à aposentadoria, a conscientização social apresenta-se como uma das principais medidas para a superação desse problema. A falta de conhecimento acerca dos direitos previdenciários e dos meios de comprovação da atividade rural contribui diretamente para a exclusão desses trabalhadores do sistema, evidenciando a necessidade de políticas públicas voltadas à informação e à orientação, por meio de ações educativas e de inclusão, especialmente diante das barreiras de acesso ao sistema previdenciário enfrentadas pelos segurados em situação de informalidade (Ibrahim, 2022).</w:t>
      </w:r>
    </w:p>
    <w:p w:rsidR="009D60B7" w:rsidRDefault="00425C09">
      <w:pPr>
        <w:pStyle w:val="Standard"/>
        <w:spacing w:line="360" w:lineRule="auto"/>
        <w:ind w:firstLineChars="350" w:firstLine="840"/>
        <w:jc w:val="both"/>
        <w:rPr>
          <w:rFonts w:ascii="Arial" w:hAnsi="Arial"/>
        </w:rPr>
      </w:pPr>
      <w:r>
        <w:rPr>
          <w:rFonts w:ascii="Arial" w:hAnsi="Arial" w:cs="Times New Roman"/>
        </w:rPr>
        <w:t>Como forma de enfrentamento dessa realidade, propõe-se a implementação de campanhas educativas direcionadas ao meio rural, com o objetivo de orientar os trabalhadores quanto à importância da guarda de documentos, tais como contratos, recibos e notas de produção, que possam servir como início de prova material. Tal medida mostra-se essencial, uma vez que a jurisprudência do Superior Tribunal de Justiça exige a existência de elementos mínimos de prova para o reconhecimento do tempo de serviço, ainda que admita sua flexibilização (Brasil, 1995)</w:t>
      </w:r>
    </w:p>
    <w:p w:rsidR="009D60B7" w:rsidRDefault="00425C09">
      <w:pPr>
        <w:pStyle w:val="Standard"/>
        <w:widowControl w:val="0"/>
        <w:spacing w:line="360" w:lineRule="auto"/>
        <w:ind w:firstLineChars="350" w:firstLine="840"/>
        <w:jc w:val="both"/>
        <w:rPr>
          <w:rFonts w:ascii="Arial" w:hAnsi="Arial"/>
        </w:rPr>
      </w:pPr>
      <w:r>
        <w:rPr>
          <w:rFonts w:ascii="Arial" w:hAnsi="Arial" w:cs="Times New Roman"/>
        </w:rPr>
        <w:t xml:space="preserve">Além disso, o fortalecimento das medidas de fiscalização no meio rural deve estar diretamente associado à responsabilização do empregador quanto ao cumprimento das obrigações legais trabalhistas e previdenciárias. A atuação estatal, nesse sentido, deve buscar não apenas identificar a informalidade, mas também impor sanções e exigir a regularização dos vínculos de trabalho, garantindo o devido registro e recolhimento das contribuições previdenciárias. Tal medida contribui para a proteção do trabalhador rural, ao assegurar que o ônus da formalização não recaia exclusivamente sobre o segurado, promovendo maior efetividade na concessão de benefícios previdenciários (Amado, </w:t>
      </w:r>
      <w:r>
        <w:rPr>
          <w:rFonts w:ascii="Arial" w:hAnsi="Arial" w:cs="Times New Roman"/>
        </w:rPr>
        <w:lastRenderedPageBreak/>
        <w:t>2023).</w:t>
      </w:r>
    </w:p>
    <w:p w:rsidR="009D60B7" w:rsidRDefault="009D60B7">
      <w:pPr>
        <w:pStyle w:val="Standard"/>
        <w:widowControl w:val="0"/>
        <w:spacing w:line="360" w:lineRule="auto"/>
        <w:ind w:firstLineChars="350" w:firstLine="840"/>
        <w:jc w:val="both"/>
        <w:rPr>
          <w:rFonts w:ascii="Arial" w:hAnsi="Arial" w:cs="Times New Roman"/>
        </w:rPr>
      </w:pPr>
    </w:p>
    <w:p w:rsidR="009D60B7" w:rsidRDefault="00425C09">
      <w:pPr>
        <w:pStyle w:val="NormalWeb"/>
        <w:spacing w:beforeAutospacing="0" w:afterAutospacing="0" w:line="360" w:lineRule="auto"/>
        <w:jc w:val="both"/>
        <w:rPr>
          <w:rFonts w:ascii="Arial" w:hAnsi="Arial"/>
        </w:rPr>
      </w:pPr>
      <w:r>
        <w:rPr>
          <w:rFonts w:ascii="Arial" w:hAnsi="Arial"/>
        </w:rPr>
        <w:t>4.2.</w:t>
      </w:r>
      <w:r>
        <w:rPr>
          <w:rFonts w:ascii="Arial" w:hAnsi="Arial"/>
          <w:lang w:val="pt-BR"/>
        </w:rPr>
        <w:t>1</w:t>
      </w:r>
      <w:r>
        <w:rPr>
          <w:rFonts w:ascii="Arial" w:hAnsi="Arial"/>
        </w:rPr>
        <w:t xml:space="preserve"> Elaboração de Cartilhas Informativas em Parceria com Sindicatos</w:t>
      </w:r>
    </w:p>
    <w:p w:rsidR="009D60B7" w:rsidRDefault="00425C09">
      <w:pPr>
        <w:pStyle w:val="NormalWeb"/>
        <w:tabs>
          <w:tab w:val="left" w:pos="1137"/>
        </w:tabs>
        <w:spacing w:beforeAutospacing="0" w:afterAutospacing="0" w:line="360" w:lineRule="auto"/>
        <w:ind w:firstLineChars="350" w:firstLine="840"/>
        <w:jc w:val="both"/>
        <w:rPr>
          <w:rFonts w:ascii="Arial" w:hAnsi="Arial"/>
        </w:rPr>
      </w:pPr>
      <w:r>
        <w:rPr>
          <w:rFonts w:ascii="Arial" w:hAnsi="Arial"/>
          <w:shd w:val="clear" w:color="auto" w:fill="FFFFFF"/>
        </w:rPr>
        <w:t>É evidente a vulnerabilidade da classe rurícola, principalmente em razão da dificuldade de acesso à informação. Diante disso, a elaboração de cartilhas informativas voltadas aos trabalhadores rurais poderia levar acesso à inf</w:t>
      </w:r>
      <w:r>
        <w:rPr>
          <w:rFonts w:ascii="Arial" w:hAnsi="Arial"/>
        </w:rPr>
        <w:t>ormação, por meio físico, garantindo os direitos básicos e constitucionais inerentes ao cidadão, de forma prática. A em linguagem a ser trabalhada nas cartilhas deverá ser simples, clara e acessível, visto a produção dessas cartilhas deve ocorrer em parceria com os sindicatos, uma vez que são espaços onde os trabalhadores do campo buscam orientações.</w:t>
      </w:r>
    </w:p>
    <w:p w:rsidR="009D60B7" w:rsidRDefault="00425C09">
      <w:pPr>
        <w:pStyle w:val="NormalWeb"/>
        <w:spacing w:beforeAutospacing="0" w:afterAutospacing="0" w:line="360" w:lineRule="auto"/>
        <w:ind w:firstLineChars="350" w:firstLine="840"/>
        <w:jc w:val="both"/>
        <w:rPr>
          <w:rFonts w:ascii="Arial" w:hAnsi="Arial"/>
        </w:rPr>
      </w:pPr>
      <w:r>
        <w:rPr>
          <w:rFonts w:ascii="Arial" w:hAnsi="Arial"/>
        </w:rPr>
        <w:t>Além disso, essas cartilhas poderiam ser elaboradas por estudantes de Direito, como forma de ampliar o acesso à informação e promover maior dignidade aos trabalhadores rurais, por meio de projetos de extensão universitária. Essa iniciativa também contribuiria para a formação acadêmica dos estudantes, permitindo a aplicação prática dos conhecimentos adquiridos nas disciplinas de Direito do Trabalho e Direito Previdenciário. Dessa forma, a elaboração dessas cartilhas teria como fundamento a proteção jurídica do trabalhador rural, visando também a redução da informalidade nas relações de trabalho no campo.</w:t>
      </w:r>
    </w:p>
    <w:p w:rsidR="009D60B7" w:rsidRDefault="009D60B7">
      <w:pPr>
        <w:pStyle w:val="NormalWeb"/>
        <w:spacing w:beforeAutospacing="0" w:afterAutospacing="0" w:line="360" w:lineRule="auto"/>
        <w:ind w:firstLine="1077"/>
        <w:jc w:val="both"/>
        <w:rPr>
          <w:rFonts w:ascii="Arial" w:hAnsi="Arial"/>
          <w:sz w:val="20"/>
          <w:szCs w:val="20"/>
        </w:rPr>
      </w:pPr>
    </w:p>
    <w:p w:rsidR="009D60B7" w:rsidRPr="00BA533E" w:rsidRDefault="00425C09">
      <w:pPr>
        <w:spacing w:line="360" w:lineRule="auto"/>
        <w:rPr>
          <w:rFonts w:ascii="Arial" w:hAnsi="Arial"/>
          <w:sz w:val="24"/>
          <w:szCs w:val="24"/>
        </w:rPr>
      </w:pPr>
      <w:r w:rsidRPr="00BA533E">
        <w:rPr>
          <w:rFonts w:ascii="Arial" w:hAnsi="Arial" w:cs="Times New Roman"/>
          <w:bCs/>
          <w:sz w:val="24"/>
          <w:szCs w:val="24"/>
        </w:rPr>
        <w:t>CONCLUSÃO</w:t>
      </w:r>
    </w:p>
    <w:p w:rsidR="009D60B7" w:rsidRDefault="00425C09">
      <w:pPr>
        <w:pStyle w:val="NormalWeb"/>
        <w:spacing w:beforeAutospacing="0" w:afterAutospacing="0" w:line="360" w:lineRule="auto"/>
        <w:ind w:firstLine="840"/>
        <w:jc w:val="both"/>
        <w:rPr>
          <w:rFonts w:ascii="Arial" w:hAnsi="Arial"/>
        </w:rPr>
      </w:pPr>
      <w:r>
        <w:rPr>
          <w:rFonts w:ascii="Arial" w:hAnsi="Arial"/>
        </w:rPr>
        <w:t xml:space="preserve">O presente trabalho abordou inicialmente o histórico da vulnerabilidade do trabalhador rural e como essa realidade ainda se faz presente na atualidade, estabelecendo uma comparação entre os trabalhadores rurais com vínculo celetista formal e os segurados especiais, demonstrando como essas diferenças influenciam diretamente no aumento da informalidade nas relações trabalhistas. </w:t>
      </w:r>
    </w:p>
    <w:p w:rsidR="009D60B7" w:rsidRDefault="00425C09">
      <w:pPr>
        <w:pStyle w:val="NormalWeb"/>
        <w:spacing w:beforeAutospacing="0" w:afterAutospacing="0" w:line="360" w:lineRule="auto"/>
        <w:ind w:firstLine="840"/>
        <w:jc w:val="both"/>
        <w:rPr>
          <w:rFonts w:ascii="Arial" w:hAnsi="Arial"/>
        </w:rPr>
      </w:pPr>
      <w:r>
        <w:rPr>
          <w:rFonts w:ascii="Arial" w:hAnsi="Arial"/>
        </w:rPr>
        <w:t>Tal problemática torna-se ainda mais evidente no momento da efetivação dos direitos previdenciários, especialmente no fim da vida laboral desses trabalhadores do campo, uma vez que a ausência de vínculo formal e a dificuldade de comprovação da atividade rural acabam impedindo o acesso a benefícios que são assegurados por lei.</w:t>
      </w:r>
    </w:p>
    <w:p w:rsidR="009D60B7" w:rsidRDefault="00425C09">
      <w:pPr>
        <w:pStyle w:val="NormalWeb"/>
        <w:spacing w:beforeAutospacing="0" w:afterAutospacing="0" w:line="360" w:lineRule="auto"/>
        <w:ind w:firstLine="840"/>
        <w:jc w:val="both"/>
        <w:rPr>
          <w:rFonts w:ascii="Arial" w:hAnsi="Arial"/>
        </w:rPr>
      </w:pPr>
      <w:r>
        <w:rPr>
          <w:rFonts w:ascii="Arial" w:hAnsi="Arial"/>
        </w:rPr>
        <w:t xml:space="preserve">Também foram analisadas as diferenças existentes entre o segurado especial e o empregado rural com vínculo formal trabalhista por meio da CLT, demonstrando como são feitas as contribuições ao sistema previdenciário e quais os critérios exigidos para a comprovação da atividade rural e como essa ausência de formalização de vínculo </w:t>
      </w:r>
      <w:r>
        <w:rPr>
          <w:rFonts w:ascii="Arial" w:hAnsi="Arial"/>
        </w:rPr>
        <w:lastRenderedPageBreak/>
        <w:t xml:space="preserve">trabalhista pode afetar o trabalhador. </w:t>
      </w:r>
    </w:p>
    <w:p w:rsidR="009D60B7" w:rsidRDefault="00425C09">
      <w:pPr>
        <w:pStyle w:val="NormalWeb"/>
        <w:spacing w:beforeAutospacing="0" w:afterAutospacing="0" w:line="360" w:lineRule="auto"/>
        <w:ind w:firstLine="840"/>
        <w:jc w:val="both"/>
        <w:rPr>
          <w:rFonts w:ascii="Arial" w:hAnsi="Arial"/>
        </w:rPr>
      </w:pPr>
      <w:r>
        <w:rPr>
          <w:rFonts w:ascii="Arial" w:hAnsi="Arial"/>
        </w:rPr>
        <w:t>Ao longo do desenvolvimento do trabalho, elencou-se que a vulnerabilidade do trabalhador rural não é um problema recente, mas sim resultado de fatores históricos que ainda produzem reflexos no contexto contemporâneo. O legado da exclusão social, aliado à deficiência educacional e ao acesso limitado à informação no meio rural, contribui para a permanência de situações de desigualdade e a dificuldade de comprovação do exercício da atividade rural ao longo da vida.</w:t>
      </w:r>
    </w:p>
    <w:p w:rsidR="009D60B7" w:rsidRDefault="00425C09">
      <w:pPr>
        <w:pStyle w:val="NormalWeb"/>
        <w:spacing w:beforeAutospacing="0" w:afterAutospacing="0" w:line="360" w:lineRule="auto"/>
        <w:ind w:firstLine="840"/>
        <w:jc w:val="both"/>
        <w:rPr>
          <w:rFonts w:ascii="Arial" w:hAnsi="Arial"/>
        </w:rPr>
      </w:pPr>
      <w:r>
        <w:rPr>
          <w:rFonts w:ascii="Arial" w:hAnsi="Arial"/>
        </w:rPr>
        <w:t>Outro ponto relevante abordado no trabalho foi a crescente informalidade nas relações de trabalho no meio rural, evidenciando que a falta de registro em carteira e a insuficiência de documentos dificultam não apenas o reconhecimento do vínculo empregatício, dessa forma, tendo dificuldade no momento da produção das provas documentais, que impede o reconhecimento dos direitos previdenciários, inviabilizando o acesso à aposentadoria e a outros benefícios previdenciários.</w:t>
      </w:r>
    </w:p>
    <w:p w:rsidR="009D60B7" w:rsidRDefault="00425C09">
      <w:pPr>
        <w:pStyle w:val="NormalWeb"/>
        <w:spacing w:beforeAutospacing="0" w:afterAutospacing="0" w:line="360" w:lineRule="auto"/>
        <w:ind w:firstLine="840"/>
        <w:jc w:val="both"/>
        <w:rPr>
          <w:rFonts w:ascii="Arial" w:hAnsi="Arial"/>
        </w:rPr>
      </w:pPr>
      <w:r>
        <w:rPr>
          <w:rFonts w:ascii="Arial" w:hAnsi="Arial"/>
        </w:rPr>
        <w:t>Nesse sentido, observou-se que a proteção jurídica do trabalhador rural ainda depende, em muitos casos, da atuação do Poder Judiciário, especialmente por meio da jurisprudência, que tem desempenhado papel fundamental na tentativa de garantir direitos diante da ausência de documentação formal.</w:t>
      </w:r>
    </w:p>
    <w:p w:rsidR="009D60B7" w:rsidRDefault="00425C09">
      <w:pPr>
        <w:pStyle w:val="NormalWeb"/>
        <w:spacing w:beforeAutospacing="0" w:afterAutospacing="0" w:line="360" w:lineRule="auto"/>
        <w:ind w:firstLine="840"/>
        <w:jc w:val="both"/>
        <w:rPr>
          <w:rFonts w:ascii="Arial" w:hAnsi="Arial"/>
        </w:rPr>
      </w:pPr>
      <w:r>
        <w:rPr>
          <w:rFonts w:ascii="Arial" w:hAnsi="Arial"/>
        </w:rPr>
        <w:t>Por fim, o trabalho apresentou recomendações e medidas de aperfeiçoamento voltadas à proteção do trabalhador rural desassistido, destacando a importância de campanhas de conscientização, do fortalecimento da fiscalização e da elaboração de cartilhas informativas em parceria com sindicatos e instituições de ensino. Essas medidas demonstram que a ampliação do acesso à informação pode contribuir de forma significativa para a redução da informalidade e para a efetivação dos direitos trabalhistas e previdenciários no meio rural.</w:t>
      </w:r>
    </w:p>
    <w:p w:rsidR="009D60B7" w:rsidRDefault="00425C09">
      <w:pPr>
        <w:pStyle w:val="NormalWeb"/>
        <w:spacing w:beforeAutospacing="0" w:afterAutospacing="0" w:line="360" w:lineRule="auto"/>
        <w:ind w:firstLine="840"/>
        <w:jc w:val="both"/>
        <w:rPr>
          <w:rFonts w:ascii="Arial" w:hAnsi="Arial"/>
        </w:rPr>
      </w:pPr>
      <w:r>
        <w:rPr>
          <w:rFonts w:ascii="Arial" w:hAnsi="Arial"/>
        </w:rPr>
        <w:t>Dessa forma, conclui-se que a vulnerabilidade do trabalhador rural ainda representa um desafio relevante no cenário jurídico e social brasileiro, sendo necessária a adoção de medidas que garantam não apenas o reconhecimento formal do trabalho exercido no campo, mas também a efetiva proteção da dignidade desses trabalhadores ao longo de toda a sua vida laboral e, principalmente, no momento em que mais necessitam da proteção previdenciária, quando mais se encontram vulneráveis.</w:t>
      </w:r>
    </w:p>
    <w:p w:rsidR="009D60B7" w:rsidRDefault="009D60B7">
      <w:pPr>
        <w:spacing w:line="360" w:lineRule="auto"/>
        <w:rPr>
          <w:rFonts w:ascii="Arial" w:hAnsi="Arial" w:cs="Times New Roman"/>
          <w:b/>
          <w:bCs/>
          <w:spacing w:val="-2"/>
          <w:sz w:val="20"/>
          <w:szCs w:val="20"/>
        </w:rPr>
      </w:pPr>
    </w:p>
    <w:p w:rsidR="009D60B7" w:rsidRPr="00BA533E" w:rsidRDefault="00425C09">
      <w:pPr>
        <w:spacing w:line="360" w:lineRule="auto"/>
        <w:jc w:val="both"/>
        <w:rPr>
          <w:rFonts w:ascii="Arial" w:hAnsi="Arial"/>
          <w:sz w:val="24"/>
          <w:szCs w:val="24"/>
        </w:rPr>
      </w:pPr>
      <w:r w:rsidRPr="00BA533E">
        <w:rPr>
          <w:rFonts w:ascii="Arial" w:hAnsi="Arial" w:cs="Times New Roman"/>
          <w:bCs/>
          <w:spacing w:val="-2"/>
          <w:sz w:val="24"/>
          <w:szCs w:val="24"/>
        </w:rPr>
        <w:t>REFERÊNCIAS</w:t>
      </w:r>
      <w:r w:rsidRPr="00BA533E">
        <w:rPr>
          <w:rFonts w:ascii="Arial" w:hAnsi="Arial" w:cs="Times New Roman"/>
          <w:bCs/>
          <w:spacing w:val="-2"/>
          <w:sz w:val="24"/>
          <w:szCs w:val="24"/>
          <w:lang w:val="pt-BR"/>
        </w:rPr>
        <w:t xml:space="preserve"> </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lastRenderedPageBreak/>
        <w:t>Amado, Frederico.</w:t>
      </w:r>
      <w:r>
        <w:rPr>
          <w:rFonts w:ascii="Arial" w:eastAsia="Times New Roman" w:hAnsi="Arial" w:cs="Times New Roman"/>
          <w:b/>
          <w:bCs/>
          <w:sz w:val="24"/>
          <w:szCs w:val="24"/>
          <w:lang w:val="pt-BR" w:eastAsia="pt-BR"/>
        </w:rPr>
        <w:t xml:space="preserve"> Direito previdenciário</w:t>
      </w:r>
      <w:r>
        <w:rPr>
          <w:rFonts w:ascii="Arial" w:eastAsia="Times New Roman" w:hAnsi="Arial" w:cs="Times New Roman"/>
          <w:sz w:val="24"/>
          <w:szCs w:val="24"/>
          <w:lang w:val="pt-BR" w:eastAsia="pt-BR"/>
        </w:rPr>
        <w:t>. 11. ed. Salvador: JusPodivm, 2020.</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Apbprev. </w:t>
      </w:r>
      <w:r>
        <w:rPr>
          <w:rFonts w:ascii="Arial" w:eastAsia="Times New Roman" w:hAnsi="Arial" w:cs="Times New Roman"/>
          <w:b/>
          <w:bCs/>
          <w:sz w:val="24"/>
          <w:szCs w:val="24"/>
          <w:lang w:val="pt-BR" w:eastAsia="pt-BR"/>
        </w:rPr>
        <w:t>Benefícios previdenciários para trabalhadores rurais: um guia completo</w:t>
      </w:r>
      <w:r>
        <w:rPr>
          <w:rFonts w:ascii="Arial" w:eastAsia="Times New Roman" w:hAnsi="Arial" w:cs="Times New Roman"/>
          <w:sz w:val="24"/>
          <w:szCs w:val="24"/>
          <w:lang w:val="pt-BR" w:eastAsia="pt-BR"/>
        </w:rPr>
        <w:t xml:space="preserve">. Disponível em: </w:t>
      </w:r>
      <w:hyperlink r:id="rId142" w:tgtFrame="_new">
        <w:r>
          <w:rPr>
            <w:rFonts w:ascii="Arial" w:eastAsia="Times New Roman" w:hAnsi="Arial" w:cs="Times New Roman"/>
            <w:color w:val="0000FF"/>
            <w:sz w:val="24"/>
            <w:szCs w:val="24"/>
            <w:u w:val="single"/>
            <w:lang w:val="pt-BR" w:eastAsia="pt-BR"/>
          </w:rPr>
          <w:t>https://www.apbprev.com.br/post/benef%C3%ADcios-previdenci%C3%A1rios-para-trabalhadores-rurais-um-guia-completo</w:t>
        </w:r>
      </w:hyperlink>
      <w:r>
        <w:rPr>
          <w:rFonts w:ascii="Arial" w:eastAsia="Times New Roman" w:hAnsi="Arial" w:cs="Times New Roman"/>
          <w:sz w:val="24"/>
          <w:szCs w:val="24"/>
          <w:lang w:val="pt-BR" w:eastAsia="pt-BR"/>
        </w:rPr>
        <w:t>. Acesso em: 08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Baptista, Rodrigo Martins; Bandeira, Mariana Lima; Souza, Maria Tereza Saraiva de. </w:t>
      </w:r>
      <w:r>
        <w:rPr>
          <w:rFonts w:ascii="Arial" w:eastAsia="Times New Roman" w:hAnsi="Arial" w:cs="Times New Roman"/>
          <w:b/>
          <w:bCs/>
          <w:sz w:val="24"/>
          <w:szCs w:val="24"/>
          <w:lang w:val="pt-BR" w:eastAsia="pt-BR"/>
        </w:rPr>
        <w:t>A invisibilização do negro no trabalho escravo contemporâneo: evidências a partir das condições de vulnerabilidade social</w:t>
      </w:r>
      <w:r>
        <w:rPr>
          <w:rFonts w:ascii="Arial" w:eastAsia="Times New Roman" w:hAnsi="Arial" w:cs="Times New Roman"/>
          <w:sz w:val="24"/>
          <w:szCs w:val="24"/>
          <w:lang w:val="pt-BR" w:eastAsia="pt-BR"/>
        </w:rPr>
        <w:t xml:space="preserve">. Organizações &amp; Sociedade, v. 25, n. 87, p. 676-703, out./dez. 2018. Disponível em: </w:t>
      </w:r>
      <w:hyperlink r:id="rId143" w:tgtFrame="_new">
        <w:r>
          <w:rPr>
            <w:rFonts w:ascii="Arial" w:eastAsia="Times New Roman" w:hAnsi="Arial" w:cs="Times New Roman"/>
            <w:color w:val="0000FF"/>
            <w:sz w:val="24"/>
            <w:szCs w:val="24"/>
            <w:u w:val="single"/>
            <w:lang w:val="pt-BR" w:eastAsia="pt-BR"/>
          </w:rPr>
          <w:t>https://periodicos.ufba.br/index.php/revistaoes/article/view/24254</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Benedetti Advocacia. </w:t>
      </w:r>
      <w:r>
        <w:rPr>
          <w:rFonts w:ascii="Arial" w:eastAsia="Times New Roman" w:hAnsi="Arial" w:cs="Times New Roman"/>
          <w:b/>
          <w:bCs/>
          <w:sz w:val="24"/>
          <w:szCs w:val="24"/>
          <w:lang w:val="pt-BR" w:eastAsia="pt-BR"/>
        </w:rPr>
        <w:t xml:space="preserve">Requisitos da aposentadoria do trabalhador rural. </w:t>
      </w:r>
      <w:r>
        <w:rPr>
          <w:rFonts w:ascii="Arial" w:eastAsia="Times New Roman" w:hAnsi="Arial" w:cs="Times New Roman"/>
          <w:sz w:val="24"/>
          <w:szCs w:val="24"/>
          <w:lang w:val="pt-BR" w:eastAsia="pt-BR"/>
        </w:rPr>
        <w:t xml:space="preserve">2024. Disponível em: </w:t>
      </w:r>
      <w:hyperlink r:id="rId144" w:tgtFrame="_new">
        <w:r>
          <w:rPr>
            <w:rFonts w:ascii="Arial" w:eastAsia="Times New Roman" w:hAnsi="Arial" w:cs="Times New Roman"/>
            <w:color w:val="0000FF"/>
            <w:sz w:val="24"/>
            <w:szCs w:val="24"/>
            <w:u w:val="single"/>
            <w:lang w:val="pt-BR" w:eastAsia="pt-BR"/>
          </w:rPr>
          <w:t>https://www.benedettiadvocacia.com.br/publicacoes/requisitos-da-aposentadoria-do-trabalhador-rural</w:t>
        </w:r>
      </w:hyperlink>
      <w:r>
        <w:rPr>
          <w:rFonts w:ascii="Arial" w:eastAsia="Times New Roman" w:hAnsi="Arial" w:cs="Times New Roman"/>
          <w:sz w:val="24"/>
          <w:szCs w:val="24"/>
          <w:lang w:val="pt-BR" w:eastAsia="pt-BR"/>
        </w:rPr>
        <w:t>. Acesso em: 09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Berwanger, Jane. </w:t>
      </w:r>
      <w:r>
        <w:rPr>
          <w:rFonts w:ascii="Arial" w:eastAsia="Times New Roman" w:hAnsi="Arial" w:cs="Times New Roman"/>
          <w:b/>
          <w:bCs/>
          <w:sz w:val="24"/>
          <w:szCs w:val="24"/>
          <w:lang w:val="pt-BR" w:eastAsia="pt-BR"/>
        </w:rPr>
        <w:t>As diferenças entre o empregado rural e o segurado especial à luz da Lei nº 8.213/1991.</w:t>
      </w:r>
      <w:r>
        <w:rPr>
          <w:rFonts w:ascii="Arial" w:eastAsia="Times New Roman" w:hAnsi="Arial" w:cs="Times New Roman"/>
          <w:sz w:val="24"/>
          <w:szCs w:val="24"/>
          <w:lang w:val="pt-BR" w:eastAsia="pt-BR"/>
        </w:rPr>
        <w:t xml:space="preserve"> Previdenciarista. Disponível em: </w:t>
      </w:r>
      <w:hyperlink r:id="rId145" w:tgtFrame="_new">
        <w:r>
          <w:rPr>
            <w:rFonts w:ascii="Arial" w:eastAsia="Times New Roman" w:hAnsi="Arial" w:cs="Times New Roman"/>
            <w:color w:val="0000FF"/>
            <w:sz w:val="24"/>
            <w:szCs w:val="24"/>
            <w:u w:val="single"/>
            <w:lang w:val="pt-BR" w:eastAsia="pt-BR"/>
          </w:rPr>
          <w:t>https://previdenciarista.com/blog/as-diferencas-entre-o-empregado-rural-e-o-segurado-especial-a-luz-da-lei-no-8-213-1991/</w:t>
        </w:r>
      </w:hyperlink>
      <w:r>
        <w:rPr>
          <w:rFonts w:ascii="Arial" w:eastAsia="Times New Roman" w:hAnsi="Arial" w:cs="Times New Roman"/>
          <w:sz w:val="24"/>
          <w:szCs w:val="24"/>
          <w:lang w:val="pt-BR" w:eastAsia="pt-BR"/>
        </w:rPr>
        <w:t>. Acesso em: 08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Berwanger, Jane Lucia Wilhelm. </w:t>
      </w:r>
      <w:r>
        <w:rPr>
          <w:rFonts w:ascii="Arial" w:eastAsia="Times New Roman" w:hAnsi="Arial" w:cs="Times New Roman"/>
          <w:b/>
          <w:bCs/>
          <w:sz w:val="24"/>
          <w:szCs w:val="24"/>
          <w:lang w:val="pt-BR" w:eastAsia="pt-BR"/>
        </w:rPr>
        <w:t>Direito previdenciário</w:t>
      </w:r>
      <w:r>
        <w:rPr>
          <w:rFonts w:ascii="Arial" w:eastAsia="Times New Roman" w:hAnsi="Arial" w:cs="Times New Roman"/>
          <w:sz w:val="24"/>
          <w:szCs w:val="24"/>
          <w:lang w:val="pt-BR" w:eastAsia="pt-BR"/>
        </w:rPr>
        <w:t>. 2025.</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Berwanger, Jane Lucia Wilhelm; Weber, Tainá. </w:t>
      </w:r>
      <w:r>
        <w:rPr>
          <w:rFonts w:ascii="Arial" w:eastAsia="Times New Roman" w:hAnsi="Arial" w:cs="Times New Roman"/>
          <w:b/>
          <w:sz w:val="24"/>
          <w:szCs w:val="24"/>
          <w:lang w:val="pt-BR" w:eastAsia="pt-BR"/>
        </w:rPr>
        <w:t>Informalidade e prova no meio rural.</w:t>
      </w:r>
      <w:r>
        <w:rPr>
          <w:rFonts w:ascii="Arial" w:eastAsia="Times New Roman" w:hAnsi="Arial" w:cs="Times New Roman"/>
          <w:sz w:val="24"/>
          <w:szCs w:val="24"/>
          <w:lang w:val="pt-BR" w:eastAsia="pt-BR"/>
        </w:rPr>
        <w:t xml:space="preserve"> 2024.</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Brasil. Constituição da República Federativa do Brasil de 1988.</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Brasil. Decreto-lei nº 2.848, de 7 de dezembro de 1940. Código Penal. Disponível em: </w:t>
      </w:r>
      <w:hyperlink r:id="rId146" w:tgtFrame="_new">
        <w:r>
          <w:rPr>
            <w:rFonts w:ascii="Arial" w:eastAsia="Times New Roman" w:hAnsi="Arial" w:cs="Times New Roman"/>
            <w:color w:val="0000FF"/>
            <w:sz w:val="24"/>
            <w:szCs w:val="24"/>
            <w:u w:val="single"/>
            <w:lang w:val="pt-BR" w:eastAsia="pt-BR"/>
          </w:rPr>
          <w:t>https://www.planalto.gov.br/ccivil_03/decreto-lei/del2848.htm</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Brasil. Decreto-Lei nº 5.452, de 1º de maio de 1943. </w:t>
      </w:r>
      <w:r>
        <w:rPr>
          <w:rFonts w:ascii="Arial" w:eastAsia="Times New Roman" w:hAnsi="Arial" w:cs="Times New Roman"/>
          <w:b/>
          <w:sz w:val="24"/>
          <w:szCs w:val="24"/>
          <w:lang w:val="pt-BR" w:eastAsia="pt-BR"/>
        </w:rPr>
        <w:t>Consolidação das Leis do Trabalho (CLT).</w:t>
      </w:r>
      <w:r>
        <w:rPr>
          <w:rFonts w:ascii="Arial" w:eastAsia="Times New Roman" w:hAnsi="Arial" w:cs="Times New Roman"/>
          <w:sz w:val="24"/>
          <w:szCs w:val="24"/>
          <w:lang w:val="pt-BR" w:eastAsia="pt-BR"/>
        </w:rPr>
        <w:t xml:space="preserve"> Disponível em: </w:t>
      </w:r>
      <w:hyperlink r:id="rId147" w:tgtFrame="_new">
        <w:r>
          <w:rPr>
            <w:rFonts w:ascii="Arial" w:eastAsia="Times New Roman" w:hAnsi="Arial" w:cs="Times New Roman"/>
            <w:color w:val="0000FF"/>
            <w:sz w:val="24"/>
            <w:szCs w:val="24"/>
            <w:u w:val="single"/>
            <w:lang w:val="pt-BR" w:eastAsia="pt-BR"/>
          </w:rPr>
          <w:t>http://www.planalto.gov.br/ccivil_03/decreto-lei/del5452.htm</w:t>
        </w:r>
      </w:hyperlink>
      <w:r>
        <w:rPr>
          <w:rFonts w:ascii="Arial" w:eastAsia="Times New Roman" w:hAnsi="Arial" w:cs="Times New Roman"/>
          <w:sz w:val="24"/>
          <w:szCs w:val="24"/>
          <w:lang w:val="pt-BR" w:eastAsia="pt-BR"/>
        </w:rPr>
        <w:t>. Acesso em: 08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Brasil. Instituto Nacional do Seguro Social (INSS). </w:t>
      </w:r>
      <w:r>
        <w:rPr>
          <w:rFonts w:ascii="Arial" w:eastAsia="Times New Roman" w:hAnsi="Arial" w:cs="Times New Roman"/>
          <w:b/>
          <w:sz w:val="24"/>
          <w:szCs w:val="24"/>
          <w:lang w:val="pt-BR" w:eastAsia="pt-BR"/>
        </w:rPr>
        <w:t>Benefícios da Previdência Social.</w:t>
      </w:r>
      <w:r>
        <w:rPr>
          <w:rFonts w:ascii="Arial" w:eastAsia="Times New Roman" w:hAnsi="Arial" w:cs="Times New Roman"/>
          <w:sz w:val="24"/>
          <w:szCs w:val="24"/>
          <w:lang w:val="pt-BR" w:eastAsia="pt-BR"/>
        </w:rPr>
        <w:t xml:space="preserve"> Disponível em: </w:t>
      </w:r>
      <w:hyperlink r:id="rId148" w:tgtFrame="_new">
        <w:r>
          <w:rPr>
            <w:rFonts w:ascii="Arial" w:eastAsia="Times New Roman" w:hAnsi="Arial" w:cs="Times New Roman"/>
            <w:color w:val="0000FF"/>
            <w:sz w:val="24"/>
            <w:szCs w:val="24"/>
            <w:u w:val="single"/>
            <w:lang w:val="pt-BR" w:eastAsia="pt-BR"/>
          </w:rPr>
          <w:t>https://www.gov.br/inss</w:t>
        </w:r>
      </w:hyperlink>
      <w:r>
        <w:rPr>
          <w:rFonts w:ascii="Arial" w:eastAsia="Times New Roman" w:hAnsi="Arial" w:cs="Times New Roman"/>
          <w:sz w:val="24"/>
          <w:szCs w:val="24"/>
          <w:lang w:val="pt-BR" w:eastAsia="pt-BR"/>
        </w:rPr>
        <w:t>. Acesso em: 08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Brasil. Lei nº 8.212, de 24 de julho de 1991. Disponível em: </w:t>
      </w:r>
      <w:hyperlink r:id="rId149" w:tgtFrame="_new">
        <w:r>
          <w:rPr>
            <w:rFonts w:ascii="Arial" w:eastAsia="Times New Roman" w:hAnsi="Arial" w:cs="Times New Roman"/>
            <w:color w:val="0000FF"/>
            <w:sz w:val="24"/>
            <w:szCs w:val="24"/>
            <w:u w:val="single"/>
            <w:lang w:val="pt-BR" w:eastAsia="pt-BR"/>
          </w:rPr>
          <w:t>https://www.planalto.gov.br/ccivil_03/leis/l8212cons.htm</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line="360" w:lineRule="auto"/>
        <w:rPr>
          <w:sz w:val="24"/>
          <w:szCs w:val="24"/>
        </w:rPr>
      </w:pPr>
      <w:r>
        <w:rPr>
          <w:rFonts w:ascii="Arial" w:eastAsia="Times New Roman" w:hAnsi="Arial" w:cs="Times New Roman"/>
          <w:sz w:val="24"/>
          <w:szCs w:val="24"/>
          <w:lang w:val="pt-BR" w:eastAsia="pt-BR"/>
        </w:rPr>
        <w:t xml:space="preserve">Brasil. Lei nº 8.213, de 24 de julho de 1991. </w:t>
      </w:r>
      <w:r>
        <w:rPr>
          <w:rFonts w:ascii="Arial" w:eastAsia="Times New Roman" w:hAnsi="Arial" w:cs="Times New Roman"/>
          <w:b/>
          <w:sz w:val="24"/>
          <w:szCs w:val="24"/>
          <w:lang w:val="pt-BR" w:eastAsia="pt-BR"/>
        </w:rPr>
        <w:t>Dispõe sobre os Planos de Benefícios da Previdência Social e dá outras providências.</w:t>
      </w:r>
      <w:r>
        <w:rPr>
          <w:rFonts w:ascii="Arial" w:eastAsia="Times New Roman" w:hAnsi="Arial" w:cs="Times New Roman"/>
          <w:sz w:val="24"/>
          <w:szCs w:val="24"/>
          <w:lang w:val="pt-BR" w:eastAsia="pt-BR"/>
        </w:rPr>
        <w:t xml:space="preserve"> Disponível em: </w:t>
      </w:r>
      <w:hyperlink r:id="rId150" w:tgtFrame="_new">
        <w:r>
          <w:rPr>
            <w:rFonts w:ascii="Arial" w:eastAsia="Times New Roman" w:hAnsi="Arial" w:cs="Times New Roman"/>
            <w:color w:val="0000FF"/>
            <w:sz w:val="24"/>
            <w:szCs w:val="24"/>
            <w:u w:val="single"/>
            <w:lang w:val="pt-BR" w:eastAsia="pt-BR"/>
          </w:rPr>
          <w:t>http://www.planalto.gov.br/ccivil_03/leis/l8213cons.htm</w:t>
        </w:r>
      </w:hyperlink>
      <w:r>
        <w:rPr>
          <w:rFonts w:ascii="Arial" w:eastAsia="Times New Roman" w:hAnsi="Arial" w:cs="Times New Roman"/>
          <w:sz w:val="24"/>
          <w:szCs w:val="24"/>
          <w:lang w:val="pt-BR" w:eastAsia="pt-BR"/>
        </w:rPr>
        <w:t>. Acesso em: 08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lastRenderedPageBreak/>
        <w:t xml:space="preserve">Brasil Escola. </w:t>
      </w:r>
      <w:r>
        <w:rPr>
          <w:rFonts w:ascii="Arial" w:eastAsia="Times New Roman" w:hAnsi="Arial" w:cs="Times New Roman"/>
          <w:b/>
          <w:sz w:val="24"/>
          <w:szCs w:val="24"/>
          <w:lang w:val="pt-BR" w:eastAsia="pt-BR"/>
        </w:rPr>
        <w:t>Escravidão no Brasil.</w:t>
      </w:r>
      <w:r>
        <w:rPr>
          <w:rFonts w:ascii="Arial" w:eastAsia="Times New Roman" w:hAnsi="Arial" w:cs="Times New Roman"/>
          <w:sz w:val="24"/>
          <w:szCs w:val="24"/>
          <w:lang w:val="pt-BR" w:eastAsia="pt-BR"/>
        </w:rPr>
        <w:t xml:space="preserve"> Disponível em: </w:t>
      </w:r>
      <w:hyperlink r:id="rId151" w:tgtFrame="_new">
        <w:r>
          <w:rPr>
            <w:rFonts w:ascii="Arial" w:eastAsia="Times New Roman" w:hAnsi="Arial" w:cs="Times New Roman"/>
            <w:color w:val="0000FF"/>
            <w:sz w:val="24"/>
            <w:szCs w:val="24"/>
            <w:u w:val="single"/>
            <w:lang w:val="pt-BR" w:eastAsia="pt-BR"/>
          </w:rPr>
          <w:t>https://brasilescola.uol.com.br/amp/historiab/escravidao-no-brasil.htm</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Brasil. Ministério da Educação. </w:t>
      </w:r>
      <w:r>
        <w:rPr>
          <w:rFonts w:ascii="Arial" w:eastAsia="Times New Roman" w:hAnsi="Arial" w:cs="Times New Roman"/>
          <w:b/>
          <w:sz w:val="24"/>
          <w:szCs w:val="24"/>
          <w:lang w:val="pt-BR" w:eastAsia="pt-BR"/>
        </w:rPr>
        <w:t>Diretrizes para a Educação do Campo.</w:t>
      </w:r>
      <w:r>
        <w:rPr>
          <w:rFonts w:ascii="Arial" w:eastAsia="Times New Roman" w:hAnsi="Arial" w:cs="Times New Roman"/>
          <w:sz w:val="24"/>
          <w:szCs w:val="24"/>
          <w:lang w:val="pt-BR" w:eastAsia="pt-BR"/>
        </w:rPr>
        <w:t xml:space="preserve"> Brasília: MEC, 2020.</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Brasil. Ministério da Saúde. </w:t>
      </w:r>
      <w:r>
        <w:rPr>
          <w:rFonts w:ascii="Arial" w:eastAsia="Times New Roman" w:hAnsi="Arial" w:cs="Times New Roman"/>
          <w:b/>
          <w:sz w:val="24"/>
          <w:szCs w:val="24"/>
          <w:lang w:val="pt-BR" w:eastAsia="pt-BR"/>
        </w:rPr>
        <w:t>Boletim Epidemiológico.</w:t>
      </w:r>
      <w:r>
        <w:rPr>
          <w:rFonts w:ascii="Arial" w:eastAsia="Times New Roman" w:hAnsi="Arial" w:cs="Times New Roman"/>
          <w:sz w:val="24"/>
          <w:szCs w:val="24"/>
          <w:lang w:val="pt-BR" w:eastAsia="pt-BR"/>
        </w:rPr>
        <w:t xml:space="preserve"> Brasília: Ministério da Saúde, 2021.</w:t>
      </w:r>
    </w:p>
    <w:p w:rsidR="009D60B7" w:rsidRDefault="00425C09" w:rsidP="00BA533E">
      <w:pPr>
        <w:widowControl/>
        <w:suppressAutoHyphens w:val="0"/>
        <w:spacing w:beforeAutospacing="1" w:afterAutospacing="1"/>
        <w:rPr>
          <w:rFonts w:ascii="Arial" w:hAnsi="Arial"/>
          <w:sz w:val="24"/>
          <w:szCs w:val="24"/>
        </w:rPr>
      </w:pPr>
      <w:r>
        <w:rPr>
          <w:rFonts w:ascii="Arial" w:hAnsi="Arial" w:cs="Times New Roman"/>
          <w:sz w:val="24"/>
          <w:szCs w:val="24"/>
        </w:rPr>
        <w:t xml:space="preserve">Brasil. Superior Tribunal de Justiça. </w:t>
      </w:r>
      <w:r>
        <w:rPr>
          <w:rFonts w:ascii="Arial" w:hAnsi="Arial" w:cs="Times New Roman"/>
          <w:b/>
          <w:sz w:val="24"/>
          <w:szCs w:val="24"/>
        </w:rPr>
        <w:t>Agravo Regimental no Recurso Especial nº 1.352.721/SP. Relator: Ministro Herman Benjamin. Segunda Turma.</w:t>
      </w:r>
      <w:r>
        <w:rPr>
          <w:rFonts w:ascii="Arial" w:hAnsi="Arial" w:cs="Times New Roman"/>
          <w:sz w:val="24"/>
          <w:szCs w:val="24"/>
        </w:rPr>
        <w:t xml:space="preserve"> Julgado em 04 dez. 2012. Publicado no Diário da Justiça eletrônico em 19 dez. 2012.</w:t>
      </w:r>
    </w:p>
    <w:p w:rsidR="009D60B7" w:rsidRDefault="00425C09" w:rsidP="00BA533E">
      <w:pPr>
        <w:widowControl/>
        <w:suppressAutoHyphens w:val="0"/>
        <w:spacing w:beforeAutospacing="1" w:afterAutospacing="1" w:line="360" w:lineRule="auto"/>
        <w:rPr>
          <w:sz w:val="24"/>
          <w:szCs w:val="24"/>
        </w:rPr>
      </w:pPr>
      <w:r>
        <w:rPr>
          <w:rFonts w:ascii="Arial" w:eastAsia="Times New Roman" w:hAnsi="Arial" w:cs="Times New Roman"/>
          <w:sz w:val="24"/>
          <w:szCs w:val="24"/>
          <w:lang w:val="pt-BR" w:eastAsia="pt-BR"/>
        </w:rPr>
        <w:t xml:space="preserve">Brasil. Superior Tribunal de Justiça. </w:t>
      </w:r>
      <w:r>
        <w:rPr>
          <w:rFonts w:ascii="Arial" w:eastAsia="Times New Roman" w:hAnsi="Arial" w:cs="Times New Roman"/>
          <w:b/>
          <w:sz w:val="24"/>
          <w:szCs w:val="24"/>
          <w:lang w:val="pt-BR" w:eastAsia="pt-BR"/>
        </w:rPr>
        <w:t>Súmula n. 149.</w:t>
      </w:r>
      <w:r>
        <w:rPr>
          <w:rFonts w:ascii="Arial" w:eastAsia="Times New Roman" w:hAnsi="Arial" w:cs="Times New Roman"/>
          <w:sz w:val="24"/>
          <w:szCs w:val="24"/>
          <w:lang w:val="pt-BR" w:eastAsia="pt-BR"/>
        </w:rPr>
        <w:t xml:space="preserve"> Disponível em: </w:t>
      </w:r>
      <w:hyperlink r:id="rId152">
        <w:r>
          <w:rPr>
            <w:rStyle w:val="Hyperlink1"/>
            <w:rFonts w:ascii="Arial" w:eastAsia="Times New Roman" w:hAnsi="Arial" w:cs="Times New Roman"/>
            <w:sz w:val="24"/>
            <w:szCs w:val="24"/>
            <w:lang w:val="pt-BR" w:eastAsia="pt-BR"/>
          </w:rPr>
          <w:t>https://www.stj.jus.br</w:t>
        </w:r>
      </w:hyperlink>
      <w:r>
        <w:rPr>
          <w:rFonts w:ascii="Arial" w:eastAsia="Times New Roman" w:hAnsi="Arial" w:cs="Times New Roman"/>
          <w:sz w:val="24"/>
          <w:szCs w:val="24"/>
          <w:lang w:val="pt-BR" w:eastAsia="pt-BR"/>
        </w:rPr>
        <w:t>. Acesso em : 22 Abr.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Caldart, Roseli Salete. </w:t>
      </w:r>
      <w:r>
        <w:rPr>
          <w:rFonts w:ascii="Arial" w:eastAsia="Times New Roman" w:hAnsi="Arial" w:cs="Times New Roman"/>
          <w:b/>
          <w:sz w:val="24"/>
          <w:szCs w:val="24"/>
          <w:lang w:val="pt-BR" w:eastAsia="pt-BR"/>
        </w:rPr>
        <w:t>Pedagogia do Movimento Sem Terra.</w:t>
      </w:r>
      <w:r>
        <w:rPr>
          <w:rFonts w:ascii="Arial" w:eastAsia="Times New Roman" w:hAnsi="Arial" w:cs="Times New Roman"/>
          <w:sz w:val="24"/>
          <w:szCs w:val="24"/>
          <w:lang w:val="pt-BR" w:eastAsia="pt-BR"/>
        </w:rPr>
        <w:t xml:space="preserve"> São Paulo: Expressão Popular, 2008.</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Camarano, Ana Amélia; Kanso, Solange. </w:t>
      </w:r>
      <w:r>
        <w:rPr>
          <w:rFonts w:ascii="Arial" w:eastAsia="Times New Roman" w:hAnsi="Arial" w:cs="Times New Roman"/>
          <w:b/>
          <w:sz w:val="24"/>
          <w:szCs w:val="24"/>
          <w:lang w:val="pt-BR" w:eastAsia="pt-BR"/>
        </w:rPr>
        <w:t>Envelhecimento da população brasileira: um enfoque demográfico.</w:t>
      </w:r>
      <w:r>
        <w:rPr>
          <w:rFonts w:ascii="Arial" w:eastAsia="Times New Roman" w:hAnsi="Arial" w:cs="Times New Roman"/>
          <w:sz w:val="24"/>
          <w:szCs w:val="24"/>
          <w:lang w:val="pt-BR" w:eastAsia="pt-BR"/>
        </w:rPr>
        <w:t xml:space="preserve"> Rio de Janeiro: Ipea, 2016.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Carneiro, Maria José. </w:t>
      </w:r>
      <w:r>
        <w:rPr>
          <w:rFonts w:ascii="Arial" w:eastAsia="Times New Roman" w:hAnsi="Arial" w:cs="Times New Roman"/>
          <w:b/>
          <w:sz w:val="24"/>
          <w:szCs w:val="24"/>
          <w:lang w:val="pt-BR" w:eastAsia="pt-BR"/>
        </w:rPr>
        <w:t>Ruralidades no Brasil contemporâneo.</w:t>
      </w:r>
      <w:r>
        <w:rPr>
          <w:rFonts w:ascii="Arial" w:eastAsia="Times New Roman" w:hAnsi="Arial" w:cs="Times New Roman"/>
          <w:sz w:val="24"/>
          <w:szCs w:val="24"/>
          <w:lang w:val="pt-BR" w:eastAsia="pt-BR"/>
        </w:rPr>
        <w:t xml:space="preserve"> Rio de Janeiro: Mauad X, 2012.</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Castro, Carlos Alberto Pereira de; Lazzari, João Batista. </w:t>
      </w:r>
      <w:r>
        <w:rPr>
          <w:rFonts w:ascii="Arial" w:eastAsia="Times New Roman" w:hAnsi="Arial" w:cs="Times New Roman"/>
          <w:b/>
          <w:bCs/>
          <w:sz w:val="24"/>
          <w:szCs w:val="24"/>
          <w:lang w:val="pt-BR" w:eastAsia="pt-BR"/>
        </w:rPr>
        <w:t>Manual de direito previdenciário</w:t>
      </w:r>
      <w:r>
        <w:rPr>
          <w:rFonts w:ascii="Arial" w:eastAsia="Times New Roman" w:hAnsi="Arial" w:cs="Times New Roman"/>
          <w:sz w:val="24"/>
          <w:szCs w:val="24"/>
          <w:lang w:val="pt-BR" w:eastAsia="pt-BR"/>
        </w:rPr>
        <w:t>. 21. ed. Rio de Janeiro: Forense, 2018.</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Castro, Carlos Alberto Pereira de; Lazzari, João Batista. </w:t>
      </w:r>
      <w:r>
        <w:rPr>
          <w:rFonts w:ascii="Arial" w:eastAsia="Times New Roman" w:hAnsi="Arial" w:cs="Times New Roman"/>
          <w:b/>
          <w:bCs/>
          <w:sz w:val="24"/>
          <w:szCs w:val="24"/>
          <w:lang w:val="pt-BR" w:eastAsia="pt-BR"/>
        </w:rPr>
        <w:t>Manual de direito previdenciário</w:t>
      </w:r>
      <w:r>
        <w:rPr>
          <w:rFonts w:ascii="Arial" w:eastAsia="Times New Roman" w:hAnsi="Arial" w:cs="Times New Roman"/>
          <w:sz w:val="24"/>
          <w:szCs w:val="24"/>
          <w:lang w:val="pt-BR" w:eastAsia="pt-BR"/>
        </w:rPr>
        <w:t>. 25. ed. Rio de Janeiro: Forense, 2022.</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Castro, Carlos Alberto Pereira de; Lazzari, João Batista. </w:t>
      </w:r>
      <w:r>
        <w:rPr>
          <w:rFonts w:ascii="Arial" w:eastAsia="Times New Roman" w:hAnsi="Arial" w:cs="Times New Roman"/>
          <w:b/>
          <w:bCs/>
          <w:sz w:val="24"/>
          <w:szCs w:val="24"/>
          <w:lang w:val="pt-BR" w:eastAsia="pt-BR"/>
        </w:rPr>
        <w:t>Manual de direito previdenciário</w:t>
      </w:r>
      <w:r>
        <w:rPr>
          <w:rFonts w:ascii="Arial" w:eastAsia="Times New Roman" w:hAnsi="Arial" w:cs="Times New Roman"/>
          <w:sz w:val="24"/>
          <w:szCs w:val="24"/>
          <w:lang w:val="pt-BR" w:eastAsia="pt-BR"/>
        </w:rPr>
        <w:t>. 26. ed. Rio de Janeiro: Forense, 2023.</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Cetic.br. TIC domicílios 2023. São Paulo: </w:t>
      </w:r>
      <w:r>
        <w:rPr>
          <w:rFonts w:ascii="Arial" w:eastAsia="Times New Roman" w:hAnsi="Arial" w:cs="Times New Roman"/>
          <w:b/>
          <w:sz w:val="24"/>
          <w:szCs w:val="24"/>
          <w:lang w:val="pt-BR" w:eastAsia="pt-BR"/>
        </w:rPr>
        <w:t>Comitê Gestor da Internet no Brasil.</w:t>
      </w:r>
      <w:r>
        <w:rPr>
          <w:rFonts w:ascii="Arial" w:eastAsia="Times New Roman" w:hAnsi="Arial" w:cs="Times New Roman"/>
          <w:sz w:val="24"/>
          <w:szCs w:val="24"/>
          <w:lang w:val="pt-BR" w:eastAsia="pt-BR"/>
        </w:rPr>
        <w:t xml:space="preserve"> 2023. Disponível em: </w:t>
      </w:r>
      <w:hyperlink r:id="rId153" w:tgtFrame="_new">
        <w:r>
          <w:rPr>
            <w:rFonts w:ascii="Arial" w:eastAsia="Times New Roman" w:hAnsi="Arial" w:cs="Times New Roman"/>
            <w:color w:val="0000FF"/>
            <w:sz w:val="24"/>
            <w:szCs w:val="24"/>
            <w:u w:val="single"/>
            <w:lang w:val="pt-BR" w:eastAsia="pt-BR"/>
          </w:rPr>
          <w:t>https://cetic.br/pt/pesquisa/domicilios/</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Delgado, Guilherme Costa. </w:t>
      </w:r>
      <w:r>
        <w:rPr>
          <w:rFonts w:ascii="Arial" w:eastAsia="Times New Roman" w:hAnsi="Arial" w:cs="Times New Roman"/>
          <w:b/>
          <w:sz w:val="24"/>
          <w:szCs w:val="24"/>
          <w:lang w:val="pt-BR" w:eastAsia="pt-BR"/>
        </w:rPr>
        <w:t>Questão agrária e desenvolvimento rural.</w:t>
      </w:r>
      <w:r>
        <w:rPr>
          <w:rFonts w:ascii="Arial" w:eastAsia="Times New Roman" w:hAnsi="Arial" w:cs="Times New Roman"/>
          <w:sz w:val="24"/>
          <w:szCs w:val="24"/>
          <w:lang w:val="pt-BR" w:eastAsia="pt-BR"/>
        </w:rPr>
        <w:t xml:space="preserve"> São Paulo: Editora Fundação Perseu Abramo, 2014.</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Farias, Rangel Camilo. </w:t>
      </w:r>
      <w:r>
        <w:rPr>
          <w:rFonts w:ascii="Arial" w:eastAsia="Times New Roman" w:hAnsi="Arial" w:cs="Times New Roman"/>
          <w:b/>
          <w:sz w:val="24"/>
          <w:szCs w:val="24"/>
          <w:lang w:val="pt-BR" w:eastAsia="pt-BR"/>
        </w:rPr>
        <w:t>Burocracia seletiva: o papel do habitante rural na (in)efetivação dos direitos previdenciários do segurado especial rural.</w:t>
      </w:r>
      <w:r>
        <w:rPr>
          <w:rFonts w:ascii="Arial" w:eastAsia="Times New Roman" w:hAnsi="Arial" w:cs="Times New Roman"/>
          <w:sz w:val="24"/>
          <w:szCs w:val="24"/>
          <w:lang w:val="pt-BR" w:eastAsia="pt-BR"/>
        </w:rPr>
        <w:t xml:space="preserve"> 2020.</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G1</w:t>
      </w:r>
      <w:r>
        <w:rPr>
          <w:rFonts w:ascii="Arial" w:eastAsia="Times New Roman" w:hAnsi="Arial" w:cs="Times New Roman"/>
          <w:b/>
          <w:sz w:val="24"/>
          <w:szCs w:val="24"/>
          <w:lang w:val="pt-BR" w:eastAsia="pt-BR"/>
        </w:rPr>
        <w:t xml:space="preserve">. Mais de 65 mil pessoas foram resgatadas nos últimos 30 anos no Brasil. </w:t>
      </w:r>
      <w:r>
        <w:rPr>
          <w:rFonts w:ascii="Arial" w:eastAsia="Times New Roman" w:hAnsi="Arial" w:cs="Times New Roman"/>
          <w:sz w:val="24"/>
          <w:szCs w:val="24"/>
          <w:lang w:val="pt-BR" w:eastAsia="pt-BR"/>
        </w:rPr>
        <w:t xml:space="preserve">28 jan. 2025. Disponível em: </w:t>
      </w:r>
      <w:hyperlink r:id="rId154">
        <w:r>
          <w:rPr>
            <w:rStyle w:val="Hyperlink1"/>
            <w:rFonts w:ascii="Arial" w:eastAsia="Times New Roman" w:hAnsi="Arial" w:cs="Times New Roman"/>
            <w:sz w:val="24"/>
            <w:szCs w:val="24"/>
            <w:lang w:val="pt-BR" w:eastAsia="pt-BR"/>
          </w:rPr>
          <w:t>https://g1.globo.com/trabalho-e-carreira/noticia/2025/01/28/mais-de-65-mil-pessoas-foram-resgatadas-nos-ultimos-30-anos-no-brasil.ghtml</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lastRenderedPageBreak/>
        <w:t xml:space="preserve">IBGE. </w:t>
      </w:r>
      <w:r>
        <w:rPr>
          <w:rFonts w:ascii="Arial" w:eastAsia="Times New Roman" w:hAnsi="Arial" w:cs="Times New Roman"/>
          <w:b/>
          <w:bCs/>
          <w:sz w:val="24"/>
          <w:szCs w:val="24"/>
          <w:lang w:val="pt-BR" w:eastAsia="pt-BR"/>
        </w:rPr>
        <w:t>Indicadores sociais e educacionais no Brasil</w:t>
      </w:r>
      <w:r>
        <w:rPr>
          <w:rFonts w:ascii="Arial" w:eastAsia="Times New Roman" w:hAnsi="Arial" w:cs="Times New Roman"/>
          <w:sz w:val="24"/>
          <w:szCs w:val="24"/>
          <w:lang w:val="pt-BR" w:eastAsia="pt-BR"/>
        </w:rPr>
        <w:t>. 2022.</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IBGE. </w:t>
      </w:r>
      <w:r>
        <w:rPr>
          <w:rFonts w:ascii="Arial" w:eastAsia="Times New Roman" w:hAnsi="Arial" w:cs="Times New Roman"/>
          <w:b/>
          <w:bCs/>
          <w:sz w:val="24"/>
          <w:szCs w:val="24"/>
          <w:lang w:val="pt-BR" w:eastAsia="pt-BR"/>
        </w:rPr>
        <w:t>Dados sobre analfabetismo no Brasil</w:t>
      </w:r>
      <w:r>
        <w:rPr>
          <w:rFonts w:ascii="Arial" w:eastAsia="Times New Roman" w:hAnsi="Arial" w:cs="Times New Roman"/>
          <w:sz w:val="24"/>
          <w:szCs w:val="24"/>
          <w:lang w:val="pt-BR" w:eastAsia="pt-BR"/>
        </w:rPr>
        <w:t>. 2024.</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Ibrahim, Fábio Zambitte. </w:t>
      </w:r>
      <w:r>
        <w:rPr>
          <w:rFonts w:ascii="Arial" w:eastAsia="Times New Roman" w:hAnsi="Arial" w:cs="Times New Roman"/>
          <w:b/>
          <w:bCs/>
          <w:sz w:val="24"/>
          <w:szCs w:val="24"/>
          <w:lang w:val="pt-BR" w:eastAsia="pt-BR"/>
        </w:rPr>
        <w:t>Curso de direito previdenciário</w:t>
      </w:r>
      <w:r>
        <w:rPr>
          <w:rFonts w:ascii="Arial" w:eastAsia="Times New Roman" w:hAnsi="Arial" w:cs="Times New Roman"/>
          <w:sz w:val="24"/>
          <w:szCs w:val="24"/>
          <w:lang w:val="pt-BR" w:eastAsia="pt-BR"/>
        </w:rPr>
        <w:t>. 20. ed. Rio de Janeiro: Impetus, 2015.</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Ibrahim, Fábio Zambitte. </w:t>
      </w:r>
      <w:r>
        <w:rPr>
          <w:rFonts w:ascii="Arial" w:eastAsia="Times New Roman" w:hAnsi="Arial" w:cs="Times New Roman"/>
          <w:b/>
          <w:bCs/>
          <w:sz w:val="24"/>
          <w:szCs w:val="24"/>
          <w:lang w:val="pt-BR" w:eastAsia="pt-BR"/>
        </w:rPr>
        <w:t>Curso de direito previdenciário</w:t>
      </w:r>
      <w:r>
        <w:rPr>
          <w:rFonts w:ascii="Arial" w:eastAsia="Times New Roman" w:hAnsi="Arial" w:cs="Times New Roman"/>
          <w:sz w:val="24"/>
          <w:szCs w:val="24"/>
          <w:lang w:val="pt-BR" w:eastAsia="pt-BR"/>
        </w:rPr>
        <w:t>. 2022.</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Jusbrasil</w:t>
      </w:r>
      <w:r>
        <w:rPr>
          <w:rFonts w:ascii="Arial" w:eastAsia="Times New Roman" w:hAnsi="Arial" w:cs="Times New Roman"/>
          <w:b/>
          <w:bCs/>
          <w:sz w:val="24"/>
          <w:szCs w:val="24"/>
          <w:lang w:val="pt-BR" w:eastAsia="pt-BR"/>
        </w:rPr>
        <w:t>. Empregado rural e a relação de emprego do rurícola</w:t>
      </w:r>
      <w:r>
        <w:rPr>
          <w:rFonts w:ascii="Arial" w:eastAsia="Times New Roman" w:hAnsi="Arial" w:cs="Times New Roman"/>
          <w:sz w:val="24"/>
          <w:szCs w:val="24"/>
          <w:lang w:val="pt-BR" w:eastAsia="pt-BR"/>
        </w:rPr>
        <w:t xml:space="preserve">. Disponível em: </w:t>
      </w:r>
      <w:hyperlink r:id="rId155" w:tgtFrame="_new">
        <w:r>
          <w:rPr>
            <w:rFonts w:ascii="Arial" w:eastAsia="Times New Roman" w:hAnsi="Arial" w:cs="Times New Roman"/>
            <w:color w:val="0000FF"/>
            <w:sz w:val="24"/>
            <w:szCs w:val="24"/>
            <w:u w:val="single"/>
            <w:lang w:val="pt-BR" w:eastAsia="pt-BR"/>
          </w:rPr>
          <w:t>https://www.jusbrasil.com.br/artigos/empregado-rural-e-a-relacao-de-emprego-do-ruricola/1620589550</w:t>
        </w:r>
      </w:hyperlink>
      <w:r>
        <w:rPr>
          <w:rFonts w:ascii="Arial" w:eastAsia="Times New Roman" w:hAnsi="Arial" w:cs="Times New Roman"/>
          <w:sz w:val="24"/>
          <w:szCs w:val="24"/>
          <w:lang w:val="pt-BR" w:eastAsia="pt-BR"/>
        </w:rPr>
        <w:t>. Acesso em: 08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Jusbrasil. </w:t>
      </w:r>
      <w:r>
        <w:rPr>
          <w:rFonts w:ascii="Arial" w:eastAsia="Times New Roman" w:hAnsi="Arial" w:cs="Times New Roman"/>
          <w:b/>
          <w:sz w:val="24"/>
          <w:szCs w:val="24"/>
          <w:lang w:val="pt-BR" w:eastAsia="pt-BR"/>
        </w:rPr>
        <w:t>Relações de trabalho rural e previdência.</w:t>
      </w:r>
      <w:r>
        <w:rPr>
          <w:rFonts w:ascii="Arial" w:eastAsia="Times New Roman" w:hAnsi="Arial" w:cs="Times New Roman"/>
          <w:sz w:val="24"/>
          <w:szCs w:val="24"/>
          <w:lang w:val="pt-BR" w:eastAsia="pt-BR"/>
        </w:rPr>
        <w:t xml:space="preserve"> 2022.</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Martins, Sérgio Pinto. </w:t>
      </w:r>
      <w:r>
        <w:rPr>
          <w:rFonts w:ascii="Arial" w:eastAsia="Times New Roman" w:hAnsi="Arial" w:cs="Times New Roman"/>
          <w:b/>
          <w:bCs/>
          <w:sz w:val="24"/>
          <w:szCs w:val="24"/>
          <w:lang w:val="pt-BR" w:eastAsia="pt-BR"/>
        </w:rPr>
        <w:t>Direito do trabalho</w:t>
      </w:r>
      <w:r>
        <w:rPr>
          <w:rFonts w:ascii="Arial" w:eastAsia="Times New Roman" w:hAnsi="Arial" w:cs="Times New Roman"/>
          <w:sz w:val="24"/>
          <w:szCs w:val="24"/>
          <w:lang w:val="pt-BR" w:eastAsia="pt-BR"/>
        </w:rPr>
        <w:t>. 2015.</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Martins, Sérgio Pinto. </w:t>
      </w:r>
      <w:r>
        <w:rPr>
          <w:rFonts w:ascii="Arial" w:eastAsia="Times New Roman" w:hAnsi="Arial" w:cs="Times New Roman"/>
          <w:b/>
          <w:bCs/>
          <w:sz w:val="24"/>
          <w:szCs w:val="24"/>
          <w:lang w:val="pt-BR" w:eastAsia="pt-BR"/>
        </w:rPr>
        <w:t>Direito do trabalho</w:t>
      </w:r>
      <w:r>
        <w:rPr>
          <w:rFonts w:ascii="Arial" w:eastAsia="Times New Roman" w:hAnsi="Arial" w:cs="Times New Roman"/>
          <w:sz w:val="24"/>
          <w:szCs w:val="24"/>
          <w:lang w:val="pt-BR" w:eastAsia="pt-BR"/>
        </w:rPr>
        <w:t>. 2023.</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Mendes, Ana Paula; Coelho, Ricardo. </w:t>
      </w:r>
      <w:r>
        <w:rPr>
          <w:rFonts w:ascii="Arial" w:eastAsia="Times New Roman" w:hAnsi="Arial" w:cs="Times New Roman"/>
          <w:b/>
          <w:sz w:val="24"/>
          <w:szCs w:val="24"/>
          <w:lang w:val="pt-BR" w:eastAsia="pt-BR"/>
        </w:rPr>
        <w:t>Prova documental e informalidade no meio rural.</w:t>
      </w:r>
      <w:r>
        <w:rPr>
          <w:rFonts w:ascii="Arial" w:eastAsia="Times New Roman" w:hAnsi="Arial" w:cs="Times New Roman"/>
          <w:sz w:val="24"/>
          <w:szCs w:val="24"/>
          <w:lang w:val="pt-BR" w:eastAsia="pt-BR"/>
        </w:rPr>
        <w:t xml:space="preserve"> 2025.</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Oxfam Brasil. </w:t>
      </w:r>
      <w:r>
        <w:rPr>
          <w:rFonts w:ascii="Arial" w:eastAsia="Times New Roman" w:hAnsi="Arial" w:cs="Times New Roman"/>
          <w:b/>
          <w:sz w:val="24"/>
          <w:szCs w:val="24"/>
          <w:lang w:val="pt-BR" w:eastAsia="pt-BR"/>
        </w:rPr>
        <w:t>Trabalho no campo: os desafios a serem superados no cenário atual.</w:t>
      </w:r>
      <w:r>
        <w:rPr>
          <w:rFonts w:ascii="Arial" w:eastAsia="Times New Roman" w:hAnsi="Arial" w:cs="Times New Roman"/>
          <w:sz w:val="24"/>
          <w:szCs w:val="24"/>
          <w:lang w:val="pt-BR" w:eastAsia="pt-BR"/>
        </w:rPr>
        <w:t xml:space="preserve"> 25 jul. 2024. Disponível em: </w:t>
      </w:r>
      <w:hyperlink r:id="rId156" w:tgtFrame="_new">
        <w:r>
          <w:rPr>
            <w:rFonts w:ascii="Arial" w:eastAsia="Times New Roman" w:hAnsi="Arial" w:cs="Times New Roman"/>
            <w:color w:val="0000FF"/>
            <w:sz w:val="24"/>
            <w:szCs w:val="24"/>
            <w:u w:val="single"/>
            <w:lang w:val="pt-BR" w:eastAsia="pt-BR"/>
          </w:rPr>
          <w:t>https://www.oxfam.org.br/trabalho-no-campo-os-desafios-a-serem-superados-no-cenario-atual/</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Rocha, Daniel Machado da; Baltazar Júnior, José Paulo. </w:t>
      </w:r>
      <w:r>
        <w:rPr>
          <w:rFonts w:ascii="Arial" w:eastAsia="Times New Roman" w:hAnsi="Arial" w:cs="Times New Roman"/>
          <w:b/>
          <w:sz w:val="24"/>
          <w:szCs w:val="24"/>
          <w:lang w:val="pt-BR" w:eastAsia="pt-BR"/>
        </w:rPr>
        <w:t>Comentários à Lei de Benefícios da Previdência Social.</w:t>
      </w:r>
      <w:r>
        <w:rPr>
          <w:rFonts w:ascii="Arial" w:eastAsia="Times New Roman" w:hAnsi="Arial" w:cs="Times New Roman"/>
          <w:sz w:val="24"/>
          <w:szCs w:val="24"/>
          <w:lang w:val="pt-BR" w:eastAsia="pt-BR"/>
        </w:rPr>
        <w:t xml:space="preserve"> 15. ed. Porto Alegre: Livraria do Advogado, 2019.</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Roman, Maína. </w:t>
      </w:r>
      <w:r>
        <w:rPr>
          <w:rStyle w:val="Forte1"/>
          <w:rFonts w:ascii="Arial" w:eastAsia="Times New Roman" w:hAnsi="Arial" w:cs="Times New Roman"/>
          <w:bCs w:val="0"/>
          <w:sz w:val="24"/>
          <w:szCs w:val="24"/>
          <w:lang w:val="pt-BR" w:eastAsia="pt-BR"/>
        </w:rPr>
        <w:t>Competência para o licenciamento ambiental: conflitos existentes e a regulamentação do art. 23 da Constituição Federal</w:t>
      </w:r>
      <w:r>
        <w:rPr>
          <w:rFonts w:ascii="Arial" w:eastAsia="Times New Roman" w:hAnsi="Arial" w:cs="Times New Roman"/>
          <w:sz w:val="24"/>
          <w:szCs w:val="24"/>
          <w:lang w:val="pt-BR" w:eastAsia="pt-BR"/>
        </w:rPr>
        <w:t xml:space="preserve">. Disponível em: </w:t>
      </w:r>
      <w:hyperlink r:id="rId157" w:tgtFrame="_new">
        <w:r>
          <w:rPr>
            <w:rFonts w:ascii="Arial" w:eastAsia="Times New Roman" w:hAnsi="Arial" w:cs="Times New Roman"/>
            <w:color w:val="0000FF"/>
            <w:sz w:val="24"/>
            <w:szCs w:val="24"/>
            <w:u w:val="single"/>
            <w:lang w:val="pt-BR" w:eastAsia="pt-BR"/>
          </w:rPr>
          <w:t>Acessar no acervo digital da UFPR</w:t>
        </w:r>
      </w:hyperlink>
      <w:r>
        <w:rPr>
          <w:rFonts w:ascii="Arial" w:eastAsia="Times New Roman" w:hAnsi="Arial" w:cs="Times New Roman"/>
          <w:sz w:val="24"/>
          <w:szCs w:val="24"/>
          <w:lang w:val="pt-BR" w:eastAsia="pt-BR"/>
        </w:rPr>
        <w:t xml:space="preserve">. Acesso em: 01 abr. 2026. </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Sakamoto, Leonardo. </w:t>
      </w:r>
      <w:r>
        <w:rPr>
          <w:rFonts w:ascii="Arial" w:eastAsia="Times New Roman" w:hAnsi="Arial" w:cs="Times New Roman"/>
          <w:b/>
          <w:sz w:val="24"/>
          <w:szCs w:val="24"/>
          <w:lang w:val="pt-BR" w:eastAsia="pt-BR"/>
        </w:rPr>
        <w:t>Escravidão contemporânea.</w:t>
      </w:r>
      <w:r>
        <w:rPr>
          <w:rFonts w:ascii="Arial" w:eastAsia="Times New Roman" w:hAnsi="Arial" w:cs="Times New Roman"/>
          <w:sz w:val="24"/>
          <w:szCs w:val="24"/>
          <w:lang w:val="pt-BR" w:eastAsia="pt-BR"/>
        </w:rPr>
        <w:t xml:space="preserve"> São Paulo: Editora Contexto, 2020. Disponível em: </w:t>
      </w:r>
      <w:hyperlink r:id="rId158" w:tgtFrame="_new">
        <w:r>
          <w:rPr>
            <w:rFonts w:ascii="Arial" w:eastAsia="Times New Roman" w:hAnsi="Arial" w:cs="Times New Roman"/>
            <w:color w:val="0000FF"/>
            <w:sz w:val="24"/>
            <w:szCs w:val="24"/>
            <w:u w:val="single"/>
            <w:lang w:val="pt-BR" w:eastAsia="pt-BR"/>
          </w:rPr>
          <w:t>https://integrada.minhabiblioteca.com.br/reader/books/9788552001713/</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t xml:space="preserve">Schwarcz, Lilia Moritz. </w:t>
      </w:r>
      <w:r>
        <w:rPr>
          <w:rFonts w:ascii="Arial" w:eastAsia="Times New Roman" w:hAnsi="Arial" w:cs="Times New Roman"/>
          <w:b/>
          <w:sz w:val="24"/>
          <w:szCs w:val="24"/>
          <w:lang w:val="pt-BR" w:eastAsia="pt-BR"/>
        </w:rPr>
        <w:t>Brasil: uma biografia.</w:t>
      </w:r>
      <w:r>
        <w:rPr>
          <w:rFonts w:ascii="Arial" w:eastAsia="Times New Roman" w:hAnsi="Arial" w:cs="Times New Roman"/>
          <w:sz w:val="24"/>
          <w:szCs w:val="24"/>
          <w:lang w:val="pt-BR" w:eastAsia="pt-BR"/>
        </w:rPr>
        <w:t xml:space="preserve"> São Paulo: Companhia das Letras, 2015.</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Senado Federal. </w:t>
      </w:r>
      <w:r>
        <w:rPr>
          <w:rFonts w:ascii="Arial" w:eastAsia="Times New Roman" w:hAnsi="Arial" w:cs="Times New Roman"/>
          <w:b/>
          <w:sz w:val="24"/>
          <w:szCs w:val="24"/>
          <w:lang w:val="pt-BR" w:eastAsia="pt-BR"/>
        </w:rPr>
        <w:t>Histórias do Brasil – Escravidão nunca mais.</w:t>
      </w:r>
      <w:r>
        <w:rPr>
          <w:rFonts w:ascii="Arial" w:eastAsia="Times New Roman" w:hAnsi="Arial" w:cs="Times New Roman"/>
          <w:sz w:val="24"/>
          <w:szCs w:val="24"/>
          <w:lang w:val="pt-BR" w:eastAsia="pt-BR"/>
        </w:rPr>
        <w:t xml:space="preserve"> 13 mai. 2022. Disponível em: </w:t>
      </w:r>
      <w:hyperlink r:id="rId159" w:tgtFrame="_new">
        <w:r>
          <w:rPr>
            <w:rFonts w:ascii="Arial" w:eastAsia="Times New Roman" w:hAnsi="Arial" w:cs="Times New Roman"/>
            <w:color w:val="0000FF"/>
            <w:sz w:val="24"/>
            <w:szCs w:val="24"/>
            <w:u w:val="single"/>
            <w:lang w:val="pt-BR" w:eastAsia="pt-BR"/>
          </w:rPr>
          <w:t>https://www12.senado.leg.br/noticias/videos/2022/05/historias-do-brasil-escravidao-nunca-mais</w:t>
        </w:r>
      </w:hyperlink>
      <w:r>
        <w:rPr>
          <w:rFonts w:ascii="Arial" w:eastAsia="Times New Roman" w:hAnsi="Arial" w:cs="Times New Roman"/>
          <w:sz w:val="24"/>
          <w:szCs w:val="24"/>
          <w:lang w:val="pt-BR" w:eastAsia="pt-BR"/>
        </w:rPr>
        <w:t>. Acesso em: 20 mar. 2026.</w:t>
      </w:r>
    </w:p>
    <w:p w:rsidR="009D60B7" w:rsidRDefault="00425C09" w:rsidP="00BA533E">
      <w:pPr>
        <w:widowControl/>
        <w:suppressAutoHyphens w:val="0"/>
        <w:spacing w:beforeAutospacing="1" w:afterAutospacing="1"/>
        <w:rPr>
          <w:sz w:val="24"/>
          <w:szCs w:val="24"/>
        </w:rPr>
      </w:pPr>
      <w:r>
        <w:rPr>
          <w:rFonts w:ascii="Arial" w:eastAsia="Times New Roman" w:hAnsi="Arial" w:cs="Times New Roman"/>
          <w:sz w:val="24"/>
          <w:szCs w:val="24"/>
          <w:lang w:val="pt-BR" w:eastAsia="pt-BR"/>
        </w:rPr>
        <w:t xml:space="preserve">Silva, Julio. </w:t>
      </w:r>
      <w:r>
        <w:rPr>
          <w:rFonts w:ascii="Arial" w:eastAsia="Times New Roman" w:hAnsi="Arial" w:cs="Times New Roman"/>
          <w:b/>
          <w:sz w:val="24"/>
          <w:szCs w:val="24"/>
          <w:lang w:val="pt-BR" w:eastAsia="pt-BR"/>
        </w:rPr>
        <w:t>Falta de acesso à internet de qualidade no meio rural exclui pequenos produtores.</w:t>
      </w:r>
      <w:r>
        <w:rPr>
          <w:rFonts w:ascii="Arial" w:eastAsia="Times New Roman" w:hAnsi="Arial" w:cs="Times New Roman"/>
          <w:sz w:val="24"/>
          <w:szCs w:val="24"/>
          <w:lang w:val="pt-BR" w:eastAsia="pt-BR"/>
        </w:rPr>
        <w:t xml:space="preserve"> Jornal da USP, 21 jun. 2024. Disponível em: </w:t>
      </w:r>
      <w:hyperlink r:id="rId160" w:tgtFrame="_new">
        <w:r>
          <w:rPr>
            <w:rFonts w:ascii="Arial" w:eastAsia="Times New Roman" w:hAnsi="Arial" w:cs="Times New Roman"/>
            <w:color w:val="0000FF"/>
            <w:sz w:val="24"/>
            <w:szCs w:val="24"/>
            <w:u w:val="single"/>
            <w:lang w:val="pt-BR" w:eastAsia="pt-BR"/>
          </w:rPr>
          <w:t>https://jornal.usp.br/radio-usp/falta-de-acesso-a-internet-de-qualidade-no-meio-rural-exclui-pequenos-produtores/</w:t>
        </w:r>
      </w:hyperlink>
      <w:r>
        <w:rPr>
          <w:rFonts w:ascii="Arial" w:eastAsia="Times New Roman" w:hAnsi="Arial" w:cs="Times New Roman"/>
          <w:sz w:val="24"/>
          <w:szCs w:val="24"/>
          <w:lang w:val="pt-BR" w:eastAsia="pt-BR"/>
        </w:rPr>
        <w:t>. Acesso em: 24 mar. 2026.</w:t>
      </w:r>
    </w:p>
    <w:p w:rsidR="009D60B7" w:rsidRDefault="00425C09" w:rsidP="00BA533E">
      <w:pPr>
        <w:widowControl/>
        <w:suppressAutoHyphens w:val="0"/>
        <w:spacing w:beforeAutospacing="1" w:afterAutospacing="1"/>
        <w:rPr>
          <w:rFonts w:ascii="Arial" w:hAnsi="Arial"/>
          <w:sz w:val="24"/>
          <w:szCs w:val="24"/>
        </w:rPr>
      </w:pPr>
      <w:r>
        <w:rPr>
          <w:rFonts w:ascii="Arial" w:eastAsia="Times New Roman" w:hAnsi="Arial" w:cs="Times New Roman"/>
          <w:sz w:val="24"/>
          <w:szCs w:val="24"/>
          <w:lang w:val="pt-BR" w:eastAsia="pt-BR"/>
        </w:rPr>
        <w:lastRenderedPageBreak/>
        <w:t xml:space="preserve">Ulrich, José Maurício. </w:t>
      </w:r>
      <w:r>
        <w:rPr>
          <w:rFonts w:ascii="Arial" w:eastAsia="Times New Roman" w:hAnsi="Arial" w:cs="Times New Roman"/>
          <w:b/>
          <w:sz w:val="24"/>
          <w:szCs w:val="24"/>
          <w:lang w:val="pt-BR" w:eastAsia="pt-BR"/>
        </w:rPr>
        <w:t>Aposentadoria: situação dos funcionários do Banco do Brasil</w:t>
      </w:r>
      <w:r>
        <w:rPr>
          <w:rFonts w:ascii="Arial" w:eastAsia="Times New Roman" w:hAnsi="Arial" w:cs="Times New Roman"/>
          <w:sz w:val="24"/>
          <w:szCs w:val="24"/>
          <w:lang w:val="pt-BR" w:eastAsia="pt-BR"/>
        </w:rPr>
        <w:t>. Curitiba: Universidade Federal do Paraná, 2004.</w:t>
      </w:r>
    </w:p>
    <w:p w:rsidR="009D60B7" w:rsidRDefault="00425C09" w:rsidP="00BA533E">
      <w:pPr>
        <w:widowControl/>
        <w:suppressAutoHyphens w:val="0"/>
        <w:rPr>
          <w:sz w:val="24"/>
          <w:szCs w:val="24"/>
        </w:rPr>
        <w:sectPr w:rsidR="009D60B7">
          <w:headerReference w:type="even" r:id="rId161"/>
          <w:headerReference w:type="default" r:id="rId162"/>
          <w:footerReference w:type="even" r:id="rId163"/>
          <w:footerReference w:type="default" r:id="rId164"/>
          <w:headerReference w:type="first" r:id="rId165"/>
          <w:footerReference w:type="first" r:id="rId166"/>
          <w:type w:val="continuous"/>
          <w:pgSz w:w="11906" w:h="16838"/>
          <w:pgMar w:top="1460" w:right="1275" w:bottom="1080" w:left="1275" w:header="725" w:footer="896" w:gutter="0"/>
          <w:pgNumType w:start="1"/>
          <w:cols w:space="720"/>
          <w:formProt w:val="0"/>
          <w:docGrid w:linePitch="312" w:charSpace="-2254"/>
        </w:sectPr>
      </w:pPr>
      <w:r>
        <w:rPr>
          <w:rFonts w:ascii="Arial" w:hAnsi="Arial" w:cs="Times New Roman"/>
          <w:sz w:val="24"/>
          <w:szCs w:val="24"/>
          <w:lang w:val="pt-BR"/>
        </w:rPr>
        <w:t xml:space="preserve">Universidade federal de sergipe (UFS). </w:t>
      </w:r>
      <w:r>
        <w:rPr>
          <w:rFonts w:ascii="Arial" w:hAnsi="Arial" w:cs="Times New Roman"/>
          <w:b/>
          <w:bCs/>
          <w:sz w:val="24"/>
          <w:szCs w:val="24"/>
          <w:lang w:val="pt-BR"/>
        </w:rPr>
        <w:t>Conservação, preservação e restauro: Aula 3</w:t>
      </w:r>
      <w:r>
        <w:rPr>
          <w:rFonts w:ascii="Arial" w:hAnsi="Arial" w:cs="Times New Roman"/>
          <w:sz w:val="24"/>
          <w:szCs w:val="24"/>
          <w:lang w:val="pt-BR"/>
        </w:rPr>
        <w:t xml:space="preserve">.Disponível em: </w:t>
      </w:r>
      <w:hyperlink r:id="rId167">
        <w:r>
          <w:rPr>
            <w:rStyle w:val="Hyperlink1"/>
            <w:rFonts w:ascii="Arial" w:hAnsi="Arial" w:cs="Times New Roman"/>
            <w:sz w:val="24"/>
            <w:szCs w:val="24"/>
            <w:lang w:val="pt-BR"/>
          </w:rPr>
          <w:t>https://cesad.ufs.br/ORBI/public/uploadCatalago/10483228032023Conservacao_Preservacao_e_Restauro_Aula_3.pdf</w:t>
        </w:r>
      </w:hyperlink>
      <w:r>
        <w:rPr>
          <w:rFonts w:ascii="Arial" w:hAnsi="Arial" w:cs="Times New Roman"/>
          <w:sz w:val="24"/>
          <w:szCs w:val="24"/>
          <w:lang w:val="pt-BR"/>
        </w:rPr>
        <w:t>. Acesso em: 02 abr. 2026.</w:t>
      </w:r>
    </w:p>
    <w:p w:rsidR="009D60B7" w:rsidRPr="00EE1E8B" w:rsidRDefault="00425C09" w:rsidP="00EE1E8B">
      <w:pPr>
        <w:jc w:val="center"/>
        <w:rPr>
          <w:rFonts w:ascii="Arial" w:eastAsia="Arial" w:hAnsi="Arial" w:cs="Arial"/>
          <w:sz w:val="28"/>
          <w:szCs w:val="28"/>
          <w:vertAlign w:val="superscript"/>
        </w:rPr>
      </w:pPr>
      <w:bookmarkStart w:id="21" w:name="_GoBack_Copia_16"/>
      <w:bookmarkEnd w:id="21"/>
      <w:r w:rsidRPr="00EE1E8B">
        <w:rPr>
          <w:rFonts w:ascii="Arial" w:eastAsia="Arial" w:hAnsi="Arial" w:cs="Arial"/>
          <w:b/>
          <w:bCs/>
          <w:sz w:val="28"/>
          <w:szCs w:val="28"/>
        </w:rPr>
        <w:lastRenderedPageBreak/>
        <w:t>DIREITOS DAS PESSOAS COM DEFICIÊNCIA E ACESSIBILIDADE URBANA EM ANÁPOLIS/GO: DESAFIOS E PERSPECTIVAS</w:t>
      </w:r>
    </w:p>
    <w:p w:rsidR="009D60B7" w:rsidRDefault="009D60B7">
      <w:pPr>
        <w:pStyle w:val="Corpodetexto"/>
        <w:spacing w:before="84"/>
        <w:jc w:val="center"/>
        <w:rPr>
          <w:rFonts w:ascii="Arial" w:hAnsi="Arial"/>
          <w:b/>
          <w:sz w:val="24"/>
          <w:szCs w:val="24"/>
        </w:rPr>
      </w:pPr>
    </w:p>
    <w:p w:rsidR="009D60B7" w:rsidRDefault="00425C09">
      <w:pPr>
        <w:jc w:val="center"/>
        <w:rPr>
          <w:rFonts w:ascii="Arial" w:hAnsi="Arial"/>
          <w:sz w:val="24"/>
          <w:szCs w:val="24"/>
        </w:rPr>
      </w:pPr>
      <w:r>
        <w:rPr>
          <w:rFonts w:ascii="Arial" w:eastAsia="Arial" w:hAnsi="Arial" w:cs="Arial"/>
          <w:sz w:val="24"/>
          <w:szCs w:val="24"/>
        </w:rPr>
        <w:t>Jana</w:t>
      </w:r>
      <w:r w:rsidR="00EE1E8B">
        <w:rPr>
          <w:rFonts w:ascii="Arial" w:eastAsia="Arial" w:hAnsi="Arial" w:cs="Arial"/>
          <w:sz w:val="24"/>
          <w:szCs w:val="24"/>
        </w:rPr>
        <w:t>í</w:t>
      </w:r>
      <w:r>
        <w:rPr>
          <w:rFonts w:ascii="Arial" w:eastAsia="Arial" w:hAnsi="Arial" w:cs="Arial"/>
          <w:sz w:val="24"/>
          <w:szCs w:val="24"/>
        </w:rPr>
        <w:t xml:space="preserve">na Alves </w:t>
      </w:r>
      <w:r w:rsidR="00584F84">
        <w:rPr>
          <w:rFonts w:ascii="Arial" w:eastAsia="Arial" w:hAnsi="Arial" w:cs="Arial"/>
          <w:sz w:val="24"/>
          <w:szCs w:val="24"/>
        </w:rPr>
        <w:t xml:space="preserve">de </w:t>
      </w:r>
      <w:r>
        <w:rPr>
          <w:rFonts w:ascii="Arial" w:eastAsia="Arial" w:hAnsi="Arial" w:cs="Arial"/>
          <w:sz w:val="24"/>
          <w:szCs w:val="24"/>
        </w:rPr>
        <w:t>Lisboa</w:t>
      </w:r>
      <w:r w:rsidR="00584F84">
        <w:rPr>
          <w:rFonts w:ascii="Arial" w:eastAsia="Arial" w:hAnsi="Arial" w:cs="Arial"/>
          <w:sz w:val="24"/>
          <w:szCs w:val="24"/>
        </w:rPr>
        <w:t xml:space="preserve"> Almeida</w:t>
      </w:r>
      <w:r>
        <w:rPr>
          <w:rStyle w:val="Refdenotaderodap"/>
          <w:rFonts w:ascii="Arial" w:eastAsia="Arial" w:hAnsi="Arial" w:cs="Arial"/>
          <w:sz w:val="24"/>
          <w:szCs w:val="24"/>
        </w:rPr>
        <w:footnoteReference w:id="24"/>
      </w:r>
    </w:p>
    <w:p w:rsidR="009D60B7" w:rsidRDefault="00425C09">
      <w:pPr>
        <w:jc w:val="center"/>
        <w:rPr>
          <w:rFonts w:ascii="Arial" w:hAnsi="Arial"/>
          <w:sz w:val="24"/>
          <w:szCs w:val="24"/>
        </w:rPr>
      </w:pPr>
      <w:r>
        <w:rPr>
          <w:rFonts w:ascii="Arial" w:eastAsia="Arial" w:hAnsi="Arial" w:cs="Arial"/>
          <w:sz w:val="24"/>
          <w:szCs w:val="24"/>
        </w:rPr>
        <w:t>Thiago Araújo Rodrigues</w:t>
      </w:r>
      <w:r>
        <w:rPr>
          <w:rFonts w:ascii="Arial" w:eastAsia="Arial" w:hAnsi="Arial" w:cs="Arial"/>
          <w:sz w:val="24"/>
          <w:szCs w:val="24"/>
          <w:vertAlign w:val="superscript"/>
        </w:rPr>
        <w:t xml:space="preserve"> </w:t>
      </w:r>
      <w:r>
        <w:rPr>
          <w:rStyle w:val="Refdenotaderodap"/>
          <w:rFonts w:ascii="Arial" w:eastAsia="Arial" w:hAnsi="Arial" w:cs="Arial"/>
          <w:sz w:val="24"/>
          <w:szCs w:val="24"/>
        </w:rPr>
        <w:footnoteReference w:id="25"/>
      </w:r>
    </w:p>
    <w:p w:rsidR="009D60B7" w:rsidRDefault="00425C09">
      <w:pPr>
        <w:jc w:val="center"/>
        <w:rPr>
          <w:rFonts w:ascii="Arial" w:eastAsia="Arial" w:hAnsi="Arial" w:cs="Arial"/>
          <w:spacing w:val="-2"/>
          <w:sz w:val="24"/>
          <w:szCs w:val="24"/>
        </w:rPr>
      </w:pPr>
      <w:r>
        <w:rPr>
          <w:rFonts w:ascii="Arial" w:eastAsia="Arial" w:hAnsi="Arial" w:cs="Arial"/>
          <w:spacing w:val="-2"/>
          <w:sz w:val="24"/>
          <w:szCs w:val="24"/>
        </w:rPr>
        <w:t>Bruna Felipe de Araújo Oliveira</w:t>
      </w:r>
      <w:r>
        <w:rPr>
          <w:rStyle w:val="Refdenotaderodap"/>
          <w:rFonts w:ascii="Arial" w:eastAsia="Arial" w:hAnsi="Arial" w:cs="Arial"/>
          <w:spacing w:val="-2"/>
          <w:sz w:val="24"/>
          <w:szCs w:val="24"/>
        </w:rPr>
        <w:footnoteReference w:id="26"/>
      </w:r>
    </w:p>
    <w:p w:rsidR="009D60B7" w:rsidRDefault="009D60B7">
      <w:pPr>
        <w:jc w:val="both"/>
        <w:rPr>
          <w:rFonts w:ascii="Arial" w:eastAsia="Arial" w:hAnsi="Arial" w:cs="Arial"/>
          <w:spacing w:val="-2"/>
          <w:sz w:val="24"/>
          <w:szCs w:val="24"/>
        </w:rPr>
      </w:pPr>
    </w:p>
    <w:p w:rsidR="009D60B7" w:rsidRDefault="009D60B7">
      <w:pPr>
        <w:jc w:val="center"/>
        <w:rPr>
          <w:rFonts w:ascii="Arial" w:eastAsia="Arial" w:hAnsi="Arial" w:cs="Arial"/>
          <w:spacing w:val="-2"/>
          <w:sz w:val="24"/>
          <w:szCs w:val="24"/>
        </w:rPr>
      </w:pPr>
    </w:p>
    <w:p w:rsidR="009D60B7" w:rsidRPr="00EE1E8B" w:rsidRDefault="00425C09">
      <w:pPr>
        <w:jc w:val="center"/>
        <w:rPr>
          <w:rFonts w:ascii="Arial" w:hAnsi="Arial"/>
          <w:sz w:val="24"/>
          <w:szCs w:val="24"/>
        </w:rPr>
      </w:pPr>
      <w:r w:rsidRPr="00EE1E8B">
        <w:rPr>
          <w:rFonts w:ascii="Arial" w:eastAsia="Arial" w:hAnsi="Arial" w:cs="Arial"/>
          <w:bCs/>
          <w:sz w:val="24"/>
          <w:szCs w:val="24"/>
        </w:rPr>
        <w:t>RESUMO</w:t>
      </w:r>
    </w:p>
    <w:p w:rsidR="009D60B7" w:rsidRDefault="009D60B7">
      <w:pPr>
        <w:jc w:val="both"/>
        <w:rPr>
          <w:rFonts w:ascii="Arial" w:eastAsia="Arial" w:hAnsi="Arial" w:cs="Arial"/>
          <w:sz w:val="20"/>
          <w:szCs w:val="20"/>
        </w:rPr>
      </w:pPr>
    </w:p>
    <w:p w:rsidR="009D60B7" w:rsidRDefault="00425C09">
      <w:pPr>
        <w:jc w:val="both"/>
        <w:rPr>
          <w:rFonts w:ascii="Arial" w:hAnsi="Arial"/>
          <w:sz w:val="20"/>
          <w:szCs w:val="20"/>
        </w:rPr>
      </w:pPr>
      <w:r>
        <w:rPr>
          <w:rFonts w:ascii="Arial" w:eastAsia="Arial" w:hAnsi="Arial" w:cs="Arial"/>
          <w:sz w:val="20"/>
          <w:szCs w:val="20"/>
        </w:rPr>
        <w:t>O presente trabalho analisa os direitos das pessoas com deficiência e a acessibilidade urbana no município de Anápolis/GO, com ênfase nos desafios enfrentados para a concretização de uma mobilidade urbana inclusiva, sendo que a problemática da pesquisa consiste em investigar em que medida as políticas públicas de acessibilidade urbana implementadas em Anápolis têm sido efetivadas para promover a inclusão social e assegurar às pessoas com deficiência o pleno exercício do direito à cidade. O objetivo geral consiste em examinar a efetividade dessas políticas públicas, considerando o marco normativo nacional, internacional e municipal, bem como as barreiras concretas que dificultam o deslocamento e o acesso aos espaços públicos. Metodologicamente, trata-se de pesquisa qualitativa, de caráter bibliográfico e documental, desenvolvida a partir da análise de legislação, doutrina, instrumentos normativos municipais e bibliografia sobre mobilidade urbana e inclusão social. O estudo evidencia que, embora Anápolis disponha de instrumentos normativos relevantes, como a Lei Complementar nº 349 de 2016, o Plano Diretor e legislações municipais específicas, persistem obstáculos significativos, tais como calçadas irregulares, deficiência na acessibilidade do transporte coletivo, barreiras comunicacionais, insuficiência de fiscalização e limitações na integração entre planejamento urbano e políticas públicas inclusivas. Conclui-se que a efetivação do direito à acessibilidade exige atuação articulada entre poder público e sociedade civil, com planejamento urbano responsável, investimento contínuo, fiscalização normativa e participação social, a fim de assegurar às pessoas com deficiência o pleno exercício do direito à cidade.</w:t>
      </w:r>
    </w:p>
    <w:p w:rsidR="009D60B7" w:rsidRDefault="009D60B7">
      <w:pPr>
        <w:jc w:val="both"/>
        <w:rPr>
          <w:rFonts w:ascii="Arial" w:eastAsia="Arial" w:hAnsi="Arial" w:cs="Arial"/>
          <w:sz w:val="20"/>
          <w:szCs w:val="20"/>
        </w:rPr>
      </w:pPr>
    </w:p>
    <w:p w:rsidR="009D60B7" w:rsidRDefault="00425C09">
      <w:pPr>
        <w:rPr>
          <w:rFonts w:ascii="Arial" w:hAnsi="Arial"/>
          <w:sz w:val="20"/>
          <w:szCs w:val="20"/>
        </w:rPr>
      </w:pPr>
      <w:r>
        <w:rPr>
          <w:rFonts w:ascii="Arial" w:eastAsia="Arial" w:hAnsi="Arial" w:cs="Arial"/>
          <w:b/>
          <w:bCs/>
          <w:sz w:val="20"/>
          <w:szCs w:val="20"/>
        </w:rPr>
        <w:t>PALAVRAS-CHAVE</w:t>
      </w:r>
      <w:r>
        <w:rPr>
          <w:rFonts w:ascii="Arial" w:eastAsia="Arial" w:hAnsi="Arial" w:cs="Arial"/>
          <w:sz w:val="20"/>
          <w:szCs w:val="20"/>
        </w:rPr>
        <w:t>: Acessibilidade urbana. Políticas públicas. Inclusão. Mobilidade. Anápolis.</w:t>
      </w:r>
    </w:p>
    <w:p w:rsidR="009D60B7" w:rsidRDefault="009D60B7">
      <w:pPr>
        <w:spacing w:line="360" w:lineRule="auto"/>
        <w:rPr>
          <w:rFonts w:ascii="Arial" w:eastAsia="Arial" w:hAnsi="Arial" w:cs="Arial"/>
          <w:b/>
          <w:bCs/>
          <w:sz w:val="20"/>
          <w:szCs w:val="20"/>
        </w:rPr>
      </w:pPr>
    </w:p>
    <w:p w:rsidR="009D60B7" w:rsidRDefault="00425C09">
      <w:pPr>
        <w:spacing w:line="360" w:lineRule="auto"/>
        <w:rPr>
          <w:rFonts w:ascii="Arial" w:hAnsi="Arial"/>
          <w:sz w:val="20"/>
          <w:szCs w:val="20"/>
        </w:rPr>
      </w:pPr>
      <w:r>
        <w:rPr>
          <w:rFonts w:ascii="Arial" w:eastAsia="Arial" w:hAnsi="Arial" w:cs="Arial"/>
          <w:sz w:val="20"/>
          <w:szCs w:val="20"/>
        </w:rPr>
        <w:t>INTRODUÇÃO</w:t>
      </w:r>
    </w:p>
    <w:p w:rsidR="009D60B7" w:rsidRDefault="00425C09">
      <w:pPr>
        <w:widowControl/>
        <w:spacing w:line="360" w:lineRule="auto"/>
        <w:ind w:firstLine="709"/>
        <w:jc w:val="both"/>
        <w:rPr>
          <w:rFonts w:ascii="Arial" w:hAnsi="Arial"/>
          <w:sz w:val="24"/>
          <w:szCs w:val="24"/>
        </w:rPr>
      </w:pPr>
      <w:r>
        <w:rPr>
          <w:rFonts w:ascii="Arial" w:eastAsia="Arial" w:hAnsi="Arial" w:cs="Arial"/>
          <w:sz w:val="24"/>
          <w:szCs w:val="24"/>
        </w:rPr>
        <w:t>A acessibilidade urbana constitui tema central no debate contemporâneo sobre direitos humanos, inclusão social e efetivação da cidadania, especialmente em cidades nas quais o exercício de direitos fundamentais depende diretamente da possibilidade de circulação segura, autônoma e digna pelos espaços públicos. Para as pessoas com deficiência, a acessibilidade não representa mera adaptação física do ambiente, mas condição indispensável para o acesso à educação, ao trabalho, à saúde, ao lazer, ao transporte e à participação plena na vida social.</w:t>
      </w:r>
    </w:p>
    <w:p w:rsidR="00AC16A6" w:rsidRDefault="00425C09" w:rsidP="00AC16A6">
      <w:pPr>
        <w:widowControl/>
        <w:spacing w:line="360" w:lineRule="auto"/>
        <w:jc w:val="both"/>
        <w:rPr>
          <w:rFonts w:ascii="Arial" w:eastAsia="Arial" w:hAnsi="Arial" w:cs="Arial"/>
          <w:sz w:val="24"/>
          <w:szCs w:val="24"/>
          <w:lang w:val="pt-BR"/>
        </w:rPr>
      </w:pPr>
      <w:r>
        <w:rPr>
          <w:rFonts w:ascii="Arial" w:eastAsia="Arial" w:hAnsi="Arial" w:cs="Arial"/>
          <w:sz w:val="24"/>
          <w:szCs w:val="24"/>
        </w:rPr>
        <w:t xml:space="preserve">No plano jurídico, a proteção das pessoas com deficiência encontra fundamento na Constituição de 1988, especialmente nos princípios da dignidade da pessoa humana, da igualdade material e da promoção do bem de todos. Esse sistema protetivo foi significativamente fortalecido com a incorporação da Convenção sobre os Direitos das Pessoas com Deficiência, com status constitucional, bem como pelo Decreto nº </w:t>
      </w:r>
      <w:r>
        <w:rPr>
          <w:rFonts w:ascii="Arial" w:eastAsia="Arial" w:hAnsi="Arial" w:cs="Arial"/>
          <w:sz w:val="24"/>
          <w:szCs w:val="24"/>
        </w:rPr>
        <w:lastRenderedPageBreak/>
        <w:t>5.296/2004, pela Lei nº 12.587/2012, que instituiu a Política Nacional de Mobilidade Urbana, e pela Lei nº 13.146/2015, Lei Brasileira de Inclusão da Pessoa com Deficiência (LBI), diplomas que consolidaram o dever jurídico do Estado de eliminar barreiras arquitetônicas, urbanísticas, comunicacionais e atitudinai</w:t>
      </w:r>
      <w:r>
        <w:rPr>
          <w:rFonts w:ascii="Arial" w:eastAsia="Arial" w:hAnsi="Arial" w:cs="Arial"/>
          <w:sz w:val="24"/>
          <w:szCs w:val="24"/>
          <w:lang w:val="pt-BR"/>
        </w:rPr>
        <w:t>s</w:t>
      </w:r>
      <w:r w:rsidR="00AC16A6">
        <w:rPr>
          <w:rFonts w:ascii="Arial" w:eastAsia="Arial" w:hAnsi="Arial" w:cs="Arial"/>
          <w:sz w:val="24"/>
          <w:szCs w:val="24"/>
          <w:lang w:val="pt-BR"/>
        </w:rPr>
        <w:t xml:space="preserve">. </w:t>
      </w:r>
    </w:p>
    <w:p w:rsidR="00AC16A6" w:rsidRDefault="00AC16A6" w:rsidP="00AC16A6">
      <w:pPr>
        <w:widowControl/>
        <w:spacing w:line="360" w:lineRule="auto"/>
        <w:ind w:firstLine="709"/>
        <w:jc w:val="both"/>
        <w:rPr>
          <w:rFonts w:ascii="Arial" w:eastAsia="Arial" w:hAnsi="Arial" w:cs="Arial"/>
          <w:sz w:val="24"/>
          <w:szCs w:val="24"/>
        </w:rPr>
      </w:pPr>
      <w:r>
        <w:rPr>
          <w:rFonts w:ascii="Arial" w:eastAsia="Arial" w:hAnsi="Arial" w:cs="Arial"/>
          <w:sz w:val="24"/>
          <w:szCs w:val="24"/>
        </w:rPr>
        <w:t>Apesar da robustez do marco normativo nacional e internacional, a realidade urbana brasileira ainda apresenta inúmeros entraves à efetivação desses direitos. No município de Anápolis/GO, a problemática assume especial relevância diante da persistência de calçadas irregulares, limitações no transporte público, barreiras de comunicação, deficiência de fiscalização e insuficiente integração entre planejamento urbano e políticas públicas inclusivas, mesmo diante da existência de normas locais relevantes, como a Lei Complementar nº 349/2016, o Plano Diretor e legislações municipais específicas sobre acessibilidade.</w:t>
      </w:r>
    </w:p>
    <w:p w:rsidR="00AC16A6" w:rsidRDefault="00AC16A6" w:rsidP="00AC16A6">
      <w:pPr>
        <w:widowControl/>
        <w:spacing w:line="360" w:lineRule="auto"/>
        <w:ind w:firstLine="709"/>
        <w:jc w:val="both"/>
        <w:rPr>
          <w:rFonts w:ascii="Arial" w:eastAsia="Arial" w:hAnsi="Arial" w:cs="Arial"/>
          <w:sz w:val="24"/>
          <w:szCs w:val="24"/>
        </w:rPr>
      </w:pPr>
      <w:r>
        <w:rPr>
          <w:rFonts w:ascii="Arial" w:eastAsia="Arial" w:hAnsi="Arial" w:cs="Arial"/>
          <w:sz w:val="24"/>
          <w:szCs w:val="24"/>
        </w:rPr>
        <w:t>Nesse cenário, o problema de pesquisa que orienta o presente estudo consiste em investigar em que medida as políticas públicas de acessibilidade urbana implementadas em Anápolis têm sido efetivas para promover a inclusão social e assegurar às pessoas com deficiência o pleno exercício do direito à cidade.</w:t>
      </w:r>
    </w:p>
    <w:p w:rsidR="00AC16A6" w:rsidRPr="00AC16A6" w:rsidRDefault="00AC16A6" w:rsidP="00AC16A6">
      <w:pPr>
        <w:widowControl/>
        <w:spacing w:line="360" w:lineRule="auto"/>
        <w:ind w:firstLine="709"/>
        <w:jc w:val="both"/>
        <w:rPr>
          <w:rFonts w:ascii="Arial" w:eastAsia="Arial" w:hAnsi="Arial" w:cs="Arial"/>
          <w:sz w:val="24"/>
          <w:szCs w:val="24"/>
        </w:rPr>
      </w:pPr>
      <w:r>
        <w:rPr>
          <w:rFonts w:ascii="Arial" w:eastAsia="Arial" w:hAnsi="Arial" w:cs="Arial"/>
          <w:sz w:val="24"/>
          <w:szCs w:val="24"/>
        </w:rPr>
        <w:t>A hipótese adotada é a de que, embora o município disponha de base normativa relevante e de avanços institucionais pontuais, ainda persistem deficiências significativas na implementação, fiscalização e integração das políticas públicas de acessibilidade, o que mantém barreiras incompatíveis com os direitos assegurados pela ordem constitucional e infraconstitucional brasileira.</w:t>
      </w:r>
    </w:p>
    <w:p w:rsidR="00AC16A6" w:rsidRDefault="00AC16A6" w:rsidP="00AC16A6">
      <w:pPr>
        <w:widowControl/>
        <w:spacing w:line="360" w:lineRule="auto"/>
        <w:ind w:firstLine="709"/>
        <w:jc w:val="both"/>
        <w:rPr>
          <w:rFonts w:ascii="Arial" w:eastAsia="Arial" w:hAnsi="Arial" w:cs="Arial"/>
          <w:sz w:val="24"/>
          <w:szCs w:val="24"/>
        </w:rPr>
      </w:pPr>
      <w:r>
        <w:rPr>
          <w:rFonts w:ascii="Arial" w:eastAsia="Arial" w:hAnsi="Arial" w:cs="Arial"/>
          <w:sz w:val="24"/>
          <w:szCs w:val="24"/>
        </w:rPr>
        <w:t>O objetivo geral da pesquisa é analisar a efetividade das políticas públicas de acessibilidade urbana em Anápolis/GO. Como objetivos específicos, pretende-se compreender a acessibilidade urbana em sua dimensão jurídica e social, examinar o marco normativo nacional, internacional e municipal aplicável ao tema, identificar as principais barreiras à inclusão das pessoas com deficiência e apontar perspectivas e propostas voltadas à construção de uma cidade mais inclusiva.</w:t>
      </w:r>
    </w:p>
    <w:p w:rsidR="00AC16A6" w:rsidRDefault="00AC16A6" w:rsidP="00AC16A6">
      <w:pPr>
        <w:widowControl/>
        <w:spacing w:line="360" w:lineRule="auto"/>
        <w:ind w:firstLine="709"/>
        <w:jc w:val="both"/>
        <w:rPr>
          <w:rFonts w:ascii="Arial" w:hAnsi="Arial"/>
          <w:sz w:val="24"/>
          <w:szCs w:val="24"/>
        </w:rPr>
      </w:pPr>
      <w:r>
        <w:rPr>
          <w:rFonts w:ascii="Arial" w:eastAsia="Arial" w:hAnsi="Arial" w:cs="Arial"/>
          <w:sz w:val="24"/>
          <w:szCs w:val="24"/>
        </w:rPr>
        <w:t>A metodologia adotada é qualitativa, de natureza bibliográfica e documental, desenvolvida a partir da análise de legislação, doutrina, instrumentos normativos municipais e bibliografia sobre mobilidade urbana e inclusão social. Tal percurso metodológico mostra-se adequado ao objeto investigado, pois permite examinar criticamente a distância entre o modelo jurídico de proteção e a realidade concreta vivenciada no espaço urbano de Anápolis.</w:t>
      </w:r>
    </w:p>
    <w:p w:rsidR="009D60B7" w:rsidRPr="00AC16A6" w:rsidRDefault="009D60B7">
      <w:pPr>
        <w:widowControl/>
        <w:spacing w:line="360" w:lineRule="auto"/>
        <w:ind w:firstLine="709"/>
        <w:jc w:val="both"/>
        <w:rPr>
          <w:rFonts w:ascii="Arial" w:eastAsia="Arial" w:hAnsi="Arial" w:cs="Arial"/>
          <w:spacing w:val="-2"/>
          <w:sz w:val="24"/>
          <w:szCs w:val="24"/>
        </w:rPr>
        <w:sectPr w:rsidR="009D60B7" w:rsidRPr="00AC16A6">
          <w:headerReference w:type="even" r:id="rId168"/>
          <w:headerReference w:type="default" r:id="rId169"/>
          <w:footerReference w:type="even" r:id="rId170"/>
          <w:footerReference w:type="default" r:id="rId171"/>
          <w:headerReference w:type="first" r:id="rId172"/>
          <w:footerReference w:type="first" r:id="rId173"/>
          <w:pgSz w:w="11906" w:h="16838"/>
          <w:pgMar w:top="1460" w:right="1275" w:bottom="1080" w:left="1275" w:header="725" w:footer="896" w:gutter="0"/>
          <w:pgNumType w:start="1"/>
          <w:cols w:space="720"/>
          <w:formProt w:val="0"/>
          <w:docGrid w:linePitch="312" w:charSpace="-2254"/>
        </w:sectPr>
      </w:pPr>
    </w:p>
    <w:p w:rsidR="009D60B7" w:rsidRDefault="00425C09">
      <w:pPr>
        <w:widowControl/>
        <w:spacing w:line="360" w:lineRule="auto"/>
        <w:ind w:firstLine="709"/>
        <w:jc w:val="both"/>
        <w:rPr>
          <w:rFonts w:ascii="Arial" w:hAnsi="Arial"/>
          <w:sz w:val="24"/>
          <w:szCs w:val="24"/>
        </w:rPr>
      </w:pPr>
      <w:r>
        <w:rPr>
          <w:rFonts w:ascii="Arial" w:eastAsia="Arial" w:hAnsi="Arial" w:cs="Arial"/>
          <w:sz w:val="24"/>
          <w:szCs w:val="24"/>
        </w:rPr>
        <w:lastRenderedPageBreak/>
        <w:t xml:space="preserve">O primeiro tópico apresenta os fundamentos teóricos e jurídicos da acessibilidade urbana, evidenciando sua estreita relação com os direitos das pessoas com deficiência, com a dignidade da pessoa humana e com o pleno exercício da cidadania. </w:t>
      </w:r>
    </w:p>
    <w:p w:rsidR="009D60B7" w:rsidRDefault="00425C09">
      <w:pPr>
        <w:widowControl/>
        <w:spacing w:line="360" w:lineRule="auto"/>
        <w:ind w:firstLine="709"/>
        <w:jc w:val="both"/>
        <w:rPr>
          <w:rFonts w:ascii="Arial" w:hAnsi="Arial"/>
          <w:sz w:val="24"/>
          <w:szCs w:val="24"/>
        </w:rPr>
      </w:pPr>
      <w:r>
        <w:rPr>
          <w:rFonts w:ascii="Arial" w:eastAsia="Arial" w:hAnsi="Arial" w:cs="Arial"/>
          <w:sz w:val="24"/>
          <w:szCs w:val="24"/>
        </w:rPr>
        <w:t xml:space="preserve">O segundo tópico examina as principais barreiras que dificultam a inclusão social, abrangendo obstáculos de natureza arquitetônica, urbanística, atitudinal, comunicacional, laboral e educacional. </w:t>
      </w:r>
    </w:p>
    <w:p w:rsidR="009D60B7" w:rsidRDefault="00425C09">
      <w:pPr>
        <w:widowControl/>
        <w:spacing w:line="360" w:lineRule="auto"/>
        <w:ind w:firstLine="709"/>
        <w:jc w:val="both"/>
        <w:rPr>
          <w:rFonts w:ascii="Arial" w:hAnsi="Arial"/>
          <w:sz w:val="24"/>
          <w:szCs w:val="24"/>
        </w:rPr>
      </w:pPr>
      <w:r>
        <w:rPr>
          <w:rFonts w:ascii="Arial" w:eastAsia="Arial" w:hAnsi="Arial" w:cs="Arial"/>
          <w:sz w:val="24"/>
          <w:szCs w:val="24"/>
        </w:rPr>
        <w:t>O terceiro tópico dedica-se à análise específica do município de Anápolis/GO, com enfoque em seu marco normativo local, nos avanços já alcançados, nos desafios ainda existentes e nas perspectivas de aprimoramento das políticas públicas voltadas à promoção da acessibilidade e da inclusão.</w:t>
      </w:r>
    </w:p>
    <w:p w:rsidR="009D60B7" w:rsidRDefault="00425C09">
      <w:pPr>
        <w:widowControl/>
        <w:spacing w:line="360" w:lineRule="auto"/>
        <w:ind w:firstLine="709"/>
        <w:jc w:val="both"/>
        <w:rPr>
          <w:rFonts w:ascii="Arial" w:hAnsi="Arial"/>
          <w:sz w:val="24"/>
          <w:szCs w:val="24"/>
        </w:rPr>
      </w:pPr>
      <w:r>
        <w:rPr>
          <w:rFonts w:ascii="Arial" w:eastAsia="Arial" w:hAnsi="Arial" w:cs="Arial"/>
          <w:sz w:val="24"/>
          <w:szCs w:val="24"/>
        </w:rPr>
        <w:t>Ao final, busca-se contribuir para o fortalecimento do debate acadêmico e institucional acerca da acessibilidade urbana como direito fundamental e como elemento indispensável à construção de cidades mais justas, democráticas e inclusivas.</w:t>
      </w:r>
    </w:p>
    <w:p w:rsidR="009D60B7" w:rsidRDefault="009D60B7">
      <w:pPr>
        <w:widowControl/>
        <w:spacing w:line="360" w:lineRule="auto"/>
        <w:jc w:val="both"/>
        <w:rPr>
          <w:rFonts w:ascii="Arial" w:eastAsia="Arial" w:hAnsi="Arial" w:cs="Arial"/>
          <w:sz w:val="24"/>
          <w:szCs w:val="24"/>
        </w:rPr>
      </w:pPr>
    </w:p>
    <w:p w:rsidR="009D60B7" w:rsidRPr="001069A3" w:rsidRDefault="00425C09">
      <w:pPr>
        <w:widowControl/>
        <w:spacing w:line="360" w:lineRule="auto"/>
        <w:jc w:val="both"/>
        <w:rPr>
          <w:rFonts w:ascii="Arial" w:hAnsi="Arial"/>
          <w:sz w:val="24"/>
          <w:szCs w:val="24"/>
        </w:rPr>
      </w:pPr>
      <w:r w:rsidRPr="001069A3">
        <w:rPr>
          <w:rFonts w:ascii="Arial" w:eastAsia="Arial" w:hAnsi="Arial" w:cs="Arial"/>
          <w:bCs/>
          <w:sz w:val="24"/>
          <w:szCs w:val="24"/>
        </w:rPr>
        <w:t>1. ACESSIBILIDADE URBANA E INCLUSÃO SOCIAL</w:t>
      </w:r>
    </w:p>
    <w:p w:rsidR="009D60B7" w:rsidRDefault="00425C09">
      <w:pPr>
        <w:spacing w:line="360" w:lineRule="auto"/>
        <w:ind w:firstLine="709"/>
        <w:jc w:val="both"/>
        <w:rPr>
          <w:rFonts w:ascii="Arial" w:hAnsi="Arial"/>
          <w:sz w:val="24"/>
          <w:szCs w:val="24"/>
        </w:rPr>
      </w:pPr>
      <w:r>
        <w:rPr>
          <w:rFonts w:ascii="Arial" w:hAnsi="Arial" w:cs="Arial"/>
          <w:sz w:val="24"/>
          <w:szCs w:val="24"/>
        </w:rPr>
        <w:t>Neste tópico, é abordado o conceito de acessibilidade urbana e sua importância na inclusão social das pessoas com deficiência. A acessibilidade não se limita apenas a ajustes físicos no ambiente, mas engloba a condição necessária para garantir o pleno exercício da cidadania, permitindo que todos tenham igualdade de oportunidades na cidade. A discussão se estende à análise da dimensão jurídica da acessibilidade, destacando as normativas e legislações que fundamentam a garantia desse direito.</w:t>
      </w:r>
    </w:p>
    <w:p w:rsidR="009D60B7" w:rsidRDefault="009D60B7">
      <w:pPr>
        <w:spacing w:line="360" w:lineRule="auto"/>
        <w:ind w:firstLine="709"/>
        <w:rPr>
          <w:rFonts w:ascii="Arial" w:hAnsi="Arial" w:cs="Arial"/>
          <w:sz w:val="24"/>
          <w:szCs w:val="24"/>
        </w:rPr>
      </w:pPr>
    </w:p>
    <w:p w:rsidR="009D60B7" w:rsidRDefault="00425C09">
      <w:pPr>
        <w:pStyle w:val="Ttulo2"/>
        <w:spacing w:line="360" w:lineRule="auto"/>
        <w:ind w:left="0"/>
        <w:rPr>
          <w:rFonts w:ascii="Arial" w:hAnsi="Arial"/>
          <w:sz w:val="24"/>
          <w:szCs w:val="24"/>
        </w:rPr>
      </w:pPr>
      <w:r>
        <w:rPr>
          <w:rFonts w:ascii="Arial" w:hAnsi="Arial" w:cs="Arial"/>
          <w:sz w:val="24"/>
          <w:szCs w:val="24"/>
          <w:lang w:val="pt-BR"/>
        </w:rPr>
        <w:t xml:space="preserve">1.1 </w:t>
      </w:r>
      <w:r>
        <w:rPr>
          <w:rFonts w:ascii="Arial" w:hAnsi="Arial" w:cs="Arial"/>
          <w:sz w:val="24"/>
          <w:szCs w:val="24"/>
        </w:rPr>
        <w:t>O conceito de acessibilidade urbana e sua dimensão jurídica</w:t>
      </w:r>
    </w:p>
    <w:p w:rsidR="009D60B7" w:rsidRDefault="00425C09">
      <w:pPr>
        <w:spacing w:line="360" w:lineRule="auto"/>
        <w:ind w:firstLine="709"/>
        <w:jc w:val="both"/>
        <w:rPr>
          <w:rFonts w:ascii="Arial" w:hAnsi="Arial"/>
          <w:sz w:val="24"/>
          <w:szCs w:val="24"/>
        </w:rPr>
      </w:pPr>
      <w:r>
        <w:rPr>
          <w:rFonts w:ascii="Arial" w:hAnsi="Arial" w:cs="Arial"/>
          <w:sz w:val="24"/>
          <w:szCs w:val="24"/>
        </w:rPr>
        <w:t>A acessibilidade urbana pode ser compreendida, em sua acepção mais ampla, como a condição que permite a qualquer pessoa, independentemente de suas características físicas, sensoriais, intelectuais ou motoras, circular, acessar e utilizar os espaços, equipamentos, serviços e sistemas de transporte da cidade com autonomia, segurança e dignidade. Trata-se, portanto, de muito mais do que a simples presença de rampas ou calçadas niveladas: a acessibilidade é uma qualidade do espaço urbano que determina em que medida a cidade é, de fato, de todos.</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Historicamente, a questão da mobilidade e do acesso das pessoas com deficiência ao espaço urbano foi tratada sob a ótica da caridade e da assistência, como um favor social prestado a uma minoria vulnerável, e não como obrigação do Estado e da sociedade. Essa visão, denominada modelo médico da deficiência, compreendia a </w:t>
      </w:r>
      <w:r>
        <w:rPr>
          <w:rFonts w:ascii="Arial" w:hAnsi="Arial" w:cs="Arial"/>
          <w:sz w:val="24"/>
          <w:szCs w:val="24"/>
        </w:rPr>
        <w:lastRenderedPageBreak/>
        <w:t>limitação funcional como um problema do indivíduo a ser corrigido ou tolerado.</w:t>
      </w:r>
    </w:p>
    <w:p w:rsidR="009D60B7" w:rsidRDefault="00425C09">
      <w:pPr>
        <w:spacing w:line="360" w:lineRule="auto"/>
        <w:ind w:firstLine="709"/>
        <w:jc w:val="both"/>
        <w:rPr>
          <w:rFonts w:ascii="Arial" w:hAnsi="Arial"/>
          <w:sz w:val="24"/>
          <w:szCs w:val="24"/>
        </w:rPr>
      </w:pPr>
      <w:r>
        <w:rPr>
          <w:rFonts w:ascii="Arial" w:hAnsi="Arial" w:cs="Arial"/>
          <w:sz w:val="24"/>
          <w:szCs w:val="24"/>
        </w:rPr>
        <w:t>A virada paradigmática ocorre com a consolidação do modelo social da deficiência, que desloca o problema do indivíduo para o ambiente: a deficiência não está na pessoa, mas nas barreiras que a sociedade impõe a ela. Nesse sentido, Sassaki (2010, p. 45) destaca que: "A verdadeira inclusão ocorre quando a cidade se adapta às pessoas e não o inverso". Essa afirmação evidencia que a deficiência não reside no indivíduo, mas nas barreiras impostas pelo ambiente urbano.”</w:t>
      </w:r>
    </w:p>
    <w:p w:rsidR="009D60B7" w:rsidRDefault="00425C09">
      <w:pPr>
        <w:spacing w:line="360" w:lineRule="auto"/>
        <w:ind w:firstLine="709"/>
        <w:jc w:val="both"/>
        <w:rPr>
          <w:rFonts w:ascii="Arial" w:hAnsi="Arial"/>
          <w:sz w:val="24"/>
          <w:szCs w:val="24"/>
        </w:rPr>
      </w:pPr>
      <w:r>
        <w:rPr>
          <w:rFonts w:ascii="Arial" w:hAnsi="Arial" w:cs="Arial"/>
          <w:sz w:val="24"/>
          <w:szCs w:val="24"/>
        </w:rPr>
        <w:t>No ordenamento jurídico brasileiro, a acessibilidade urbana adquiriu progressivamente o status de direito fundamental. Sua dimensão jurídica se manifesta em pelo menos três planos interligados: como direito individual, como obrigação do Estado e como diretriz do planejamento urbano. Toda pessoa com deficiência é titular do direito subjetivo à acessibilidade, podendo exigi-la judicialmente quando violada, conectando-se diretamente ao princípio da dignidade da pessoa humana previsto no artigo 1º, inciso III, da Constituição de 1988.</w:t>
      </w:r>
    </w:p>
    <w:p w:rsidR="009D60B7" w:rsidRDefault="00425C09">
      <w:pPr>
        <w:spacing w:line="360" w:lineRule="auto"/>
        <w:ind w:firstLine="709"/>
        <w:jc w:val="both"/>
        <w:rPr>
          <w:rFonts w:ascii="Arial" w:hAnsi="Arial"/>
          <w:sz w:val="24"/>
          <w:szCs w:val="24"/>
        </w:rPr>
      </w:pPr>
      <w:r>
        <w:rPr>
          <w:rFonts w:ascii="Arial" w:hAnsi="Arial" w:cs="Arial"/>
          <w:sz w:val="24"/>
          <w:szCs w:val="24"/>
        </w:rPr>
        <w:t>O poder público, nas esferas federal, estadual e municipal, tem o dever jurídico de garantir a acessibilidade na concepção, execução e manutenção de obras, espaços públicos, transportes e edifícios. Esse dever não é discricionário: trata-se de uma obrigação vinculante, cuja omissão configura ilicitude e pode ensejar responsabilização. Como observa Côrrea (2017, p. 89): "A cidade acessível não é apenas um ideal jurídico, mas uma exigência prática para a promoção da igualdade, indicando que a acessibilidade deve ser entendida como requisito básico de justiça social".</w:t>
      </w:r>
    </w:p>
    <w:p w:rsidR="009D60B7" w:rsidRDefault="00425C09">
      <w:pPr>
        <w:spacing w:line="360" w:lineRule="auto"/>
        <w:ind w:firstLine="709"/>
        <w:jc w:val="both"/>
        <w:rPr>
          <w:rFonts w:ascii="Arial" w:hAnsi="Arial"/>
          <w:sz w:val="24"/>
          <w:szCs w:val="24"/>
        </w:rPr>
      </w:pPr>
      <w:r>
        <w:rPr>
          <w:rFonts w:ascii="Arial" w:hAnsi="Arial" w:cs="Arial"/>
          <w:sz w:val="24"/>
          <w:szCs w:val="24"/>
        </w:rPr>
        <w:t>A acessibilidade deve ainda ser incorporada desde a concepção dos projetos urbanísticos, e não como adaptação posterior. O princípio do desenho universal, presente na Convenção da ONU sobre os Direitos das Pessoas com Deficiência e na LBI (2015), determina que produtos, ambientes e serviços sejam projetados para ser utilizados por todas as pessoas, sem necessidade de adaptação ou projeto especializado.</w:t>
      </w:r>
    </w:p>
    <w:p w:rsidR="009D60B7" w:rsidRDefault="00425C09">
      <w:pPr>
        <w:spacing w:line="360" w:lineRule="auto"/>
        <w:ind w:firstLine="709"/>
        <w:jc w:val="both"/>
        <w:rPr>
          <w:rFonts w:ascii="Arial" w:hAnsi="Arial"/>
          <w:sz w:val="24"/>
          <w:szCs w:val="24"/>
        </w:rPr>
      </w:pPr>
      <w:r>
        <w:rPr>
          <w:rFonts w:ascii="Arial" w:hAnsi="Arial" w:cs="Arial"/>
          <w:sz w:val="24"/>
          <w:szCs w:val="24"/>
        </w:rPr>
        <w:t>A dimensão jurídica da acessibilidade urbana não se esgota no direito de locomoção. Ela é condição de exercício de praticamente todos os demais direitos fundamentais: sem acessibilidade, a pessoa com deficiência não consegue chegar à escola, ao trabalho, ao hospital, ao fórum, ao mercado ou ao espaço de lazer. Conforme aponta Sarlet (2015, p. 147): "A acessibilidade é expressão concreta da dignidade humana, pois possibilita que a pessoa com deficiência exerça suas capacidades em igualdade de condições com as demais".</w:t>
      </w:r>
    </w:p>
    <w:p w:rsidR="009D60B7" w:rsidRDefault="009D60B7">
      <w:pPr>
        <w:spacing w:line="360" w:lineRule="auto"/>
        <w:ind w:firstLine="709"/>
        <w:rPr>
          <w:rFonts w:ascii="Arial" w:hAnsi="Arial" w:cs="Arial"/>
          <w:sz w:val="24"/>
          <w:szCs w:val="24"/>
        </w:rPr>
      </w:pPr>
    </w:p>
    <w:p w:rsidR="009D60B7" w:rsidRDefault="00425C09">
      <w:pPr>
        <w:pStyle w:val="Ttulo2"/>
        <w:spacing w:line="360" w:lineRule="auto"/>
        <w:ind w:left="0"/>
        <w:rPr>
          <w:rFonts w:ascii="Arial" w:hAnsi="Arial"/>
          <w:sz w:val="24"/>
          <w:szCs w:val="24"/>
        </w:rPr>
      </w:pPr>
      <w:r>
        <w:rPr>
          <w:rFonts w:ascii="Arial" w:hAnsi="Arial" w:cs="Arial"/>
          <w:sz w:val="24"/>
          <w:szCs w:val="24"/>
        </w:rPr>
        <w:t>1.2 Marco normativo nacional e internacional</w:t>
      </w:r>
    </w:p>
    <w:p w:rsidR="009D60B7" w:rsidRDefault="00425C09">
      <w:pPr>
        <w:spacing w:line="360" w:lineRule="auto"/>
        <w:ind w:firstLine="709"/>
        <w:jc w:val="both"/>
        <w:rPr>
          <w:rFonts w:ascii="Arial" w:hAnsi="Arial"/>
          <w:sz w:val="24"/>
          <w:szCs w:val="24"/>
        </w:rPr>
      </w:pPr>
      <w:r>
        <w:rPr>
          <w:rFonts w:ascii="Arial" w:hAnsi="Arial" w:cs="Arial"/>
          <w:sz w:val="24"/>
          <w:szCs w:val="24"/>
        </w:rPr>
        <w:t>A construção do direito à acessibilidade urbana no Brasil é resultado de um processo histórico de acumulação normativa que se deu tanto no plano interno quanto no internacional. Compreender esse arcabouço jurídico é essencial para avaliar em que medida o município de Anápolis está ou não cumprindo suas obrigações legais.</w:t>
      </w:r>
    </w:p>
    <w:p w:rsidR="009D60B7" w:rsidRDefault="00425C09">
      <w:pPr>
        <w:spacing w:line="360" w:lineRule="auto"/>
        <w:ind w:firstLine="709"/>
        <w:jc w:val="both"/>
        <w:rPr>
          <w:rFonts w:ascii="Arial" w:hAnsi="Arial" w:cs="Arial"/>
          <w:sz w:val="24"/>
          <w:szCs w:val="24"/>
        </w:rPr>
      </w:pPr>
      <w:r>
        <w:rPr>
          <w:rFonts w:ascii="Arial" w:hAnsi="Arial" w:cs="Arial"/>
          <w:sz w:val="24"/>
          <w:szCs w:val="24"/>
        </w:rPr>
        <w:t>O marco internacional mais relevante é a Convenção sobre os Direitos das Pessoas com Deficiência da ONU, adotada em 2006 e ratificada pelo Brasil em 2008 com status de emenda constitucional, o que lhe confere a mais alta hierarquia normativa do ordenamento jurídico brasileiro, equiparando-se à própria Constituição Federal. Em seu artigo 9º, a Convenção determina que os Estados assegurem às pessoas com deficiência o acesso, em igualdade de oportunidades, ao ambiente físico, ao transporte, à informação e às comunicações, e a outros serviços e instalações abertos ao público (ONU, 2006). A Convenção estabelece ainda que a falta de acessibilidade constitui forma de discriminação, impondo ao poder público o dever de eliminar barreiras e promover as adaptações necessárias.</w:t>
      </w:r>
    </w:p>
    <w:p w:rsidR="009D60B7" w:rsidRDefault="00425C09">
      <w:pPr>
        <w:spacing w:line="360" w:lineRule="auto"/>
        <w:ind w:firstLine="709"/>
        <w:jc w:val="both"/>
        <w:rPr>
          <w:rFonts w:ascii="Arial" w:hAnsi="Arial"/>
          <w:sz w:val="24"/>
          <w:szCs w:val="24"/>
        </w:rPr>
      </w:pPr>
      <w:r>
        <w:rPr>
          <w:rFonts w:ascii="Arial" w:hAnsi="Arial" w:cs="Arial"/>
          <w:sz w:val="24"/>
          <w:szCs w:val="24"/>
        </w:rPr>
        <w:t>No plano nacional destaca-se a Constituição de 1988 que inaugurou o novo paradigma normativo ao consagrar, em seu artigo 1º, a dignidade da pessoa humana como fundamento do Estado Democrático de Direito, e ao garantir, no artigo 5º, o direito de locomoção e a igualdade de todos perante a lei. O artigo 227, parágrafo 2º, determina expressamente que a lei disporá sobre normas de construção dos logradouros e dos edifícios de uso público e de fabricação de veículos de transporte coletivo, a fim de garantir acesso adequado às pessoas com deficiência.</w:t>
      </w:r>
    </w:p>
    <w:p w:rsidR="009D60B7" w:rsidRDefault="00425C09">
      <w:pPr>
        <w:spacing w:line="360" w:lineRule="auto"/>
        <w:ind w:firstLine="709"/>
        <w:jc w:val="both"/>
        <w:rPr>
          <w:rFonts w:ascii="Arial" w:hAnsi="Arial"/>
          <w:sz w:val="24"/>
          <w:szCs w:val="24"/>
        </w:rPr>
      </w:pPr>
      <w:r>
        <w:rPr>
          <w:rFonts w:ascii="Arial" w:hAnsi="Arial" w:cs="Arial"/>
          <w:sz w:val="24"/>
          <w:szCs w:val="24"/>
        </w:rPr>
        <w:t>O Decreto nº 5.296 de 2004, regulamentando as Leis nº 10.048/2000 e nº 10.098/2000, estabelece normas gerais e critérios básicos para a promoção da acessibilidade, definindo conceitos fundamentais como barreiras arquitetônicas, comunicacionais e atitudinais, e fixando prazos e parâmetros técnicos para adequação de espaços públicos, edificações, transportes e sistemas de comunicação. É o principal instrumento normativo de aplicação prática da acessibilidade no espaço urbano brasileiro.</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A Lei nº 12.587 de 2012, que institui a Política Nacional de Mobilidade Urbana, tem como finalidade assegurar o acesso universal à cidade, promovendo a gestão e o planejamento do sistema de mobilidade urbana, pautando-se nos princípios da gestão democrática e do controle social, elementos essenciais para a construção de cidades </w:t>
      </w:r>
      <w:r>
        <w:rPr>
          <w:rFonts w:ascii="Arial" w:hAnsi="Arial" w:cs="Arial"/>
          <w:sz w:val="24"/>
          <w:szCs w:val="24"/>
        </w:rPr>
        <w:lastRenderedPageBreak/>
        <w:t>mais inclusivas e acessíveis.</w:t>
      </w:r>
    </w:p>
    <w:p w:rsidR="009D60B7" w:rsidRDefault="00425C09">
      <w:pPr>
        <w:spacing w:line="360" w:lineRule="auto"/>
        <w:ind w:firstLine="709"/>
        <w:jc w:val="both"/>
        <w:rPr>
          <w:rFonts w:ascii="Arial" w:hAnsi="Arial"/>
          <w:sz w:val="24"/>
          <w:szCs w:val="24"/>
        </w:rPr>
      </w:pPr>
      <w:r>
        <w:rPr>
          <w:rFonts w:ascii="Arial" w:hAnsi="Arial" w:cs="Arial"/>
          <w:sz w:val="24"/>
          <w:szCs w:val="24"/>
        </w:rPr>
        <w:t>Por fim, a LBI consolidou e aprofundou garantias relativas ao acesso, à permanência, à participação e ao aprendizado das pessoas com deficiência em todos os níveis e aspectos da vida social, incluindo o espaço urbano. A LBI define em seu artigo 3º as barreiras como qualquer entrave, obstáculo, atitude ou comportamento que limite ou impeça a participação social da pessoa com deficiência em igualdade de condições com as demais pessoas (Brasil, 2015).</w:t>
      </w:r>
    </w:p>
    <w:p w:rsidR="009D60B7" w:rsidRDefault="009D60B7">
      <w:pPr>
        <w:spacing w:line="360" w:lineRule="auto"/>
        <w:ind w:firstLine="709"/>
        <w:rPr>
          <w:rFonts w:ascii="Arial" w:hAnsi="Arial" w:cs="Arial"/>
          <w:sz w:val="24"/>
          <w:szCs w:val="24"/>
        </w:rPr>
      </w:pPr>
    </w:p>
    <w:p w:rsidR="009D60B7" w:rsidRDefault="00425C09">
      <w:pPr>
        <w:pStyle w:val="Ttulo2"/>
        <w:spacing w:line="360" w:lineRule="auto"/>
        <w:ind w:left="0"/>
        <w:rPr>
          <w:rFonts w:ascii="Arial" w:hAnsi="Arial"/>
          <w:sz w:val="24"/>
          <w:szCs w:val="24"/>
        </w:rPr>
      </w:pPr>
      <w:r>
        <w:rPr>
          <w:rFonts w:ascii="Arial" w:hAnsi="Arial" w:cs="Arial"/>
          <w:sz w:val="24"/>
          <w:szCs w:val="24"/>
        </w:rPr>
        <w:t>1.3 Acessibilidade como expressão da dignidade humana e da cidadania</w:t>
      </w:r>
    </w:p>
    <w:p w:rsidR="009D60B7" w:rsidRDefault="00425C09">
      <w:pPr>
        <w:spacing w:line="360" w:lineRule="auto"/>
        <w:ind w:firstLine="709"/>
        <w:jc w:val="both"/>
        <w:rPr>
          <w:rFonts w:ascii="Arial" w:hAnsi="Arial"/>
          <w:sz w:val="24"/>
          <w:szCs w:val="24"/>
        </w:rPr>
      </w:pPr>
      <w:r>
        <w:rPr>
          <w:rFonts w:ascii="Arial" w:hAnsi="Arial" w:cs="Arial"/>
          <w:sz w:val="24"/>
          <w:szCs w:val="24"/>
        </w:rPr>
        <w:t>A acessibilidade urbana, para além de sua dimensão normativa e estrutural, deve ser compreendida como pressuposto essencial da cidadania urbana e da efetivação do direito à cidade. Não se trata apenas de garantir deslocamento físico, mas de assegurar às pessoas com deficiência a possibilidade real de participar da vida social, econômica, política e cultural do espaço urbano em igualdade de condições com os demais cidadãos.</w:t>
      </w:r>
    </w:p>
    <w:p w:rsidR="009D60B7" w:rsidRDefault="00425C09">
      <w:pPr>
        <w:spacing w:line="360" w:lineRule="auto"/>
        <w:ind w:firstLine="709"/>
        <w:jc w:val="both"/>
        <w:rPr>
          <w:rFonts w:ascii="Arial" w:hAnsi="Arial"/>
          <w:sz w:val="24"/>
          <w:szCs w:val="24"/>
        </w:rPr>
      </w:pPr>
      <w:r>
        <w:rPr>
          <w:rFonts w:ascii="Arial" w:hAnsi="Arial" w:cs="Arial"/>
          <w:sz w:val="24"/>
          <w:szCs w:val="24"/>
        </w:rPr>
        <w:t>A noção de direito à cidade, construída no âmbito dos estudos urbanísticos e incorporada progressivamente ao debate jurídico brasileiro, está diretamente associada ao usufruto equitativo dos espaços urbanos, dos serviços públicos, da mobilidade, do lazer, da educação, do trabalho e dos equipamentos coletivos. Nesse contexto, uma cidade inacessível não apenas limita a circulação, mas restringe a própria condição de pertencimento do indivíduo à vida urbana.</w:t>
      </w:r>
    </w:p>
    <w:p w:rsidR="009D60B7" w:rsidRDefault="00425C09">
      <w:pPr>
        <w:spacing w:line="360" w:lineRule="auto"/>
        <w:ind w:firstLine="709"/>
        <w:jc w:val="both"/>
        <w:rPr>
          <w:rFonts w:ascii="Arial" w:hAnsi="Arial"/>
          <w:sz w:val="24"/>
          <w:szCs w:val="24"/>
        </w:rPr>
      </w:pPr>
      <w:r>
        <w:rPr>
          <w:rFonts w:ascii="Arial" w:hAnsi="Arial" w:cs="Arial"/>
          <w:sz w:val="24"/>
          <w:szCs w:val="24"/>
        </w:rPr>
        <w:t>Quando a pessoa com deficiência encontra obstáculos para acessar escolas, hospitais, fóruns, terminais de transporte, praças, repartições públicas ou ambientes de trabalho, o que se compromete não é somente sua mobilidade, mas sua participação cidadã. A exclusão do espaço urbano converte-se, assim, em exclusão democrática, pois impede o exercício pleno dos direitos civis, sociais e políticos.</w:t>
      </w:r>
    </w:p>
    <w:p w:rsidR="009D60B7" w:rsidRDefault="00425C09">
      <w:pPr>
        <w:spacing w:line="360" w:lineRule="auto"/>
        <w:ind w:firstLine="709"/>
        <w:jc w:val="both"/>
        <w:rPr>
          <w:rFonts w:ascii="Arial" w:hAnsi="Arial"/>
          <w:sz w:val="24"/>
          <w:szCs w:val="24"/>
        </w:rPr>
      </w:pPr>
      <w:r>
        <w:rPr>
          <w:rFonts w:ascii="Arial" w:hAnsi="Arial" w:cs="Arial"/>
          <w:sz w:val="24"/>
          <w:szCs w:val="24"/>
        </w:rPr>
        <w:t>Nesse sentido, Marins (2019, p. 212) observa que “a acessibilidade somente se concretiza quando existe integração entre planejamento urbano, políticas sociais e gestão participativa”, evidenciando que o direito à cidade exige mais do que adequações físicas: requer políticas públicas estruturadas, gestão democrática e escuta ativa das demandas das pessoas com deficiência.</w:t>
      </w:r>
    </w:p>
    <w:p w:rsidR="009D60B7" w:rsidRDefault="00425C09">
      <w:pPr>
        <w:spacing w:line="360" w:lineRule="auto"/>
        <w:ind w:firstLine="709"/>
        <w:jc w:val="both"/>
        <w:rPr>
          <w:rFonts w:ascii="Arial" w:hAnsi="Arial"/>
          <w:sz w:val="24"/>
          <w:szCs w:val="24"/>
        </w:rPr>
      </w:pPr>
      <w:r>
        <w:rPr>
          <w:rFonts w:ascii="Arial" w:hAnsi="Arial" w:cs="Arial"/>
          <w:sz w:val="24"/>
          <w:szCs w:val="24"/>
        </w:rPr>
        <w:t>A cidadania urbana pressupõe que todos os sujeitos possam usufruir da cidade de forma segura, autônoma e digna. Assim, a acessibilidade deve ser compreendida como condição material do direito à cidade, funcionando como instrumento de democratização do espaço urbano e de redução das desigualdades socioespaciais.</w:t>
      </w:r>
    </w:p>
    <w:p w:rsidR="009D60B7" w:rsidRDefault="00425C09">
      <w:pPr>
        <w:spacing w:line="360" w:lineRule="auto"/>
        <w:ind w:firstLine="709"/>
        <w:jc w:val="both"/>
        <w:rPr>
          <w:rFonts w:ascii="Arial" w:hAnsi="Arial"/>
          <w:sz w:val="24"/>
          <w:szCs w:val="24"/>
        </w:rPr>
      </w:pPr>
      <w:r>
        <w:rPr>
          <w:rFonts w:ascii="Arial" w:hAnsi="Arial" w:cs="Arial"/>
          <w:sz w:val="24"/>
          <w:szCs w:val="24"/>
        </w:rPr>
        <w:lastRenderedPageBreak/>
        <w:t>No contexto de Anápolis/GO, essa perspectiva revela-se especialmente relevante, pois a persistência de barreiras físicas, comunicacionais e atitudinais demonstra que ainda há distanciamento entre o direito formalmente assegurado e a vivência concreta da cidadania pelas pessoas com deficiência. A construção de uma cidade verdadeiramente inclusiva exige, portanto, que a acessibilidade seja incorporada como elemento estruturante do planejamento urbano e da gestão pública municipal.</w:t>
      </w:r>
    </w:p>
    <w:p w:rsidR="009D60B7" w:rsidRDefault="00425C09">
      <w:pPr>
        <w:spacing w:line="360" w:lineRule="auto"/>
        <w:ind w:firstLine="709"/>
        <w:jc w:val="both"/>
        <w:rPr>
          <w:rFonts w:ascii="Arial" w:hAnsi="Arial"/>
          <w:sz w:val="24"/>
          <w:szCs w:val="24"/>
        </w:rPr>
      </w:pPr>
      <w:r>
        <w:rPr>
          <w:rFonts w:ascii="Arial" w:hAnsi="Arial" w:cs="Arial"/>
          <w:sz w:val="24"/>
          <w:szCs w:val="24"/>
        </w:rPr>
        <w:t xml:space="preserve">A compreensão da acessibilidade urbana como direito fundamental, expressão da cidadania urbana e condição para o exercício do direito à cidade evidencia que a efetividade do sistema normativo depende da superação das barreiras concretas ainda presentes no espaço urbano. </w:t>
      </w:r>
    </w:p>
    <w:p w:rsidR="009D60B7" w:rsidRDefault="00425C09">
      <w:pPr>
        <w:tabs>
          <w:tab w:val="left" w:pos="7797"/>
        </w:tabs>
        <w:spacing w:line="360" w:lineRule="auto"/>
        <w:ind w:firstLine="709"/>
        <w:jc w:val="both"/>
        <w:rPr>
          <w:rFonts w:ascii="Arial" w:hAnsi="Arial"/>
          <w:sz w:val="24"/>
          <w:szCs w:val="24"/>
        </w:rPr>
      </w:pPr>
      <w:r>
        <w:rPr>
          <w:rFonts w:ascii="Arial" w:hAnsi="Arial" w:cs="Arial"/>
          <w:sz w:val="24"/>
          <w:szCs w:val="24"/>
        </w:rPr>
        <w:t xml:space="preserve">Assim, uma vez estabelecidos os fundamentos jurídicos, principiológicos e sociais que sustentam a inclusão das pessoas com deficiência, torna-se necessário avançar para a análise dos obstáculos que, na prática, limitam a concretização desses direitos. Nesse contexto, o tópico seguinte dedica-se ao diagnóstico das principais barreiras arquitetônicas, urbanísticas, comunicacionais, atitudinais, educacionais e laborais que ainda comprometem a inclusão plena no ambiente urbano. </w:t>
      </w:r>
    </w:p>
    <w:p w:rsidR="009D60B7" w:rsidRDefault="009D60B7">
      <w:pPr>
        <w:spacing w:line="360" w:lineRule="auto"/>
        <w:ind w:firstLine="709"/>
        <w:jc w:val="both"/>
        <w:rPr>
          <w:rFonts w:ascii="Arial" w:hAnsi="Arial" w:cs="Arial"/>
          <w:sz w:val="24"/>
          <w:szCs w:val="24"/>
        </w:rPr>
      </w:pPr>
    </w:p>
    <w:p w:rsidR="009D60B7" w:rsidRPr="001069A3" w:rsidRDefault="00425C09">
      <w:pPr>
        <w:widowControl/>
        <w:spacing w:line="360" w:lineRule="auto"/>
        <w:jc w:val="both"/>
        <w:rPr>
          <w:rFonts w:ascii="Arial" w:hAnsi="Arial"/>
          <w:sz w:val="24"/>
          <w:szCs w:val="24"/>
        </w:rPr>
      </w:pPr>
      <w:r w:rsidRPr="001069A3">
        <w:rPr>
          <w:rFonts w:ascii="Arial" w:eastAsia="Arial" w:hAnsi="Arial" w:cs="Arial"/>
          <w:bCs/>
          <w:color w:val="000000"/>
          <w:sz w:val="24"/>
          <w:szCs w:val="24"/>
        </w:rPr>
        <w:t xml:space="preserve">2. DIAGNÓSTICO DA INFRAESTRUTURA URBANA E DOS ESPAÇOS PÚBLICOS </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Neste tópico, é abordado o diagnóstico das principais barreiras arquitetônicas, urbanísticas, atitudinais e comunicacionais que ainda comprometem a acessibilidade e a inclusão das pessoas com deficiência no espaço urbano. A análise foca nos obstáculos concretos encontrados nas ruas, transportes e demais equipamentos urbanos, identificando as deficiências estruturais que dificultam a mobilidade e a participação social plena dessa população.</w:t>
      </w:r>
    </w:p>
    <w:p w:rsidR="009D60B7" w:rsidRDefault="009D60B7">
      <w:pPr>
        <w:widowControl/>
        <w:spacing w:line="360" w:lineRule="auto"/>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2.1 Barreiras arquitetônicas e urbanísticas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As barreiras arquitetônicas e urbanísticas constituem os obstáculos mais visíveis e mais frequentemente relatados pelas pessoas com deficiência no cotidiano das cidades brasileiras. Compreendidas como qualquer elemento físico que impeça ou dificulte a locomoção, o acesso e o uso de espaços e equipamentos urbanos, essas barreiras abrangem desde calçadas irregulares e ausência de rampas até edificações públicas sem elevadores e sistemas de transporte sem estrutura adaptada.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O Decreto nº 5.296 de 2004 define com precisão os critérios mínimos que os espaços públicos devem observar para assegurar a livre circulação de todos. No entanto, </w:t>
      </w:r>
      <w:r>
        <w:rPr>
          <w:rFonts w:ascii="Arial" w:eastAsia="Arial" w:hAnsi="Arial" w:cs="Arial"/>
          <w:color w:val="000000"/>
          <w:sz w:val="24"/>
          <w:szCs w:val="24"/>
        </w:rPr>
        <w:lastRenderedPageBreak/>
        <w:t>sua aplicação ainda é inadequada em diversas cidades brasileiras. Conforme observa Vasconcelos (2001, p. 33), "a mobilidade implica a disponibilidade de meios de transporte, não motorizados e pessoais (a pé e de bicicleta) ou motorizados (públicos ou privados), e toda a infraestrutura para realizar os deslocamentos", evidenciando que a mobilidade urbana plena depende de um conjunto integrado de condições físicas que frequentemente estão ausentes.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As cidades brasileiras, sobretudo as de grande e médio porte, enfrentam dificuldades estruturais históricas. O processo de urbanização acelerado e descontrolado resultou no crescimento das frotas de veículos, no agravamento dos congestionamentos e na deterioração das condições de deslocamento, sem que as políticas de infraestrutura urbana evoluíssem no mesmo ritmo. Como resultado, pedestres, ciclistas e usuários de transporte público, especialmente aqueles com deficiência, tornaram-se os mais prejudicados por um modelo urbano que historicamente priorizou o transporte motorizado individual.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No contexto de Anápolis/GO, esse quadro se reproduz de forma concreta. Muitas ruas da cidade ainda possuem calçadas irregulares, sem rebaixamento para cadeirantes e sem travessias em nível, o que limita a mobilidade e a autonomia de quem depende de recursos como cadeiras de rodas. O transporte público, por sua vez, não atende plenamente às exigências estabelecidas pelo Decreto nº 5.296/2004, comprometendo o deslocamento seguro de uma parcela significativa da população (Brasil, 2004).</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superação dessas barreiras exige que os projetos de infraestrutura urbana e espaços públicos adotem uma perspectiva inclusiva e acessível desde a sua concepção. Como aponta o Ministério das Cidades (2005), é essencial dar prioridade ao transporte público coletivo, à racionalização dos investimentos públicos e à promoção da inclusão social como eixo central das políticas de mobilidade urbana.</w:t>
      </w:r>
    </w:p>
    <w:p w:rsidR="009D60B7" w:rsidRDefault="009D60B7">
      <w:pPr>
        <w:widowControl/>
        <w:spacing w:line="360" w:lineRule="auto"/>
        <w:ind w:firstLine="709"/>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2.2 Barreiras atitudinais e discriminação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Entre todos os obstáculos à inclusão das pessoas com deficiência, as barreiras atitudinais são as mais difíceis de identificar, mensurar e combater, justamente porque não se expressam em ausência de rampas ou falta de materiais, mas em gestos, palavras, silêncios e expectativas que atravessam o cotidiano de forma muitas vezes invisível.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A LBI (2015) define as barreiras atitudinais como atitudes ou comportamentos que impedem ou prejudicam a participação social das pessoas com deficiência em igualdade </w:t>
      </w:r>
      <w:r>
        <w:rPr>
          <w:rFonts w:ascii="Arial" w:eastAsia="Arial" w:hAnsi="Arial" w:cs="Arial"/>
          <w:color w:val="000000"/>
          <w:sz w:val="24"/>
          <w:szCs w:val="24"/>
        </w:rPr>
        <w:lastRenderedPageBreak/>
        <w:t>de condições com as demais. No contexto urbano, essas barreiras se manifestam de formas variadas: desde a resistência de comerciantes em realizar adaptações em seus estabelecimentos até a naturalização do desrespeito às vagas reservadas em estacionamentos e do descaso com as faixas de pedestres adaptadas.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Sassaki (2010) enfatiza que a inclusão não é alcançada apenas por meio de leis, mas por um processo constante de conscientização e transformação cultural, em que a sociedade deve ser educada para tratar as pessoas com deficiência com igualdade de direitos e dignidade. Atitudes discriminatórias, seja em espaços públicos, no mercado de trabalho ou em estabelecimentos comerciais, frequentemente contribuem para a marginalização social dessas pessoas.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discriminação no cotidiano urbano raramente assume formas explícitas e facilmente denunciáveis. Ela opera, na maioria das vezes, de maneira difusa e normalizada: a recusa em ceder espaço em transportes coletivos, a falta de paciência no atendimento em serviços públicos, a ausência de comunicação acessível em espaços de uso comum. Essa discriminação velada é tão limitante quanto as barreiras físicas, e sua superação exige processos contínuos de formação, sensibilização e mudança cultural que envolvam toda a sociedade.</w:t>
      </w:r>
    </w:p>
    <w:p w:rsidR="009D60B7" w:rsidRDefault="009D60B7">
      <w:pPr>
        <w:widowControl/>
        <w:spacing w:line="360" w:lineRule="auto"/>
        <w:ind w:firstLine="709"/>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2.3 Barreiras comunicacionais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As barreiras à comunicação constituem um desafio significativo, sobretudo para indivíduos com deficiência auditiva e visual. A falta de sinalização apropriada, como placas em Braille, sistemas de áudio em semáforos e tecnologias assistivas em áreas públicas, dificulta o acesso dessas pessoas a informações fundamentais para sua mobilidade e envolvimento completo na vida urbana.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Segundo a Convenção da ONU sobre os Direitos das Pessoas com Deficiência (2006), um dos direitos essenciais das pessoas com deficiência é o acesso à informação, e a ausência de ações que assegurem isso constitui uma violação desse direito. O artigo 9º da Convenção determina que os Estados adotem medidas para assegurar que as pessoas com deficiência tenham acesso a informações e comunicações, incluindo tecnologias de informação e comunicação.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No espaço urbano brasileiro, e especificamente em Anápolis/GO, as barreiras comunicacionais se manifestam na ausência de semáforos com sinal sonoro para pessoas com deficiência visual, na falta de sistemas de informação em Libras em espaços públicos, na carência de placas e sinalizações em Braille e na insuficiência de </w:t>
      </w:r>
      <w:r>
        <w:rPr>
          <w:rFonts w:ascii="Arial" w:eastAsia="Arial" w:hAnsi="Arial" w:cs="Arial"/>
          <w:color w:val="000000"/>
          <w:sz w:val="24"/>
          <w:szCs w:val="24"/>
        </w:rPr>
        <w:lastRenderedPageBreak/>
        <w:t>equipamentos de tecnologia assistiva nos transportes públicos. Essa realidade compromete de forma direta a autonomia e a segurança das pessoas com deficiência sensorial no ambiente urbano.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superação das barreiras comunicacionais exige investimento em tecnologia, capacitação dos servidores públicos e elaboração de políticas específicas voltadas à comunicação acessível, não como ação isolada, mas como componente integrado ao planejamento urbano e às políticas de mobilidade.</w:t>
      </w:r>
    </w:p>
    <w:p w:rsidR="009D60B7" w:rsidRDefault="009D60B7">
      <w:pPr>
        <w:widowControl/>
        <w:spacing w:line="360" w:lineRule="auto"/>
        <w:ind w:firstLine="709"/>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2.4 Barreiras no trabalho e na educação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inacessibilidade urbana não se restringe ao espaço das ruas e praças, ela se estende aos locais de trabalho e às instituições de ensino, comprometendo o exercício de direitos fundamentais que vão muito além da mobilidade física.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No ambiente de trabalho, muitos estabelecimentos não proporcionam condições apropriadas para a inclusão de pessoas com deficiência, tanto pela falta de adaptações físicas nos espaços quanto pela ausência de políticas efetivas de inclusão no ambiente profissional. De acordo com Marins (2019), o planejamento urbano deve considerar as demandas dos trabalhadores com deficiência, criando locais de trabalho acessíveis e garantindo as condições necessárias para que esses indivíduos possam exercer suas atividades com autonomia e dignidade.</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No contexto educacional, a estrutura física de muitas escolas não é adequada para atender alunos com deficiência: faltam rampas, banheiros adaptados, materiais didáticos acessíveis e sistemas de comunicação inclusivos. A LBI (2015) garante a educação inclusiva, mas a efetivação plena dessa garantia ainda é um desafio. O planejamento urbano e as políticas públicas devem assegurar que as instituições de ensino, como escolas e universidade</w:t>
      </w:r>
      <w:r>
        <w:rPr>
          <w:rFonts w:ascii="Arial" w:eastAsia="Arial" w:hAnsi="Arial" w:cs="Arial"/>
          <w:color w:val="000000"/>
          <w:sz w:val="24"/>
          <w:szCs w:val="24"/>
          <w:lang w:val="pt-BR"/>
        </w:rPr>
        <w:t>,</w:t>
      </w:r>
      <w:r>
        <w:rPr>
          <w:rFonts w:ascii="Arial" w:eastAsia="Arial" w:hAnsi="Arial" w:cs="Arial"/>
          <w:color w:val="000000"/>
          <w:sz w:val="24"/>
          <w:szCs w:val="24"/>
        </w:rPr>
        <w:t>s, estejam prontas para acolher todas as pessoas, sem distinção de limitações físicas.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Como afirma Kneib (2014), a mobilidade urbana e a acessibilidade são essenciais para criar cidades mais inclusivas que atendam às necessidades de todas as pessoas, independentemente de suas condições físicas. A inacessibilidade nas instituições de trabalho e de ensino não é, portanto, um problema setorial, ela é reflexo direto de um modelo de planejamento urbano que ainda não incorporou plenamente a perspectiva da inclusão como valor central.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O diagnóstico das múltiplas barreiras à inclusão das pessoas com deficiência demonstra que a problemática da acessibilidade urbana transcende a dimensão física, </w:t>
      </w:r>
      <w:r>
        <w:rPr>
          <w:rFonts w:ascii="Arial" w:eastAsia="Arial" w:hAnsi="Arial" w:cs="Arial"/>
          <w:color w:val="000000"/>
          <w:sz w:val="24"/>
          <w:szCs w:val="24"/>
        </w:rPr>
        <w:lastRenderedPageBreak/>
        <w:t xml:space="preserve">alcançando aspectos estruturais, sociais, comunicacionais e institucionais. A partir dessa constatação, impõe-se examinar de que forma tais obstáculos se manifestam no contexto específico do município de Anápolis/GO, bem como verificar se as políticas públicas locais, o planejamento urbano e os instrumentos normativos municipais têm sido suficientes para enfrentar essas limitações. </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Nessa perspectiva, o tópico seguinte direciona a análise para a realidade anapolina, investigando os avanços, os desafios persistentes e as possibilidades de aprimoramento das políticas públicas de acessibilidade.</w:t>
      </w:r>
    </w:p>
    <w:p w:rsidR="009D60B7" w:rsidRDefault="009D60B7">
      <w:pPr>
        <w:widowControl/>
        <w:spacing w:line="360" w:lineRule="auto"/>
        <w:ind w:firstLine="709"/>
        <w:jc w:val="both"/>
        <w:rPr>
          <w:rFonts w:ascii="Arial" w:eastAsia="Arial" w:hAnsi="Arial" w:cs="Arial"/>
          <w:b/>
          <w:bCs/>
          <w:sz w:val="24"/>
          <w:szCs w:val="24"/>
        </w:rPr>
      </w:pPr>
    </w:p>
    <w:p w:rsidR="009D60B7" w:rsidRPr="001069A3" w:rsidRDefault="00425C09">
      <w:pPr>
        <w:widowControl/>
        <w:spacing w:line="360" w:lineRule="auto"/>
        <w:jc w:val="both"/>
        <w:rPr>
          <w:rFonts w:ascii="Arial" w:hAnsi="Arial"/>
          <w:sz w:val="24"/>
          <w:szCs w:val="24"/>
        </w:rPr>
      </w:pPr>
      <w:r w:rsidRPr="001069A3">
        <w:rPr>
          <w:rFonts w:ascii="Arial" w:eastAsia="Arial" w:hAnsi="Arial" w:cs="Arial"/>
          <w:bCs/>
          <w:color w:val="000000"/>
          <w:sz w:val="24"/>
          <w:szCs w:val="24"/>
        </w:rPr>
        <w:t xml:space="preserve">3. POLÍTICAS PÚBLICAS VOLTADAS ÀS PESSOAS COM DEFICIÊNCIA NO MUNICÍPIO DE ANÁPOLIS/GO </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Neste tópico, é abordado o conjunto de políticas públicas voltadas à inclusão das pessoas com deficiência no município de Anápolis/GO. A análise abrange os marcos normativos municipais, destacando as leis e planos que orientam a implementação de medidas para garantir a acessibilidade urbana. Também são discutidos os avanços concretos, os desafios persistentes e as perspectivas para a melhoria da infraestrutura e das políticas públicas de acessibilidade no município.</w:t>
      </w:r>
    </w:p>
    <w:p w:rsidR="009D60B7" w:rsidRDefault="009D60B7">
      <w:pPr>
        <w:widowControl/>
        <w:spacing w:line="360" w:lineRule="auto"/>
        <w:jc w:val="both"/>
        <w:rPr>
          <w:rFonts w:ascii="Arial" w:eastAsia="Arial" w:hAnsi="Arial" w:cs="Arial"/>
          <w:b/>
          <w:bCs/>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3.1 O marco normativo municipal de Anápolis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O município de Anápolis/GO dispõe de um conjunto de instrumentos normativos que, em consonância com a legislação federal, buscam orientar a gestão urbana na direção da acessibilidade e da inclusão. Compreender esse arcabouço normativo local é fundamental para avaliar em que medida a cidade tem cumprido suas obrigações legais e em que pontos ainda persistem lacunas significativas.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O principal instrumento de planejamento urbano do município é a Lei Complementar nº 349, de 7 de julho de 2016, que institui a Política Municipal de Mobilidade Urbana de Anápolis, em conformidade com o Estatuto da Cidade (Lei Federal nº 10.257/2001) e com a Política Nacional de Mobilidade Urbana (Lei nº 12.587/2012). Entre seus objetivos, a lei estabelece a priorização do transporte público coletivo com as devidas adaptações, a oferta de equipamentos urbanos e comunitários acessíveis, e a prestação eficiente e eficaz de serviços públicos voltados às necessidades das minorias, respeitando as características locais e promovendo a igualdade de oportunidades para todos os cidadãos (Anápolis, 2016).</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lastRenderedPageBreak/>
        <w:t>O Plano Diretor de Anápolis (PDPA 2014-2024) é outro instrumento essencial, que define as diretrizes gerais para o desenvolvimento urbano do município. A inclusão do PDPA como ferramenta de planejamento reflete o compromisso formal da cidade em integrar a acessibilidade no planejamento das futuras obras e infraestruturas urbanas, assegurando que futuros projetos já nasçam com critérios inclusivos incorporados (Anápolis, 2014).</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Entre os marcos legislativos mais recentes, destaca-se a Lei nº 4.145, de 17 de agosto de 2021, que estabelece a adequação obrigatória dos caixas e guichês em estabelecimentos públicos e privados do município, a fim de facilitar o atendimento de pessoas com deficiência que utilizam cadeiras de rodas (Anápolis, 2021). Mais recentemente, a Lei nº 4.487, de 25 de agosto de 2025, dispôs sobre a adequação da comunicação visual para inclusão do novo símbolo internacional de acessibilidade no município (Anápolis, 2025).</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Esse conjunto normativo demonstra que Anápolis possui uma base legal relevante e alinhada às diretrizes nacionais de acessibilidade. No entanto, como se verá nos subtópicos seguintes, a existência de leis não garante por si só a sua efetivação — e é justamente nessa distância entre o texto normativo e a realidade urbana que residem os principais desafios do município.</w:t>
      </w:r>
    </w:p>
    <w:p w:rsidR="009D60B7" w:rsidRDefault="009D60B7">
      <w:pPr>
        <w:widowControl/>
        <w:spacing w:line="360" w:lineRule="auto"/>
        <w:ind w:firstLine="709"/>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3.2 Avanços concretos na acessibilidade urbana de Anápolis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Apesar dos desafios ainda persistentes, é necessário reconhecer os avanços que Anápolis tem alcançado no campo da acessibilidade urbana nas últimas décadas. Esses progressos, ainda que insuficientes para garantir a inclusão plena, representam conquistas importantes que apontam para uma trajetória de melhoria.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No plano normativo, como destacado no subtópico anterior, o município construiu um arcabouço legal relevante, com destaque para a Lei Complementar nº 349/2016 e para as leis municipais mais recentes que tratam de aspectos específicos da acessibilidade. A aprovação dessas legislações representa, por si só, um avanço no reconhecimento formal do direito à acessibilidade como dever do poder público municipal.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No plano do planejamento urbano, a incorporação da acessibilidade como diretriz no Plano Diretor e no Plano de Desenvolvimento Participativo de Anápolis (PDPA) é um indicativo de que a agenda da inclusão passou a integrar, ao menos formalmente, as decisões sobre o desenvolvimento da cidade. O PDPA, em especial, ao prever a </w:t>
      </w:r>
      <w:r>
        <w:rPr>
          <w:rFonts w:ascii="Arial" w:eastAsia="Arial" w:hAnsi="Arial" w:cs="Arial"/>
          <w:color w:val="000000"/>
          <w:sz w:val="24"/>
          <w:szCs w:val="24"/>
        </w:rPr>
        <w:lastRenderedPageBreak/>
        <w:t>participação social no planejamento urbano, abre espaço para que as demandas das pessoas com deficiência sejam incorporadas às decisões sobre infraestrutura e mobilidade.</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Há também registros de obras e intervenções pontuais de acessibilidade em vias e espaços públicos da cidade, rebaixamento de calçadas em algumas regiões centrais, adequação de alguns pontos de ônibus e a sinalização de vagas reservadas em estacionamentos públicos. Embora essas ações não sejam suficientes para transformar Anápolis em uma cidade plenamente acessível, elas indicam a existência de algum movimento institucional em direção à inclusão.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Esses avanços, contudo, precisam ser compreendidos com cautela. Como alertam Seabra et al. (2013), o debate sobre soluções para os problemas de deslocamento urbano só ganhou relevância no início do século XXI, e os progressos alcançados até agora são ainda incipientes diante da magnitude das necessidades. A efetivação plena do direito à acessibilidade exige muito mais do que ações pontuais: requer políticas públicas sistemáticas, financiamento consistente e monitoramento contínuo dos resultados.</w:t>
      </w:r>
    </w:p>
    <w:p w:rsidR="009D60B7" w:rsidRDefault="009D60B7">
      <w:pPr>
        <w:widowControl/>
        <w:spacing w:line="360" w:lineRule="auto"/>
        <w:ind w:firstLine="709"/>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3.3 Desafios persistentes: o que ainda precisa mudar em Anápolis?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Apesar dos avanços normativos e das iniciativas implementadas, Anápolis ainda enfrenta desafios significativos no que diz respeito à acessibilidade urbana. A distância entre o que a legislação determina e o que as pessoas com deficiência efetivamente encontram nas ruas da cidade é o principal indicador de que há um longo caminho a percorrer.</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Um dos obstáculos mais evidentes é a falta de uniformidade das calçadas e a infraestrutura inacessível que compromete o deslocamento seguro e autônomo das pessoas com deficiência. Muitas ruas da cidade ainda possuem calçadas irregulares, sem rebaixamento para cadeirantes e sem travessias em nível, contrariando frontalmente os direitos estabelecidos pela LBI e pelo Decreto nº 5.296/2004. Essa realidade é agravada pela ausência de fiscalização efetiva, que permite que novas obras e reformas se realizem sem observância dos critérios de acessibilidade.</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O transporte público constitui outro ponto crítico no debate sobre mobilidade urbana inclusiva. Santos, Siqueira e Lima (2021) sustentam que as deficiências na mobilidade urbana e no transporte coletivo podem produzir exclusão social ao restringirem o acesso da população a serviços essenciais e aos espaços urbanos. No </w:t>
      </w:r>
      <w:r>
        <w:rPr>
          <w:rFonts w:ascii="Arial" w:eastAsia="Arial" w:hAnsi="Arial" w:cs="Arial"/>
          <w:color w:val="000000"/>
          <w:sz w:val="24"/>
          <w:szCs w:val="24"/>
        </w:rPr>
        <w:lastRenderedPageBreak/>
        <w:t>contexto de Anápolis, essa realidade pode ser observada na escassez de ônibus adaptados, na insuficiência de pontos acessíveis e nas deficiências das plataformas de embarque e desembarque, fatores que limitam a autonomia e a segurança das pessoas com deficiência.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falta de integração entre as políticas públicas municipais também constitui um desafio relevante. Como afirma o Ministério das Cidades (2006), a separação entre as gestões de habitação, saneamento e mobilidade resulta em desperdício de recursos, ineficiência administrativa e perpetuação das desigualdades socioespaciais. Em Anápolis, essa fragmentação se manifesta na dificuldade de implementar ações integradas que articulem obras de infraestrutura, políticas de transporte e programas de conscientização social.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Por fim, a ausência de mecanismos eficazes de monitoramento e responsabilização compromete a efetividade das políticas existentes. Sem indicadores claros, metas definidas e prestação de contas regular sobre o cumprimento das normas de acessibilidade, o poder público municipal não tem como avaliar o impacto de suas ações nem identificar com precisão onde concentrar seus esforços e investimentos.</w:t>
      </w:r>
    </w:p>
    <w:p w:rsidR="009D60B7" w:rsidRDefault="009D60B7">
      <w:pPr>
        <w:widowControl/>
        <w:spacing w:line="360" w:lineRule="auto"/>
        <w:ind w:firstLine="709"/>
        <w:jc w:val="both"/>
        <w:rPr>
          <w:rFonts w:ascii="Arial" w:eastAsia="Arial" w:hAnsi="Arial" w:cs="Arial"/>
          <w:color w:val="000000"/>
          <w:sz w:val="24"/>
          <w:szCs w:val="24"/>
        </w:rPr>
      </w:pPr>
    </w:p>
    <w:p w:rsidR="009D60B7" w:rsidRDefault="00425C09">
      <w:pPr>
        <w:widowControl/>
        <w:spacing w:line="360" w:lineRule="auto"/>
        <w:jc w:val="both"/>
        <w:rPr>
          <w:rFonts w:ascii="Arial" w:hAnsi="Arial"/>
          <w:sz w:val="24"/>
          <w:szCs w:val="24"/>
        </w:rPr>
      </w:pPr>
      <w:r>
        <w:rPr>
          <w:rFonts w:ascii="Arial" w:eastAsia="Arial" w:hAnsi="Arial" w:cs="Arial"/>
          <w:color w:val="000000"/>
          <w:sz w:val="24"/>
          <w:szCs w:val="24"/>
        </w:rPr>
        <w:t>3.4 Perspectivas e propostas para uma Anápolis mais inclusiva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Diante do diagnóstico apresentado nos subtópicos anteriores, torna-se necessário apontar caminhos concretos para que Anápolis avance na construção de uma cidade verdadeiramente acessível e inclusiva. As propostas a seguir não são ideais abstratos: são orientações baseadas nas boas práticas identificadas na literatura especializada e nas diretrizes estabelecidas pela legislação vigente.</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Em primeiro lugar, é fundamental que o município priorize a padronização e a manutenção das calçadas, com a implementação efetiva das normas técnicas estabelecidas pela ABNT NBR 9050, que define os critérios de acessibilidade em edificações, mobiliário, espaços e equipamentos urbanos. A criação de um programa municipal de fiscalização e adequação das calçadas, com metas e prazos definidos, é condição necessária para que as obrigações legais sejam cumpridas de forma sistemática e não apenas pontual.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No que se refere ao transporte público, é urgente que Anápolis invista na qualificação da frota de ônibus, priorizando a aquisição de veículos com plataformas de embarque acessíveis, e na adequação dos pontos de parada, com piso tátil, sinalização sonora e cobertura adequada. Como destaca Vasconcellos (2001), as políticas públicas </w:t>
      </w:r>
      <w:r>
        <w:rPr>
          <w:rFonts w:ascii="Arial" w:eastAsia="Arial" w:hAnsi="Arial" w:cs="Arial"/>
          <w:color w:val="000000"/>
          <w:sz w:val="24"/>
          <w:szCs w:val="24"/>
        </w:rPr>
        <w:lastRenderedPageBreak/>
        <w:t>de transporte urbano devem ser mais inclusivas para assegurar que o transporte coletivo seja uma alternativa viável para todos.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participação social é outro elemento indispensável. Marins (2019) enfatiza que a acessibilidade somente se concretiza quando existe integração entre planejamento urbano, políticas sociais e gestão participativa. Nesse sentido, o município deve criar e fortalecer canais de escuta ativa das pessoas com deficiência e de suas organizações representativas, incorporando suas demandas ao processo de tomada de decisão sobre obras, serviços e políticas públicas.</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promoção de uma cultura de respeito à acessibilidade, por meio de campanhas de conscientização, formação de servidores públicos e educação para a diversidade nas escolas municipais, é igualmente essencial. Como aponta Sassaki (2010), a inclusão é um processo constante de conscientização e transformação cultural, e o poder público tem um papel central na condução desse processo.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Por fim, é necessário que Anápolis estabeleça um sistema de monitoramento e avaliação das políticas de acessibilidade, com indicadores claros, metas mensuráveis e relatórios periódicos de prestação de contas. Somente com transparência e responsabilização será possível garantir que os avanços normativos conquistados se traduzam em melhorias concretas na vida das pessoas com deficiência que habitam, trabalham e circulam pela cidade.</w:t>
      </w:r>
    </w:p>
    <w:p w:rsidR="009D60B7" w:rsidRDefault="009D60B7">
      <w:pPr>
        <w:widowControl/>
        <w:spacing w:line="360" w:lineRule="auto"/>
        <w:jc w:val="both"/>
        <w:rPr>
          <w:rFonts w:ascii="Arial" w:eastAsia="Arial" w:hAnsi="Arial" w:cs="Arial"/>
          <w:color w:val="000000"/>
          <w:sz w:val="24"/>
          <w:szCs w:val="24"/>
        </w:rPr>
      </w:pPr>
    </w:p>
    <w:p w:rsidR="009D60B7" w:rsidRPr="001069A3" w:rsidRDefault="00425C09">
      <w:pPr>
        <w:widowControl/>
        <w:spacing w:line="360" w:lineRule="auto"/>
        <w:jc w:val="both"/>
        <w:rPr>
          <w:rFonts w:ascii="Arial" w:hAnsi="Arial"/>
          <w:sz w:val="24"/>
          <w:szCs w:val="24"/>
        </w:rPr>
      </w:pPr>
      <w:r w:rsidRPr="001069A3">
        <w:rPr>
          <w:rFonts w:ascii="Arial" w:eastAsia="Arial" w:hAnsi="Arial" w:cs="Arial"/>
          <w:bCs/>
          <w:color w:val="000000"/>
          <w:sz w:val="24"/>
          <w:szCs w:val="24"/>
        </w:rPr>
        <w:t>CONCLUSÃO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O presente trabalho teve como tema central a análise dos direitos das pessoas com deficiência e a acessibilidade urbana em Anápolis/GO, abordando os desafios enfrentados por essa população e as perspectivas de melhoria na infraestrutura urbana para garantir sua plena inclusão social.</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Ao longo da pesquisa, ficou evidente que o Brasil construiu, especialmente após a Constituição Federal de 1988, um dos arcabouços normativos mais robustos do mundo em matéria de acessibilidade e inclusão das pessoas com deficiência. A Convenção da ONU sobre os Direitos das Pessoas com Deficiência (2006), o Decreto nº 5.296/2004, a Lei nº 12.587/2012 e a Lei Brasileira de Inclusão (Lei nº 13.146/2015) formam um conjunto coerente e abrangente de garantias que, ao menos no plano formal, asseguram à pessoa com deficiência o direito à cidade em sua plenitude.</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 xml:space="preserve">No âmbito municipal, Anápolis demonstrou esforços normativos relevantes, como a Lei Complementar nº 349/2016, o Plano Diretor, a Lei nº 4.145/2021 e a recente Lei nº </w:t>
      </w:r>
      <w:r>
        <w:rPr>
          <w:rFonts w:ascii="Arial" w:eastAsia="Arial" w:hAnsi="Arial" w:cs="Arial"/>
          <w:color w:val="000000"/>
          <w:sz w:val="24"/>
          <w:szCs w:val="24"/>
        </w:rPr>
        <w:lastRenderedPageBreak/>
        <w:t>4.487/2025, que indicam um movimento de alinhamento às diretrizes nacionais. No entanto, a pesquisa confirmou a hipótese inicial de que existem deficiências significativas nas políticas públicas de acessibilidade e na infraestrutura urbana do município. Barreiras arquitetônicas, atitudinais e comunicacionais persistem e comprometem o cotidiano das pessoas com deficiência, revelando uma distância ainda considerável entre o direito formal e o direito efetivamente vivido.</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superação desse cenário exige uma atuação convergente e integrada: o Estado deve garantir o arcabouço legal, o financiamento consistente e a fiscalização efetiva; o poder público municipal deve traduzir as políticas em obras, serviços e programas concretos; e a sociedade civil deve continuar exercendo pressão, participando do planejamento urbano e exigindo o cumprimento dos direitos garantidos em lei. Como afirma Marins (2019), a acessibilidade somente se concretiza quando existe integração entre planejamento urbano, políticas sociais e gestão participativa.</w:t>
      </w:r>
    </w:p>
    <w:p w:rsidR="009D60B7" w:rsidRDefault="00425C09">
      <w:pPr>
        <w:widowControl/>
        <w:spacing w:line="360" w:lineRule="auto"/>
        <w:ind w:firstLine="709"/>
        <w:jc w:val="both"/>
        <w:rPr>
          <w:rFonts w:ascii="Arial" w:hAnsi="Arial"/>
          <w:sz w:val="24"/>
          <w:szCs w:val="24"/>
        </w:rPr>
      </w:pPr>
      <w:r>
        <w:rPr>
          <w:rFonts w:ascii="Arial" w:eastAsia="Arial" w:hAnsi="Arial" w:cs="Arial"/>
          <w:color w:val="000000"/>
          <w:sz w:val="24"/>
          <w:szCs w:val="24"/>
        </w:rPr>
        <w:t>A acessibilidade urbana não é um favor que o Estado presta às pessoas com deficiência, é uma obrigação constitucional e um imperativo de justiça social. Uma cidade verdadeiramente democrática é aquela que permite que todos os seus cidadãos circulem, participem e usufruam de seus espaços com autonomia e segurança. Anápolis tem os instrumentos normativos necessários; o desafio é fazer com que esses instrumentos cheguem às calçadas, aos ônibus, às praças e à vida cotidiana de quem mais precisa dessa garantia.</w:t>
      </w:r>
    </w:p>
    <w:p w:rsidR="009D60B7" w:rsidRDefault="009D60B7">
      <w:pPr>
        <w:widowControl/>
        <w:spacing w:line="360" w:lineRule="auto"/>
        <w:ind w:firstLine="709"/>
        <w:jc w:val="both"/>
        <w:rPr>
          <w:rFonts w:ascii="Arial" w:eastAsia="Arial" w:hAnsi="Arial" w:cs="Arial"/>
          <w:color w:val="000000"/>
          <w:sz w:val="24"/>
          <w:szCs w:val="24"/>
        </w:rPr>
      </w:pPr>
    </w:p>
    <w:p w:rsidR="009D60B7" w:rsidRPr="001069A3" w:rsidRDefault="00425C09">
      <w:pPr>
        <w:widowControl/>
        <w:spacing w:line="360" w:lineRule="auto"/>
        <w:jc w:val="both"/>
        <w:rPr>
          <w:rFonts w:ascii="Arial" w:eastAsia="Arial" w:hAnsi="Arial" w:cs="Arial"/>
          <w:color w:val="000000"/>
          <w:sz w:val="24"/>
          <w:szCs w:val="24"/>
        </w:rPr>
      </w:pPr>
      <w:r w:rsidRPr="001069A3">
        <w:rPr>
          <w:rFonts w:ascii="Arial" w:eastAsia="Arial" w:hAnsi="Arial" w:cs="Arial"/>
          <w:bCs/>
          <w:color w:val="000000"/>
          <w:sz w:val="24"/>
          <w:szCs w:val="24"/>
        </w:rPr>
        <w:t xml:space="preserve">REFERÊNCIAS </w:t>
      </w: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ANÁPOLIS. </w:t>
      </w:r>
      <w:r>
        <w:rPr>
          <w:rFonts w:ascii="Arial" w:eastAsia="Arial" w:hAnsi="Arial" w:cs="Arial"/>
          <w:b/>
          <w:bCs/>
          <w:color w:val="000000"/>
          <w:sz w:val="24"/>
          <w:szCs w:val="24"/>
        </w:rPr>
        <w:t>Lei Complementar nº 349</w:t>
      </w:r>
      <w:r>
        <w:rPr>
          <w:rFonts w:ascii="Arial" w:eastAsia="Arial" w:hAnsi="Arial" w:cs="Arial"/>
          <w:color w:val="000000"/>
          <w:sz w:val="24"/>
          <w:szCs w:val="24"/>
        </w:rPr>
        <w:t>, de 7 de julho de 2016. Política Municipal de Mobilidade Urbana. Diário Oficial do Município de Anápolis, Anápolis, GO, 7 jul. 2016. Disponível em: https://www.anapolis.go.gov.br/. Acesso em: 27 fev.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ANÁPOLIS. </w:t>
      </w:r>
      <w:r>
        <w:rPr>
          <w:rFonts w:ascii="Arial" w:eastAsia="Arial" w:hAnsi="Arial" w:cs="Arial"/>
          <w:b/>
          <w:bCs/>
          <w:color w:val="000000"/>
          <w:sz w:val="24"/>
          <w:szCs w:val="24"/>
        </w:rPr>
        <w:t>Lei nº 4.145</w:t>
      </w:r>
      <w:r>
        <w:rPr>
          <w:rFonts w:ascii="Arial" w:eastAsia="Arial" w:hAnsi="Arial" w:cs="Arial"/>
          <w:color w:val="000000"/>
          <w:sz w:val="24"/>
          <w:szCs w:val="24"/>
        </w:rPr>
        <w:t>, de 17 de agosto de 2021. Dispõe sobre a obrigatoriedade de adequação de caixas ou guichês em altura reduzida nos estabelecimentos privados do Município de Anápolis. Diário Oficial de Anápolis, 17 ago. 2021. Disponível em: https://sapl.anapolis.go.leg.br/. Acesso em: 26 mar.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ANÁPOLIS. </w:t>
      </w:r>
      <w:r>
        <w:rPr>
          <w:rFonts w:ascii="Arial" w:eastAsia="Arial" w:hAnsi="Arial" w:cs="Arial"/>
          <w:b/>
          <w:bCs/>
          <w:color w:val="000000"/>
          <w:sz w:val="24"/>
          <w:szCs w:val="24"/>
        </w:rPr>
        <w:t>Lei nº 4.487</w:t>
      </w:r>
      <w:r>
        <w:rPr>
          <w:rFonts w:ascii="Arial" w:eastAsia="Arial" w:hAnsi="Arial" w:cs="Arial"/>
          <w:color w:val="000000"/>
          <w:sz w:val="24"/>
          <w:szCs w:val="24"/>
        </w:rPr>
        <w:t>, de 25 de agosto de 2025. Dispõe sobre a adequação da comunicação visual para inclusão do novo símbolo internacional de acessibilidade no município de Anápolis. Diário Oficial de Anápolis, 29 ago. 2025. Disponível em: https://dom.anapolis.go.gov.br/. Acesso em: 26 mar.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ANÁPOLIS. </w:t>
      </w:r>
      <w:r>
        <w:rPr>
          <w:rFonts w:ascii="Arial" w:eastAsia="Arial" w:hAnsi="Arial" w:cs="Arial"/>
          <w:b/>
          <w:bCs/>
          <w:color w:val="000000"/>
          <w:sz w:val="24"/>
          <w:szCs w:val="24"/>
        </w:rPr>
        <w:t>Plano Diretor de Anápolis</w:t>
      </w:r>
      <w:r>
        <w:rPr>
          <w:rFonts w:ascii="Arial" w:eastAsia="Arial" w:hAnsi="Arial" w:cs="Arial"/>
          <w:color w:val="000000"/>
          <w:sz w:val="24"/>
          <w:szCs w:val="24"/>
        </w:rPr>
        <w:t xml:space="preserve"> </w:t>
      </w:r>
      <w:r>
        <w:rPr>
          <w:rFonts w:ascii="Arial" w:eastAsia="Arial" w:hAnsi="Arial" w:cs="Arial"/>
          <w:b/>
          <w:bCs/>
          <w:color w:val="000000"/>
          <w:sz w:val="24"/>
          <w:szCs w:val="24"/>
        </w:rPr>
        <w:t>– PDPA 2014-2024</w:t>
      </w:r>
      <w:r>
        <w:rPr>
          <w:rFonts w:ascii="Arial" w:eastAsia="Arial" w:hAnsi="Arial" w:cs="Arial"/>
          <w:color w:val="000000"/>
          <w:sz w:val="24"/>
          <w:szCs w:val="24"/>
        </w:rPr>
        <w:t>. Prefeitura Municipal de Anápolis, 2014. Disponível em: https://www.anapolis.go.gov.br/. Acesso em: 27 fev.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lastRenderedPageBreak/>
        <w:t xml:space="preserve">BRASIL. </w:t>
      </w:r>
      <w:r>
        <w:rPr>
          <w:rFonts w:ascii="Arial" w:eastAsia="Arial" w:hAnsi="Arial" w:cs="Arial"/>
          <w:b/>
          <w:bCs/>
          <w:color w:val="000000"/>
          <w:sz w:val="24"/>
          <w:szCs w:val="24"/>
        </w:rPr>
        <w:t>Constituição da República Federativa do Brasil de 1988</w:t>
      </w:r>
      <w:r>
        <w:rPr>
          <w:rFonts w:ascii="Arial" w:eastAsia="Arial" w:hAnsi="Arial" w:cs="Arial"/>
          <w:color w:val="000000"/>
          <w:sz w:val="24"/>
          <w:szCs w:val="24"/>
        </w:rPr>
        <w:t>. Brasília: Senado Federal, 1988. Disponível em: https://www.planalto.gov.br. Acesso em: 25 nov. 2025.</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BRASIL. </w:t>
      </w:r>
      <w:r>
        <w:rPr>
          <w:rFonts w:ascii="Arial" w:eastAsia="Arial" w:hAnsi="Arial" w:cs="Arial"/>
          <w:b/>
          <w:bCs/>
          <w:color w:val="000000"/>
          <w:sz w:val="24"/>
          <w:szCs w:val="24"/>
        </w:rPr>
        <w:t>Decreto nº 5.296</w:t>
      </w:r>
      <w:r>
        <w:rPr>
          <w:rFonts w:ascii="Arial" w:eastAsia="Arial" w:hAnsi="Arial" w:cs="Arial"/>
          <w:color w:val="000000"/>
          <w:sz w:val="24"/>
          <w:szCs w:val="24"/>
        </w:rPr>
        <w:t>, de 2 de dezembro de 2004. Regulamenta as Leis nº 10.048/2000 e nº 10.098/2000, que estabelecem normas gerais e critérios básicos para a promoção da acessibilidade. Disponível em: https://www.planalto.gov.br. Acesso em: 25 nov. 2025.</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BRASIL. Estatuto da Cidade. </w:t>
      </w:r>
      <w:r>
        <w:rPr>
          <w:rFonts w:ascii="Arial" w:eastAsia="Arial" w:hAnsi="Arial" w:cs="Arial"/>
          <w:b/>
          <w:bCs/>
          <w:color w:val="000000"/>
          <w:sz w:val="24"/>
          <w:szCs w:val="24"/>
        </w:rPr>
        <w:t>Lei nº 10.257</w:t>
      </w:r>
      <w:r>
        <w:rPr>
          <w:rFonts w:ascii="Arial" w:eastAsia="Arial" w:hAnsi="Arial" w:cs="Arial"/>
          <w:color w:val="000000"/>
          <w:sz w:val="24"/>
          <w:szCs w:val="24"/>
        </w:rPr>
        <w:t>, de 10 de julho de 2001. Regulamenta os artigos 182 e 189 da Constituição Federal. Brasília, 2001. Disponível em: https://www.planalto.gov.br. Acesso em: 2 mar.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BRASIL. </w:t>
      </w:r>
      <w:r>
        <w:rPr>
          <w:rFonts w:ascii="Arial" w:eastAsia="Arial" w:hAnsi="Arial" w:cs="Arial"/>
          <w:b/>
          <w:bCs/>
          <w:color w:val="000000"/>
          <w:sz w:val="24"/>
          <w:szCs w:val="24"/>
        </w:rPr>
        <w:t>Lei nº 12.587</w:t>
      </w:r>
      <w:r>
        <w:rPr>
          <w:rFonts w:ascii="Arial" w:eastAsia="Arial" w:hAnsi="Arial" w:cs="Arial"/>
          <w:color w:val="000000"/>
          <w:sz w:val="24"/>
          <w:szCs w:val="24"/>
        </w:rPr>
        <w:t>, de 3 de janeiro de 2012. Institui as diretrizes da Política Nacional de Mobilidade Urbana. Diário Oficial da União, Brasília, 2012. Disponível em: https://www.planalto.gov.br. Acesso em: 2 mar.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BRASIL. </w:t>
      </w:r>
      <w:r>
        <w:rPr>
          <w:rFonts w:ascii="Arial" w:eastAsia="Arial" w:hAnsi="Arial" w:cs="Arial"/>
          <w:b/>
          <w:bCs/>
          <w:color w:val="000000"/>
          <w:sz w:val="24"/>
          <w:szCs w:val="24"/>
        </w:rPr>
        <w:t>Lei nº 13.146</w:t>
      </w:r>
      <w:r>
        <w:rPr>
          <w:rFonts w:ascii="Arial" w:eastAsia="Arial" w:hAnsi="Arial" w:cs="Arial"/>
          <w:color w:val="000000"/>
          <w:sz w:val="24"/>
          <w:szCs w:val="24"/>
        </w:rPr>
        <w:t>, de 6 de julho de 2015. Institui a Lei Brasileira de Inclusão da Pessoa com Deficiência (Estatuto da Pessoa com Deficiência). Disponível em: https://www.planalto.gov.br. Acesso em: 25 nov. 2025.</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BRASIL. MINISTÉRIO DAS CIDADES. </w:t>
      </w:r>
      <w:r>
        <w:rPr>
          <w:rFonts w:ascii="Arial" w:eastAsia="Arial" w:hAnsi="Arial" w:cs="Arial"/>
          <w:b/>
          <w:bCs/>
          <w:color w:val="000000"/>
          <w:sz w:val="24"/>
          <w:szCs w:val="24"/>
        </w:rPr>
        <w:t>Mobilidade urbana: subsídios para uma gestão integrada</w:t>
      </w:r>
      <w:r>
        <w:rPr>
          <w:rFonts w:ascii="Arial" w:eastAsia="Arial" w:hAnsi="Arial" w:cs="Arial"/>
          <w:color w:val="000000"/>
          <w:sz w:val="24"/>
          <w:szCs w:val="24"/>
        </w:rPr>
        <w:t>. SeMob – Secretaria Nacional de Transportes e Mobilidade Urbana. Brasília: Ministério das Cidades, 2005.</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BRASIL. MINISTÉRIO DAS CIDADES. </w:t>
      </w:r>
      <w:r>
        <w:rPr>
          <w:rFonts w:ascii="Arial" w:eastAsia="Arial" w:hAnsi="Arial" w:cs="Arial"/>
          <w:b/>
          <w:bCs/>
          <w:color w:val="000000"/>
          <w:sz w:val="24"/>
          <w:szCs w:val="24"/>
        </w:rPr>
        <w:t>Curso de gestão da mobilidade urbana</w:t>
      </w:r>
      <w:r>
        <w:rPr>
          <w:rFonts w:ascii="Arial" w:eastAsia="Arial" w:hAnsi="Arial" w:cs="Arial"/>
          <w:color w:val="000000"/>
          <w:sz w:val="24"/>
          <w:szCs w:val="24"/>
        </w:rPr>
        <w:t>. Brasília: Ministério das Cidades, 2006.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CÔRREA, Elisa. </w:t>
      </w:r>
      <w:r>
        <w:rPr>
          <w:rFonts w:ascii="Arial" w:eastAsia="Arial" w:hAnsi="Arial" w:cs="Arial"/>
          <w:b/>
          <w:bCs/>
          <w:color w:val="000000"/>
          <w:sz w:val="24"/>
          <w:szCs w:val="24"/>
        </w:rPr>
        <w:t>Cidades Acessíveis: Inclusão e Mobilidade Urbana</w:t>
      </w:r>
      <w:r>
        <w:rPr>
          <w:rFonts w:ascii="Arial" w:eastAsia="Arial" w:hAnsi="Arial" w:cs="Arial"/>
          <w:color w:val="000000"/>
          <w:sz w:val="24"/>
          <w:szCs w:val="24"/>
        </w:rPr>
        <w:t>. São Paulo: Saraiva, 2017.</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KNEIB, E. C. </w:t>
      </w:r>
      <w:r>
        <w:rPr>
          <w:rFonts w:ascii="Arial" w:eastAsia="Arial" w:hAnsi="Arial" w:cs="Arial"/>
          <w:b/>
          <w:bCs/>
          <w:color w:val="000000"/>
          <w:sz w:val="24"/>
          <w:szCs w:val="24"/>
        </w:rPr>
        <w:t>Projeto e cidade: centralidades e mobilidade urbana</w:t>
      </w:r>
      <w:r>
        <w:rPr>
          <w:rFonts w:ascii="Arial" w:eastAsia="Arial" w:hAnsi="Arial" w:cs="Arial"/>
          <w:color w:val="000000"/>
          <w:sz w:val="24"/>
          <w:szCs w:val="24"/>
        </w:rPr>
        <w:t>. Goiânia: Gráfica UFG, 2014.</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MARINS, Lívia. </w:t>
      </w:r>
      <w:r>
        <w:rPr>
          <w:rFonts w:ascii="Arial" w:eastAsia="Arial" w:hAnsi="Arial" w:cs="Arial"/>
          <w:b/>
          <w:bCs/>
          <w:color w:val="000000"/>
          <w:sz w:val="24"/>
          <w:szCs w:val="24"/>
        </w:rPr>
        <w:t>Acessibilidade e Planejamento Urbano: Desafios para a Inclusão</w:t>
      </w:r>
      <w:r>
        <w:rPr>
          <w:rFonts w:ascii="Arial" w:eastAsia="Arial" w:hAnsi="Arial" w:cs="Arial"/>
          <w:color w:val="000000"/>
          <w:sz w:val="24"/>
          <w:szCs w:val="24"/>
        </w:rPr>
        <w:t>. Rio de Janeiro: Forense, 2019.</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ONU – Organização das Nações Unidas. </w:t>
      </w:r>
      <w:r>
        <w:rPr>
          <w:rFonts w:ascii="Arial" w:eastAsia="Arial" w:hAnsi="Arial" w:cs="Arial"/>
          <w:b/>
          <w:bCs/>
          <w:color w:val="000000"/>
          <w:sz w:val="24"/>
          <w:szCs w:val="24"/>
        </w:rPr>
        <w:t>Convenção sobre os Direitos das Pessoas com Deficiência</w:t>
      </w:r>
      <w:r>
        <w:rPr>
          <w:rFonts w:ascii="Arial" w:eastAsia="Arial" w:hAnsi="Arial" w:cs="Arial"/>
          <w:color w:val="000000"/>
          <w:sz w:val="24"/>
          <w:szCs w:val="24"/>
        </w:rPr>
        <w:t>. Nova Iorque, 2006. Disponível em: https://www.un.org. Acesso em: 27 nov. 2025.</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SANTOS, Júlia Barros dos; SIQUEIRA,</w:t>
      </w:r>
      <w:r>
        <w:rPr>
          <w:rFonts w:ascii="Arial" w:hAnsi="Arial"/>
          <w:b/>
          <w:bCs/>
          <w:sz w:val="24"/>
          <w:szCs w:val="24"/>
          <w:shd w:val="clear" w:color="auto" w:fill="FFFFFF"/>
        </w:rPr>
        <w:t xml:space="preserve"> </w:t>
      </w:r>
      <w:r>
        <w:rPr>
          <w:rFonts w:ascii="Arial" w:eastAsia="Arial" w:hAnsi="Arial" w:cs="Arial"/>
          <w:color w:val="000000"/>
          <w:sz w:val="24"/>
          <w:szCs w:val="24"/>
        </w:rPr>
        <w:t xml:space="preserve">Graziana Donata Punzi de; LIMA, Josiane Palma. </w:t>
      </w:r>
      <w:r>
        <w:rPr>
          <w:rFonts w:ascii="Arial" w:eastAsia="Arial" w:hAnsi="Arial" w:cs="Arial"/>
          <w:b/>
          <w:bCs/>
          <w:color w:val="000000"/>
          <w:sz w:val="24"/>
          <w:szCs w:val="24"/>
        </w:rPr>
        <w:t>Políticas públicas sobre mobilidade urbana e práticas para priorização de projetos: uma abordagem multicriterial</w:t>
      </w:r>
      <w:r>
        <w:rPr>
          <w:rFonts w:ascii="Arial" w:eastAsia="Arial" w:hAnsi="Arial" w:cs="Arial"/>
          <w:color w:val="000000"/>
          <w:sz w:val="24"/>
          <w:szCs w:val="24"/>
        </w:rPr>
        <w:t>. Pesquisa, Sociedade e Desenvolvimento, </w:t>
      </w:r>
      <w:r>
        <w:rPr>
          <w:rFonts w:ascii="Arial" w:eastAsia="Arial" w:hAnsi="Arial" w:cs="Arial"/>
          <w:i/>
          <w:iCs/>
          <w:color w:val="000000"/>
          <w:sz w:val="24"/>
          <w:szCs w:val="24"/>
        </w:rPr>
        <w:t>[S. l.]</w:t>
      </w:r>
      <w:r>
        <w:rPr>
          <w:rFonts w:ascii="Arial" w:eastAsia="Arial" w:hAnsi="Arial" w:cs="Arial"/>
          <w:color w:val="000000"/>
          <w:sz w:val="24"/>
          <w:szCs w:val="24"/>
        </w:rPr>
        <w:t>, v. 10, n. 9, p. e45710918188, 2021. DOI: 10.33448/rsd-v10i9.18188. Disponível em: https://rsdjournal.org/rsd/article/view/18188. Acesso em: 14 abril 2026.</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SARLET, Ingo Wolfgang. </w:t>
      </w:r>
      <w:r>
        <w:rPr>
          <w:rFonts w:ascii="Arial" w:eastAsia="Arial" w:hAnsi="Arial" w:cs="Arial"/>
          <w:b/>
          <w:bCs/>
          <w:color w:val="000000"/>
          <w:sz w:val="24"/>
          <w:szCs w:val="24"/>
        </w:rPr>
        <w:t>Dignidade da Pessoa Humana e Direitos Fundamentais na Constituição Federal de 1988</w:t>
      </w:r>
      <w:r>
        <w:rPr>
          <w:rFonts w:ascii="Arial" w:eastAsia="Arial" w:hAnsi="Arial" w:cs="Arial"/>
          <w:color w:val="000000"/>
          <w:sz w:val="24"/>
          <w:szCs w:val="24"/>
        </w:rPr>
        <w:t>. 12. ed. Porto Alegre: Livraria do Advogado, 2015.</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lastRenderedPageBreak/>
        <w:t xml:space="preserve">SASSAKI, Romeu Kazumi. Inclusão: </w:t>
      </w:r>
      <w:r>
        <w:rPr>
          <w:rFonts w:ascii="Arial" w:eastAsia="Arial" w:hAnsi="Arial" w:cs="Arial"/>
          <w:b/>
          <w:bCs/>
          <w:color w:val="000000"/>
          <w:sz w:val="24"/>
          <w:szCs w:val="24"/>
        </w:rPr>
        <w:t>Construindo uma Sociedade para Todos</w:t>
      </w:r>
      <w:r>
        <w:rPr>
          <w:rFonts w:ascii="Arial" w:eastAsia="Arial" w:hAnsi="Arial" w:cs="Arial"/>
          <w:color w:val="000000"/>
          <w:sz w:val="24"/>
          <w:szCs w:val="24"/>
        </w:rPr>
        <w:t>. 8. ed. Rio de Janeiro: WVA, 2010.</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SEABRA, L. O.; TACO, P. W. G.; DOMINGUEZ, E. M. </w:t>
      </w:r>
      <w:r>
        <w:rPr>
          <w:rFonts w:ascii="Arial" w:eastAsia="Arial" w:hAnsi="Arial" w:cs="Arial"/>
          <w:b/>
          <w:bCs/>
          <w:color w:val="000000"/>
          <w:sz w:val="24"/>
          <w:szCs w:val="24"/>
        </w:rPr>
        <w:t>Sustentabilidade em transportes: do conceito às políticas públicas de mobilidade urbana</w:t>
      </w:r>
      <w:r>
        <w:rPr>
          <w:rFonts w:ascii="Arial" w:eastAsia="Arial" w:hAnsi="Arial" w:cs="Arial"/>
          <w:color w:val="000000"/>
          <w:sz w:val="24"/>
          <w:szCs w:val="24"/>
        </w:rPr>
        <w:t>. Revista dos Transportes Públicos – ANTP, ano 35, p. 20, 2013.</w:t>
      </w:r>
    </w:p>
    <w:p w:rsidR="009D60B7" w:rsidRDefault="009D60B7" w:rsidP="001069A3">
      <w:pPr>
        <w:widowControl/>
        <w:rPr>
          <w:rFonts w:ascii="Arial" w:eastAsia="Arial" w:hAnsi="Arial" w:cs="Arial"/>
          <w:color w:val="000000"/>
          <w:sz w:val="24"/>
          <w:szCs w:val="24"/>
        </w:rPr>
      </w:pPr>
    </w:p>
    <w:p w:rsidR="009D60B7" w:rsidRDefault="00425C09" w:rsidP="001069A3">
      <w:pPr>
        <w:widowControl/>
        <w:rPr>
          <w:rFonts w:ascii="Arial" w:hAnsi="Arial"/>
          <w:sz w:val="24"/>
          <w:szCs w:val="24"/>
        </w:rPr>
      </w:pPr>
      <w:r>
        <w:rPr>
          <w:rFonts w:ascii="Arial" w:eastAsia="Arial" w:hAnsi="Arial" w:cs="Arial"/>
          <w:color w:val="000000"/>
          <w:sz w:val="24"/>
          <w:szCs w:val="24"/>
        </w:rPr>
        <w:t xml:space="preserve">VASCONCELLOS, Eduardo Alcântara. </w:t>
      </w:r>
      <w:r>
        <w:rPr>
          <w:rFonts w:ascii="Arial" w:eastAsia="Arial" w:hAnsi="Arial" w:cs="Arial"/>
          <w:b/>
          <w:bCs/>
          <w:color w:val="000000"/>
          <w:sz w:val="24"/>
          <w:szCs w:val="24"/>
        </w:rPr>
        <w:t>Transporte urbano, espaço e equidade: análise das políticas públicas</w:t>
      </w:r>
      <w:r>
        <w:rPr>
          <w:rFonts w:ascii="Arial" w:eastAsia="Arial" w:hAnsi="Arial" w:cs="Arial"/>
          <w:color w:val="000000"/>
          <w:sz w:val="24"/>
          <w:szCs w:val="24"/>
        </w:rPr>
        <w:t>. 3. ed. São Paulo: Annablume, 2001.</w:t>
      </w:r>
    </w:p>
    <w:p w:rsidR="009D60B7" w:rsidRDefault="009D60B7">
      <w:pPr>
        <w:widowControl/>
        <w:spacing w:line="360" w:lineRule="auto"/>
        <w:jc w:val="both"/>
        <w:rPr>
          <w:rFonts w:ascii="Arial" w:eastAsia="Arial" w:hAnsi="Arial" w:cs="Arial"/>
          <w:color w:val="000000"/>
          <w:sz w:val="24"/>
          <w:szCs w:val="24"/>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FB21CD" w:rsidRDefault="00FB21CD">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Pr="00FB21CD" w:rsidRDefault="00425C09" w:rsidP="00FB21CD">
      <w:pPr>
        <w:jc w:val="center"/>
        <w:rPr>
          <w:rFonts w:ascii="Arial" w:hAnsi="Arial" w:cs="Times New Roman"/>
          <w:b/>
          <w:sz w:val="28"/>
          <w:szCs w:val="28"/>
        </w:rPr>
      </w:pPr>
      <w:r w:rsidRPr="00FB21CD">
        <w:rPr>
          <w:rFonts w:ascii="Arial" w:hAnsi="Arial" w:cs="Times New Roman"/>
          <w:b/>
          <w:sz w:val="28"/>
          <w:szCs w:val="28"/>
        </w:rPr>
        <w:lastRenderedPageBreak/>
        <w:t>ENTRE A JUSTIÇA E O PROCESSO: A PERFORMATIVIDADE ESTADO-GÊNERO NOS PROCESSOS DE FEMINICÍDIO</w:t>
      </w:r>
    </w:p>
    <w:p w:rsidR="009D60B7" w:rsidRDefault="009D60B7">
      <w:pPr>
        <w:spacing w:line="360" w:lineRule="auto"/>
        <w:jc w:val="center"/>
        <w:rPr>
          <w:rFonts w:ascii="Arial" w:hAnsi="Arial" w:cs="Times New Roman"/>
          <w:b/>
          <w:sz w:val="24"/>
          <w:szCs w:val="24"/>
        </w:rPr>
      </w:pPr>
    </w:p>
    <w:p w:rsidR="00FB21CD" w:rsidRDefault="00FB21CD">
      <w:pPr>
        <w:spacing w:line="360" w:lineRule="auto"/>
        <w:jc w:val="center"/>
        <w:rPr>
          <w:rFonts w:ascii="Arial" w:hAnsi="Arial" w:cs="Times New Roman"/>
          <w:b/>
          <w:sz w:val="24"/>
          <w:szCs w:val="24"/>
        </w:rPr>
      </w:pPr>
    </w:p>
    <w:p w:rsidR="009D60B7" w:rsidRDefault="00425C09">
      <w:pPr>
        <w:ind w:right="130"/>
        <w:jc w:val="center"/>
        <w:rPr>
          <w:rFonts w:ascii="Arial" w:hAnsi="Arial"/>
          <w:sz w:val="24"/>
          <w:szCs w:val="24"/>
        </w:rPr>
      </w:pPr>
      <w:r>
        <w:rPr>
          <w:rFonts w:ascii="Arial" w:hAnsi="Arial" w:cs="Times New Roman"/>
          <w:bCs/>
          <w:spacing w:val="-2"/>
          <w:sz w:val="24"/>
          <w:szCs w:val="24"/>
        </w:rPr>
        <w:t>Amanda Gabriela Santos Giraldes</w:t>
      </w:r>
      <w:r>
        <w:rPr>
          <w:rStyle w:val="Refdenotaderodap"/>
          <w:rFonts w:ascii="Arial" w:hAnsi="Arial" w:cs="Times New Roman"/>
          <w:bCs/>
          <w:spacing w:val="-2"/>
          <w:sz w:val="24"/>
          <w:szCs w:val="24"/>
        </w:rPr>
        <w:footnoteReference w:id="27"/>
      </w:r>
    </w:p>
    <w:p w:rsidR="009D60B7" w:rsidRDefault="00425C09">
      <w:pPr>
        <w:ind w:right="130"/>
        <w:jc w:val="center"/>
        <w:rPr>
          <w:rFonts w:ascii="Arial" w:hAnsi="Arial"/>
          <w:sz w:val="24"/>
          <w:szCs w:val="24"/>
        </w:rPr>
      </w:pPr>
      <w:r>
        <w:rPr>
          <w:rFonts w:ascii="Arial" w:hAnsi="Arial" w:cs="Times New Roman"/>
          <w:bCs/>
          <w:spacing w:val="-2"/>
          <w:sz w:val="24"/>
          <w:szCs w:val="24"/>
        </w:rPr>
        <w:t>Simone Batista Matos</w:t>
      </w:r>
      <w:r>
        <w:rPr>
          <w:rStyle w:val="Refdenotaderodap"/>
          <w:rFonts w:ascii="Arial" w:hAnsi="Arial" w:cs="Times New Roman"/>
          <w:bCs/>
          <w:spacing w:val="-2"/>
          <w:sz w:val="24"/>
          <w:szCs w:val="24"/>
        </w:rPr>
        <w:footnoteReference w:id="28"/>
      </w:r>
    </w:p>
    <w:p w:rsidR="009D60B7" w:rsidRDefault="00425C09">
      <w:pPr>
        <w:ind w:right="130"/>
        <w:jc w:val="center"/>
        <w:rPr>
          <w:rFonts w:ascii="Arial" w:hAnsi="Arial"/>
          <w:sz w:val="24"/>
          <w:szCs w:val="24"/>
        </w:rPr>
      </w:pPr>
      <w:r>
        <w:rPr>
          <w:rFonts w:ascii="Arial" w:hAnsi="Arial" w:cs="Times New Roman"/>
          <w:bCs/>
          <w:sz w:val="24"/>
          <w:szCs w:val="24"/>
        </w:rPr>
        <w:t>Cristiane</w:t>
      </w:r>
      <w:r>
        <w:rPr>
          <w:rFonts w:ascii="Arial" w:hAnsi="Arial" w:cs="Times New Roman"/>
          <w:bCs/>
          <w:spacing w:val="-6"/>
          <w:sz w:val="24"/>
          <w:szCs w:val="24"/>
        </w:rPr>
        <w:t xml:space="preserve"> </w:t>
      </w:r>
      <w:r>
        <w:rPr>
          <w:rFonts w:ascii="Arial" w:hAnsi="Arial" w:cs="Times New Roman"/>
          <w:bCs/>
          <w:sz w:val="24"/>
          <w:szCs w:val="24"/>
        </w:rPr>
        <w:t>Ingrid</w:t>
      </w:r>
      <w:r>
        <w:rPr>
          <w:rFonts w:ascii="Arial" w:hAnsi="Arial" w:cs="Times New Roman"/>
          <w:bCs/>
          <w:spacing w:val="-5"/>
          <w:sz w:val="24"/>
          <w:szCs w:val="24"/>
        </w:rPr>
        <w:t xml:space="preserve"> </w:t>
      </w:r>
      <w:r>
        <w:rPr>
          <w:rFonts w:ascii="Arial" w:hAnsi="Arial" w:cs="Times New Roman"/>
          <w:bCs/>
          <w:sz w:val="24"/>
          <w:szCs w:val="24"/>
        </w:rPr>
        <w:t>de</w:t>
      </w:r>
      <w:r>
        <w:rPr>
          <w:rFonts w:ascii="Arial" w:hAnsi="Arial" w:cs="Times New Roman"/>
          <w:bCs/>
          <w:spacing w:val="-6"/>
          <w:sz w:val="24"/>
          <w:szCs w:val="24"/>
        </w:rPr>
        <w:t xml:space="preserve"> </w:t>
      </w:r>
      <w:r>
        <w:rPr>
          <w:rFonts w:ascii="Arial" w:hAnsi="Arial" w:cs="Times New Roman"/>
          <w:bCs/>
          <w:sz w:val="24"/>
          <w:szCs w:val="24"/>
        </w:rPr>
        <w:t>Souza</w:t>
      </w:r>
      <w:r>
        <w:rPr>
          <w:rFonts w:ascii="Arial" w:hAnsi="Arial" w:cs="Times New Roman"/>
          <w:bCs/>
          <w:spacing w:val="-5"/>
          <w:sz w:val="24"/>
          <w:szCs w:val="24"/>
        </w:rPr>
        <w:t xml:space="preserve"> </w:t>
      </w:r>
      <w:r>
        <w:rPr>
          <w:rFonts w:ascii="Arial" w:hAnsi="Arial" w:cs="Times New Roman"/>
          <w:bCs/>
          <w:spacing w:val="-2"/>
          <w:sz w:val="24"/>
          <w:szCs w:val="24"/>
        </w:rPr>
        <w:t>Bonfim</w:t>
      </w:r>
      <w:r>
        <w:rPr>
          <w:rStyle w:val="Refdenotaderodap"/>
          <w:rFonts w:ascii="Arial" w:hAnsi="Arial" w:cs="Times New Roman"/>
          <w:bCs/>
          <w:spacing w:val="-2"/>
          <w:sz w:val="24"/>
          <w:szCs w:val="24"/>
        </w:rPr>
        <w:footnoteReference w:id="29"/>
      </w:r>
    </w:p>
    <w:p w:rsidR="009D60B7" w:rsidRDefault="009D60B7">
      <w:pPr>
        <w:spacing w:line="360" w:lineRule="auto"/>
        <w:ind w:right="155"/>
        <w:rPr>
          <w:rFonts w:ascii="Arial" w:hAnsi="Arial" w:cs="Times New Roman"/>
          <w:bCs/>
          <w:sz w:val="24"/>
          <w:szCs w:val="24"/>
        </w:rPr>
      </w:pPr>
    </w:p>
    <w:p w:rsidR="00FB21CD" w:rsidRDefault="00FB21CD">
      <w:pPr>
        <w:spacing w:line="360" w:lineRule="auto"/>
        <w:ind w:right="155"/>
        <w:rPr>
          <w:rFonts w:ascii="Arial" w:hAnsi="Arial" w:cs="Times New Roman"/>
          <w:bCs/>
          <w:sz w:val="24"/>
          <w:szCs w:val="24"/>
        </w:rPr>
      </w:pPr>
    </w:p>
    <w:p w:rsidR="009D60B7" w:rsidRPr="00FB21CD" w:rsidRDefault="00425C09">
      <w:pPr>
        <w:spacing w:line="360" w:lineRule="auto"/>
        <w:jc w:val="center"/>
        <w:rPr>
          <w:rFonts w:ascii="Arial" w:hAnsi="Arial" w:cs="Times New Roman"/>
          <w:bCs/>
          <w:sz w:val="20"/>
          <w:szCs w:val="20"/>
        </w:rPr>
      </w:pPr>
      <w:r w:rsidRPr="00FB21CD">
        <w:rPr>
          <w:rFonts w:ascii="Arial" w:hAnsi="Arial" w:cs="Times New Roman"/>
          <w:bCs/>
          <w:sz w:val="24"/>
          <w:szCs w:val="24"/>
        </w:rPr>
        <w:t>RESUMO</w:t>
      </w:r>
    </w:p>
    <w:p w:rsidR="009D60B7" w:rsidRDefault="00425C09">
      <w:pPr>
        <w:jc w:val="both"/>
        <w:rPr>
          <w:rFonts w:ascii="Arial" w:hAnsi="Arial" w:cs="Times New Roman"/>
          <w:spacing w:val="8"/>
          <w:sz w:val="20"/>
          <w:szCs w:val="20"/>
          <w:shd w:val="clear" w:color="auto" w:fill="FFFFFF"/>
        </w:rPr>
      </w:pPr>
      <w:r>
        <w:rPr>
          <w:rFonts w:ascii="Arial" w:hAnsi="Arial" w:cs="Times New Roman"/>
          <w:sz w:val="20"/>
          <w:szCs w:val="20"/>
        </w:rPr>
        <w:t>O presente trabalho analisa o feminicídio íntimo no contexto da violência doméstica, evidenciando como relações marcadas por desigualdade de poder, controle e dependência podem evoluir para a violência letal contra mulheres.o objetivo geral é compreender de que maneira as relações estruturadas pelo patriarcado e por assimetrias de poder contribuem para a escalada da violência até o desfecho letal, bem como examinar a resposta do ordenamento jurídico e das políticas públicas voltadas à proteção da mulher.  Como objetivos específicos, pretende-se: a) compreender o ciclo da violência doméstica e seus desdobramentos; b) analisar os fatores que levam à permanência da mulher em relações abusivas, como a dependência emocional e econômica; c) avaliar a eficácia das medidas protetivas de urgência e das políticas públicas de enfrentamento; e examinar o tratamento jurídico do feminicídio no ordenamento jurídico brasileiro, especialmente após a Lei nº 13.104/2015. A metodologia é qualitativa, com base em revisão bibliográfica e documental, por meio da análise de livros, artigos científicos, legislações, decisões judiciais e conteúdos provenientes de sites, jornais e revistas. Os principais resultados indicam que, embora haja avanços normativos no enfrentamento da violência contra a mulher, ainda persistem desafios quanto à efetividade das medidas de proteção, especialmente na prevenção do feminicídio íntimo. Concluiu-se que o enfrentamento desse fenômeno exige não apenas atuação repressiva do Estado, mas também políticas públicas integradas e fortalecimento das redes de apoio, visando à proteção efetiva das mulheres.</w:t>
      </w:r>
      <w:r>
        <w:rPr>
          <w:rFonts w:ascii="Arial" w:hAnsi="Arial" w:cs="Times New Roman"/>
          <w:spacing w:val="8"/>
          <w:sz w:val="20"/>
          <w:szCs w:val="20"/>
          <w:shd w:val="clear" w:color="auto" w:fill="FFFFFF"/>
        </w:rPr>
        <w:tab/>
      </w:r>
    </w:p>
    <w:p w:rsidR="009D60B7" w:rsidRDefault="009D60B7">
      <w:pPr>
        <w:jc w:val="both"/>
        <w:rPr>
          <w:rFonts w:ascii="Arial" w:hAnsi="Arial" w:cs="Times New Roman"/>
          <w:spacing w:val="8"/>
          <w:sz w:val="20"/>
          <w:szCs w:val="20"/>
          <w:shd w:val="clear" w:color="auto" w:fill="FFFFFF"/>
        </w:rPr>
      </w:pPr>
    </w:p>
    <w:p w:rsidR="009D60B7" w:rsidRDefault="00425C09">
      <w:pPr>
        <w:spacing w:line="360" w:lineRule="auto"/>
        <w:jc w:val="both"/>
      </w:pPr>
      <w:r>
        <w:rPr>
          <w:rStyle w:val="Forte1"/>
          <w:rFonts w:ascii="Arial" w:hAnsi="Arial" w:cs="Times New Roman"/>
          <w:sz w:val="20"/>
          <w:szCs w:val="20"/>
        </w:rPr>
        <w:t>PALAVRAS-CHAVE:</w:t>
      </w:r>
      <w:r>
        <w:rPr>
          <w:rFonts w:ascii="Arial" w:hAnsi="Arial" w:cs="Times New Roman"/>
          <w:sz w:val="20"/>
          <w:szCs w:val="20"/>
        </w:rPr>
        <w:t xml:space="preserve"> Feminicídio íntimo. Violência doméstica. Lei Maria da Penha. Medidas protetivas. Violência de gênero.</w:t>
      </w:r>
    </w:p>
    <w:p w:rsidR="009D60B7" w:rsidRDefault="009D60B7">
      <w:pPr>
        <w:spacing w:line="360" w:lineRule="auto"/>
        <w:jc w:val="both"/>
        <w:rPr>
          <w:rFonts w:ascii="Arial" w:hAnsi="Arial" w:cs="Times New Roman"/>
          <w:b/>
          <w:bCs/>
          <w:sz w:val="20"/>
          <w:szCs w:val="20"/>
        </w:rPr>
      </w:pPr>
    </w:p>
    <w:p w:rsidR="009D60B7" w:rsidRDefault="00425C09">
      <w:pPr>
        <w:pStyle w:val="NormalWeb"/>
        <w:spacing w:beforeAutospacing="0" w:afterAutospacing="0" w:line="360" w:lineRule="auto"/>
        <w:jc w:val="both"/>
        <w:rPr>
          <w:rFonts w:ascii="Arial" w:hAnsi="Arial"/>
        </w:rPr>
      </w:pPr>
      <w:r>
        <w:rPr>
          <w:rFonts w:ascii="Arial" w:hAnsi="Arial"/>
          <w:bCs/>
        </w:rPr>
        <w:t>INTRODUÇÃO</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 xml:space="preserve">Este estudo explora o fenômeno do feminicídio íntimo, tendo como foco a violência doméstica enquanto principal contexto da violência letal contra a mulher no Brasil. Embora o lar seja socialmente concebido como espaço de proteção e cuidado, dados empíricos e estudos acadêmicos demonstram que ele pode se tornar um ambiente de alto risco para mulheres submetidas a relações marcadas por desigualdade, controle e violência. </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 xml:space="preserve">A violência doméstica manifesta-se de forma ampla, não se restringindo à agressão física, mas abrangendo violências psicológica, emocional, financeira e sexual, frequentemente invisibilizadas e naturalizadas no cotidiano. A relevância da temática </w:t>
      </w:r>
      <w:r>
        <w:rPr>
          <w:rFonts w:ascii="Arial" w:hAnsi="Arial" w:cs="Times New Roman"/>
          <w:sz w:val="24"/>
          <w:szCs w:val="24"/>
        </w:rPr>
        <w:lastRenderedPageBreak/>
        <w:t>reside na necessidade de compreender as causas e consequências do feminicídio íntimo, bem como os limites da atuação estatal na prevenção e proteção das vítimas, contribuindo para o debate jurídico e acadêmico sobre a efetividade das normas e políticas públicas de enfrentamento à violência de gênero.</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 xml:space="preserve">O objetivo principal da pesquisa é analisar o feminicídio íntimo como a expressão mais extrema da violência doméstica baseada em gênero, considerando seus fatores jurídicos, sociais e psicológicos. Busca-se compreender de que maneira relações estruturadas pelo patriarcado e por assimetrias de poder contribuem para a escalada da violência até o desfecho letal, bem como examinar a resposta do ordenamento jurídico e das políticas públicas voltadas à proteção da mulher. </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Como objetivos específicos, pretende-se: compreender o ciclo da violência doméstica e seus desdobramentos; analisar os fatores que levam à permanência da mulher em relações abusivas, como a dependência emocional e econômica; avaliar a eficácia das medidas protetivas de urgência e das políticas públicas de enfrentamento; e examinar o tratamento jurídico do feminicídio no ordenamento jurídico brasileiro, especialmente após a Lei nº 13.104/2015.</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A abordagem metodológica adotada neste estudo baseia-se em pesquisa qualitativa e quantitativa, com análise doutrinária, legislativa e jurisprudencial, aliada à pesquisa de campo. Esta última consiste na coleta e análise de dados estatísticos obtidos junto à delegacia especializada no atendimento à mulher, referentes aos registros de violência doméstica e feminicídio. A metodologia adotada permite identificar padrões, fragilidades institucionais e desafios enfrentados pelos órgãos de proteção e persecução penal, contribuindo para uma análise crítica do fenômeno estudado.</w:t>
      </w:r>
    </w:p>
    <w:p w:rsidR="009D60B7" w:rsidRDefault="00425C09">
      <w:pPr>
        <w:spacing w:line="360" w:lineRule="auto"/>
        <w:ind w:firstLine="1134"/>
        <w:jc w:val="both"/>
        <w:rPr>
          <w:sz w:val="24"/>
          <w:szCs w:val="24"/>
        </w:rPr>
      </w:pPr>
      <w:r>
        <w:rPr>
          <w:rFonts w:ascii="Arial" w:hAnsi="Arial" w:cs="Times New Roman"/>
          <w:sz w:val="24"/>
          <w:szCs w:val="24"/>
        </w:rPr>
        <w:t xml:space="preserve">Para fundamentar a análise, foram utilizados referenciais teóricos das áreas do Direito, Sociologia e Estudos de Gênero. Destacam-se as contribuições de </w:t>
      </w:r>
      <w:r>
        <w:rPr>
          <w:rStyle w:val="whitespace-normal"/>
          <w:rFonts w:ascii="Arial" w:hAnsi="Arial" w:cs="Times New Roman"/>
          <w:bCs/>
          <w:sz w:val="24"/>
          <w:szCs w:val="24"/>
        </w:rPr>
        <w:t>Heleieth Saffioti (1934-2010)</w:t>
      </w:r>
      <w:r>
        <w:rPr>
          <w:rFonts w:ascii="Arial" w:hAnsi="Arial" w:cs="Times New Roman"/>
          <w:sz w:val="24"/>
          <w:szCs w:val="24"/>
        </w:rPr>
        <w:t xml:space="preserve">, ao tratar da violência de gênero e das bases patriarcais da sociedade; </w:t>
      </w:r>
      <w:r>
        <w:rPr>
          <w:rStyle w:val="whitespace-normal"/>
          <w:rFonts w:ascii="Arial" w:hAnsi="Arial" w:cs="Times New Roman"/>
          <w:bCs/>
          <w:sz w:val="24"/>
          <w:szCs w:val="24"/>
        </w:rPr>
        <w:t>Pierre Bourdieu (1998)</w:t>
      </w:r>
      <w:r>
        <w:rPr>
          <w:rFonts w:ascii="Arial" w:hAnsi="Arial" w:cs="Times New Roman"/>
          <w:sz w:val="24"/>
          <w:szCs w:val="24"/>
        </w:rPr>
        <w:t xml:space="preserve">, com a noção de dominação masculina e violência simbólica; e </w:t>
      </w:r>
      <w:r>
        <w:rPr>
          <w:rStyle w:val="whitespace-normal"/>
          <w:rFonts w:ascii="Arial" w:hAnsi="Arial" w:cs="Times New Roman"/>
          <w:bCs/>
          <w:sz w:val="24"/>
          <w:szCs w:val="24"/>
        </w:rPr>
        <w:t>Judith Butler (1990)</w:t>
      </w:r>
      <w:r>
        <w:rPr>
          <w:rFonts w:ascii="Arial" w:hAnsi="Arial" w:cs="Times New Roman"/>
          <w:sz w:val="24"/>
          <w:szCs w:val="24"/>
        </w:rPr>
        <w:t xml:space="preserve">, ao compreender o gênero como construção social. No campo jurídico, utilizam-se os estudos de </w:t>
      </w:r>
      <w:r>
        <w:rPr>
          <w:rStyle w:val="whitespace-normal"/>
          <w:rFonts w:ascii="Arial" w:hAnsi="Arial" w:cs="Times New Roman"/>
          <w:bCs/>
          <w:sz w:val="24"/>
          <w:szCs w:val="24"/>
        </w:rPr>
        <w:t>Maria Berenice Dias (2009)</w:t>
      </w:r>
      <w:r>
        <w:rPr>
          <w:rFonts w:ascii="Arial" w:hAnsi="Arial" w:cs="Times New Roman"/>
          <w:sz w:val="24"/>
          <w:szCs w:val="24"/>
        </w:rPr>
        <w:t>, especialmente no que se refere à violência doméstica e à aplicação da Lei Maria da Penha.</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 xml:space="preserve">O trabalho está organizado em quatro seções </w:t>
      </w:r>
      <w:bookmarkStart w:id="22" w:name="_Hlk227770121"/>
      <w:r>
        <w:rPr>
          <w:rFonts w:ascii="Arial" w:hAnsi="Arial" w:cs="Times New Roman"/>
          <w:sz w:val="24"/>
          <w:szCs w:val="24"/>
        </w:rPr>
        <w:t xml:space="preserve">principais A primeira seção apresenta os fundamentos teóricos da violência de gênero, com ênfase no patriarcado e no ciclo da violência doméstica, permitindo compreender as bases estruturais que sustentam as relações de desigualdade. A segunda seção aborda a Lei Maria da Penha, </w:t>
      </w:r>
      <w:r>
        <w:rPr>
          <w:rFonts w:ascii="Arial" w:hAnsi="Arial" w:cs="Times New Roman"/>
          <w:sz w:val="24"/>
          <w:szCs w:val="24"/>
        </w:rPr>
        <w:lastRenderedPageBreak/>
        <w:t xml:space="preserve">analisando sua origem, seus fundamentos e as principais medidas protetivas de urgência, evidenciando seus avanços e limitações no enfrentamento da violência doméstica. </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A terceira seção dedica-se ao estudo do feminicídio, contemplando sua historicidade, conceito e construções teóricas. A quarta seção traz a análise de estudos de caso, a partir dos quais se discutem os limites da atuação estatal e os possíveis caminhos para o enfrentamento da violência contra a mulher.</w:t>
      </w:r>
    </w:p>
    <w:p w:rsidR="009D60B7" w:rsidRDefault="009D60B7">
      <w:pPr>
        <w:spacing w:line="360" w:lineRule="auto"/>
        <w:jc w:val="both"/>
        <w:rPr>
          <w:rFonts w:ascii="Arial" w:hAnsi="Arial" w:cs="Times New Roman"/>
          <w:sz w:val="24"/>
          <w:szCs w:val="24"/>
        </w:rPr>
      </w:pPr>
    </w:p>
    <w:p w:rsidR="009D60B7" w:rsidRPr="00591931" w:rsidRDefault="00425C09">
      <w:pPr>
        <w:pStyle w:val="PargrafodaLista"/>
        <w:numPr>
          <w:ilvl w:val="0"/>
          <w:numId w:val="3"/>
        </w:numPr>
        <w:tabs>
          <w:tab w:val="left" w:pos="220"/>
        </w:tabs>
        <w:spacing w:line="360" w:lineRule="auto"/>
        <w:ind w:left="220" w:hanging="220"/>
        <w:jc w:val="both"/>
        <w:rPr>
          <w:rFonts w:ascii="Arial" w:hAnsi="Arial" w:cs="Times New Roman"/>
          <w:b/>
          <w:sz w:val="24"/>
          <w:szCs w:val="24"/>
        </w:rPr>
      </w:pPr>
      <w:r w:rsidRPr="00591931">
        <w:rPr>
          <w:rStyle w:val="Forte1"/>
          <w:rFonts w:ascii="Arial" w:hAnsi="Arial" w:cs="Times New Roman"/>
          <w:b w:val="0"/>
          <w:sz w:val="24"/>
          <w:szCs w:val="24"/>
        </w:rPr>
        <w:t>FUNDAMENTOS TEÓRICOS DA VIOLÊNCIA DE GÊNERO, DO PATRIARCADO E DO CICLO DA VIOLÊNCIA DOMÉSTICA</w:t>
      </w:r>
      <w:bookmarkEnd w:id="22"/>
    </w:p>
    <w:p w:rsidR="009D60B7" w:rsidRDefault="00425C09">
      <w:pPr>
        <w:pStyle w:val="NormalWeb"/>
        <w:spacing w:beforeAutospacing="0" w:afterAutospacing="0" w:line="360" w:lineRule="auto"/>
        <w:ind w:firstLine="1134"/>
        <w:contextualSpacing/>
        <w:jc w:val="both"/>
        <w:rPr>
          <w:rFonts w:ascii="Arial" w:hAnsi="Arial"/>
        </w:rPr>
      </w:pPr>
      <w:r>
        <w:rPr>
          <w:rFonts w:ascii="Arial" w:eastAsiaTheme="minorHAnsi" w:hAnsi="Arial"/>
        </w:rPr>
        <w:t>A compreensão da violência contra a mulher exige uma análise que ultrapasse o senso comum, sendo necessário situá-la no contexto das relações sociais historicamente construídas. A violência de gênero não se configura como um fenômeno isolado, mas como resultado de estruturas sociais que produzem e reproduzem desigualdades entre homens e mulheres.</w:t>
      </w:r>
    </w:p>
    <w:p w:rsidR="009D60B7" w:rsidRDefault="00425C09">
      <w:pPr>
        <w:pStyle w:val="NormalWeb"/>
        <w:spacing w:beforeAutospacing="0" w:afterAutospacing="0" w:line="360" w:lineRule="auto"/>
        <w:ind w:firstLine="1134"/>
        <w:contextualSpacing/>
        <w:jc w:val="both"/>
        <w:rPr>
          <w:rFonts w:ascii="Arial" w:hAnsi="Arial"/>
        </w:rPr>
      </w:pPr>
      <w:r>
        <w:rPr>
          <w:rFonts w:ascii="Arial" w:eastAsiaTheme="minorHAnsi" w:hAnsi="Arial"/>
        </w:rPr>
        <w:t>Nesse sentido, o conceito de violência deve ser compreendido de forma ampla. De acordo com a literatura especializada, a violência não se restringe à agressão física, mas abrange também dimensões psicológicas, morais, sexuais e patrimoniais. Tais formas de violência, muitas vezes, ocorrem de maneira silenciosa e progressiva, dificultando sua identificação e enfrentamento.</w:t>
      </w:r>
    </w:p>
    <w:p w:rsidR="009D60B7" w:rsidRDefault="00425C09">
      <w:pPr>
        <w:pStyle w:val="NormalWeb"/>
        <w:spacing w:beforeAutospacing="0" w:afterAutospacing="0" w:line="360" w:lineRule="auto"/>
        <w:ind w:firstLine="1134"/>
        <w:contextualSpacing/>
        <w:jc w:val="both"/>
        <w:rPr>
          <w:rFonts w:ascii="Arial" w:hAnsi="Arial"/>
        </w:rPr>
      </w:pPr>
      <w:r>
        <w:rPr>
          <w:rFonts w:ascii="Arial" w:eastAsiaTheme="minorHAnsi" w:hAnsi="Arial"/>
        </w:rPr>
        <w:t>A violência de gênero está diretamente associada ao patriarcado, entendido como um sistema social no qual o homem ocupa posição de poder e a mulher é colocada em condição de subordinação. Conforme destaca Saffioti (2015), essa desigualdade não é natural, mas construída historicamente, sendo reforçada por normas culturais, sociais e institucionais.</w:t>
      </w:r>
    </w:p>
    <w:p w:rsidR="009D60B7" w:rsidRDefault="00425C09">
      <w:pPr>
        <w:pStyle w:val="NormalWeb"/>
        <w:spacing w:beforeAutospacing="0" w:afterAutospacing="0" w:line="360" w:lineRule="auto"/>
        <w:ind w:firstLine="1134"/>
        <w:contextualSpacing/>
        <w:jc w:val="both"/>
        <w:rPr>
          <w:rFonts w:ascii="Arial" w:hAnsi="Arial"/>
        </w:rPr>
      </w:pPr>
      <w:r>
        <w:rPr>
          <w:rFonts w:ascii="Arial" w:eastAsiaTheme="minorHAnsi" w:hAnsi="Arial"/>
        </w:rPr>
        <w:t>Bourdieu (2012), ao tratar da dominação masculina, evidencia que essa estrutura de poder não se manifesta apenas de forma explícita, mas também por meio da violência simbólica, que atua de maneira invisível, naturalizando relações de desigualdade. Dessa forma, muitas práticas abusivas são internalizadas e aceitas como normais dentro das relações sociais.</w:t>
      </w:r>
    </w:p>
    <w:p w:rsidR="009D60B7" w:rsidRDefault="00425C09">
      <w:pPr>
        <w:pStyle w:val="NormalWeb"/>
        <w:spacing w:beforeAutospacing="0" w:afterAutospacing="0" w:line="360" w:lineRule="auto"/>
        <w:ind w:firstLine="1134"/>
        <w:contextualSpacing/>
        <w:jc w:val="both"/>
        <w:rPr>
          <w:rFonts w:ascii="Arial" w:hAnsi="Arial"/>
        </w:rPr>
      </w:pPr>
      <w:r>
        <w:rPr>
          <w:rFonts w:ascii="Arial" w:eastAsiaTheme="minorHAnsi" w:hAnsi="Arial"/>
        </w:rPr>
        <w:t xml:space="preserve">No âmbito das relações afetivas, essa dinâmica se expressa por meio do ciclo da violência, conceito desenvolvido por Walker (1979). Esse ciclo é composto por três fases: a tensão, a agressão e a reconciliação. Na fase de tensão, ocorrem comportamentos de controle, ciúmes e hostilidade. Em seguida, há a explosão da </w:t>
      </w:r>
      <w:r>
        <w:rPr>
          <w:rFonts w:ascii="Arial" w:eastAsiaTheme="minorHAnsi" w:hAnsi="Arial"/>
        </w:rPr>
        <w:lastRenderedPageBreak/>
        <w:t>violência, que pode ser física ou psicológica. Por conseguinte, ocorre a fase de reconciliação, na qual o agressor demonstra arrependimento, gerando na vítima a expectativa de mudança.</w:t>
      </w:r>
    </w:p>
    <w:p w:rsidR="009D60B7" w:rsidRDefault="00425C09">
      <w:pPr>
        <w:pStyle w:val="NormalWeb"/>
        <w:spacing w:beforeAutospacing="0" w:afterAutospacing="0" w:line="360" w:lineRule="auto"/>
        <w:ind w:firstLine="1134"/>
        <w:contextualSpacing/>
        <w:jc w:val="both"/>
        <w:rPr>
          <w:rFonts w:ascii="Arial" w:hAnsi="Arial"/>
        </w:rPr>
      </w:pPr>
      <w:r>
        <w:rPr>
          <w:rFonts w:ascii="Arial" w:eastAsiaTheme="minorHAnsi" w:hAnsi="Arial"/>
        </w:rPr>
        <w:t>Esse ciclo contribui para a permanência da mulher em relações abusivas, especialmente quando há dependência emocional, econômica ou social. A repetição dessas fases tende a intensificar a violência, tornando-a cada vez mais grave.</w:t>
      </w:r>
    </w:p>
    <w:p w:rsidR="009D60B7" w:rsidRDefault="00425C09">
      <w:pPr>
        <w:spacing w:line="360" w:lineRule="auto"/>
        <w:ind w:firstLine="1134"/>
        <w:jc w:val="both"/>
        <w:rPr>
          <w:rFonts w:ascii="Arial" w:hAnsi="Arial"/>
          <w:sz w:val="24"/>
          <w:szCs w:val="24"/>
        </w:rPr>
      </w:pPr>
      <w:r>
        <w:rPr>
          <w:rFonts w:ascii="Arial" w:hAnsi="Arial" w:cs="Times New Roman"/>
          <w:sz w:val="24"/>
          <w:szCs w:val="24"/>
        </w:rPr>
        <w:t>Dessa forma, a violência doméstica deve ser compreendida como um fenômeno complexo e progressivo, inserido em relações marcadas pela desigualdade de gênero. Tal compreensão evidencia a necessidade de intervenção estatal por meio de instrumentos jurídicos específicos, como a Lei Maria da Penha (2006), que será analisada na seção seguinte.</w:t>
      </w:r>
    </w:p>
    <w:p w:rsidR="009D60B7" w:rsidRDefault="009D60B7">
      <w:pPr>
        <w:spacing w:line="360" w:lineRule="auto"/>
        <w:ind w:firstLine="1134"/>
        <w:jc w:val="both"/>
        <w:rPr>
          <w:rFonts w:ascii="Arial" w:eastAsia="Times New Roman" w:hAnsi="Arial" w:cs="Times New Roman"/>
          <w:b/>
          <w:bCs/>
          <w:color w:val="000000"/>
          <w:sz w:val="24"/>
          <w:szCs w:val="24"/>
          <w:lang w:eastAsia="pt-BR"/>
        </w:rPr>
      </w:pPr>
    </w:p>
    <w:p w:rsidR="009D60B7" w:rsidRPr="007E5FEA" w:rsidRDefault="006D53EF">
      <w:pPr>
        <w:spacing w:line="360" w:lineRule="auto"/>
        <w:jc w:val="both"/>
        <w:rPr>
          <w:rFonts w:ascii="Arial" w:hAnsi="Arial"/>
          <w:sz w:val="24"/>
          <w:szCs w:val="24"/>
        </w:rPr>
      </w:pPr>
      <w:r>
        <w:rPr>
          <w:rFonts w:ascii="Arial" w:eastAsia="Times New Roman" w:hAnsi="Arial" w:cs="Times New Roman"/>
          <w:bCs/>
          <w:color w:val="000000"/>
          <w:sz w:val="24"/>
          <w:szCs w:val="24"/>
          <w:lang w:eastAsia="pt-BR"/>
        </w:rPr>
        <w:t>2</w:t>
      </w:r>
      <w:r w:rsidR="00425C09" w:rsidRPr="007E5FEA">
        <w:rPr>
          <w:rFonts w:ascii="Arial" w:eastAsia="Times New Roman" w:hAnsi="Arial" w:cs="Times New Roman"/>
          <w:bCs/>
          <w:color w:val="000000"/>
          <w:sz w:val="24"/>
          <w:szCs w:val="24"/>
          <w:lang w:eastAsia="pt-BR"/>
        </w:rPr>
        <w:t xml:space="preserve"> LEI MARIA DA PENHA SUAS MEDIDAS: APONTAMENTOS</w:t>
      </w:r>
    </w:p>
    <w:p w:rsidR="009D60B7" w:rsidRDefault="00425C09">
      <w:pPr>
        <w:spacing w:beforeAutospacing="1" w:afterAutospacing="1" w:line="360" w:lineRule="auto"/>
        <w:ind w:firstLine="1134"/>
        <w:contextualSpacing/>
        <w:jc w:val="both"/>
        <w:rPr>
          <w:rFonts w:ascii="Arial" w:hAnsi="Arial"/>
          <w:sz w:val="24"/>
          <w:szCs w:val="24"/>
        </w:rPr>
      </w:pPr>
      <w:r>
        <w:rPr>
          <w:rFonts w:ascii="Arial" w:eastAsia="Times New Roman" w:hAnsi="Arial" w:cs="Times New Roman"/>
          <w:sz w:val="24"/>
          <w:szCs w:val="24"/>
          <w:lang w:eastAsia="pt-BR"/>
        </w:rPr>
        <w:t>A Lei nº 11.340 de 2006, intitulada Lei Maria da Penha, representa um marco no enfrentamento da violência doméstica no Brasil, ao reconhecer a especificidade da violência de gênero e instituir mecanismos concretos de proteção às mulheres. Sua promulgação não apenas ampliou o tratamento jurídico da violência doméstica, mas também rompeu com a lógica de invisibilizarão historicamente atribuída a esse tipo de violência.</w:t>
      </w:r>
    </w:p>
    <w:p w:rsidR="009D60B7" w:rsidRDefault="00425C09">
      <w:pPr>
        <w:spacing w:beforeAutospacing="1" w:afterAutospacing="1" w:line="360" w:lineRule="auto"/>
        <w:ind w:firstLine="1134"/>
        <w:contextualSpacing/>
        <w:jc w:val="both"/>
        <w:rPr>
          <w:rFonts w:ascii="Arial" w:hAnsi="Arial"/>
          <w:sz w:val="24"/>
          <w:szCs w:val="24"/>
        </w:rPr>
      </w:pPr>
      <w:r>
        <w:rPr>
          <w:rFonts w:ascii="Arial" w:eastAsia="Times New Roman" w:hAnsi="Arial" w:cs="Times New Roman"/>
          <w:sz w:val="24"/>
          <w:szCs w:val="24"/>
          <w:lang w:eastAsia="pt-BR"/>
        </w:rPr>
        <w:t>Partindo das bases teóricas anteriormente apresentadas, é possível compreender que a violência doméstica não se restringe às agressões físicas, abrangendo também as dimensões psicológica, moral, sexual e patrimonial. Essas formas de violência, frequentemente naturalizadas no cotidiano, manifestam-se de maneira progressiva e silenciosa, dificultando sua identificação e, consequentemente, sua interrupção.</w:t>
      </w:r>
    </w:p>
    <w:p w:rsidR="009D60B7" w:rsidRDefault="00425C09">
      <w:pPr>
        <w:spacing w:beforeAutospacing="1" w:afterAutospacing="1" w:line="360" w:lineRule="auto"/>
        <w:ind w:firstLine="1134"/>
        <w:contextualSpacing/>
        <w:jc w:val="both"/>
        <w:rPr>
          <w:rFonts w:ascii="Arial" w:hAnsi="Arial"/>
          <w:sz w:val="24"/>
          <w:szCs w:val="24"/>
        </w:rPr>
      </w:pPr>
      <w:r>
        <w:rPr>
          <w:rFonts w:ascii="Arial" w:eastAsia="Times New Roman" w:hAnsi="Arial" w:cs="Times New Roman"/>
          <w:sz w:val="24"/>
          <w:szCs w:val="24"/>
          <w:lang w:eastAsia="pt-BR"/>
        </w:rPr>
        <w:t>A origem da Lei Maria da Penha (2006) está diretamente relacionada à história de Maria da Penha Maia Fernandes, vítima de reiteradas agressões por parte de seu então marido, culminando em duas tentativas de homicídio. Diante da ausência de uma resposta eficaz por parte da justiça brasileira, o caso foi submetido à Comissão Interamericana de Direitos Humanos, que responsabilizou o Estado brasileiro por negligência e omissão no tratamento da violência doméstica.</w:t>
      </w:r>
    </w:p>
    <w:p w:rsidR="009D60B7" w:rsidRDefault="00425C09">
      <w:pPr>
        <w:spacing w:beforeAutospacing="1" w:afterAutospacing="1" w:line="360" w:lineRule="auto"/>
        <w:ind w:firstLine="1134"/>
        <w:contextualSpacing/>
        <w:jc w:val="both"/>
        <w:rPr>
          <w:rFonts w:ascii="Arial" w:hAnsi="Arial"/>
          <w:sz w:val="24"/>
          <w:szCs w:val="24"/>
        </w:rPr>
      </w:pPr>
      <w:r>
        <w:rPr>
          <w:rFonts w:ascii="Arial" w:eastAsia="Times New Roman" w:hAnsi="Arial" w:cs="Times New Roman"/>
          <w:sz w:val="24"/>
          <w:szCs w:val="24"/>
          <w:lang w:eastAsia="pt-BR"/>
        </w:rPr>
        <w:t>Como consequência dessa condenação internacional, o Brasil foi instado a adotar medidas concretas de enfrentamento à violência contra a mulher, o que resultou na criação da Lei Maria da Penha (2006).</w:t>
      </w:r>
    </w:p>
    <w:p w:rsidR="009D60B7" w:rsidRDefault="00425C09">
      <w:pPr>
        <w:spacing w:line="360" w:lineRule="auto"/>
        <w:ind w:firstLine="1134"/>
        <w:contextualSpacing/>
        <w:jc w:val="both"/>
        <w:rPr>
          <w:rFonts w:ascii="Arial" w:eastAsia="Times New Roman" w:hAnsi="Arial" w:cs="Times New Roman"/>
          <w:sz w:val="20"/>
          <w:szCs w:val="20"/>
          <w:lang w:eastAsia="pt-BR"/>
        </w:rPr>
      </w:pPr>
      <w:r>
        <w:rPr>
          <w:rFonts w:ascii="Arial" w:eastAsia="Times New Roman" w:hAnsi="Arial" w:cs="Times New Roman"/>
          <w:sz w:val="24"/>
          <w:szCs w:val="24"/>
          <w:lang w:eastAsia="pt-BR"/>
        </w:rPr>
        <w:lastRenderedPageBreak/>
        <w:t xml:space="preserve"> Conforme destaca Barsted (2011), essa legislação representa uma conquista histórica dos movimentos feministas, ao reconhecer a violência doméstica como violação de direitos humanos. No que se refere às medidas protetivas de urgência, a lei estabelece instrumentos essenciais para garantir a segurança da vítima, permitindo uma atuação mais célere do Estado diante de situações de risco. Dentre essas medidas, destacam-se o afastamento do agressor do lar, a proibição de contato com a vítima, a fixação de limite mínimo de distância e a suspensão do porte de armas.</w:t>
      </w:r>
    </w:p>
    <w:p w:rsidR="009D60B7" w:rsidRDefault="00425C09">
      <w:pPr>
        <w:pStyle w:val="SemEspaamento"/>
        <w:ind w:left="2275"/>
        <w:rPr>
          <w:rFonts w:cs="Times New Roman"/>
          <w:szCs w:val="20"/>
          <w:lang w:eastAsia="pt-BR"/>
        </w:rPr>
      </w:pPr>
      <w:r>
        <w:rPr>
          <w:rFonts w:cs="Times New Roman"/>
          <w:szCs w:val="20"/>
          <w:lang w:eastAsia="pt-BR"/>
        </w:rPr>
        <w:t>A luta pelo direito a uma vida sem violência, que possibilitou a aprovação da Lei Maria da Penha, em 2006, é um caso exemplar de exercício de uma cidadania ativa expressa no discurso e na atuação das feministas no espaço público. Sintetiza, também, a longa interlocução das feministas com os poderes legislativo e executivo e aponta para a necessidade de investimentos contínuos no diálogo com o poder judiciário e as demais instituições da justiça. (Barsted, 2011, p. 15)</w:t>
      </w:r>
    </w:p>
    <w:p w:rsidR="009D60B7" w:rsidRDefault="009D60B7">
      <w:pPr>
        <w:pStyle w:val="SemEspaamento"/>
        <w:ind w:left="2275"/>
        <w:rPr>
          <w:rFonts w:cs="Times New Roman"/>
          <w:szCs w:val="20"/>
          <w:lang w:eastAsia="pt-BR"/>
        </w:rPr>
      </w:pP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Além disso, a legislação ampliou o reconhecimento das diversas formas de violência. A violência psicológica, por exemplo, ganhou maior visibilidade, sendo posteriormente tipificada como crime pela Lei nº 14.188/2021. Esse tipo de violência envolve práticas como manipulação, humilhação, controle e o chamado </w:t>
      </w:r>
      <w:r>
        <w:rPr>
          <w:rFonts w:ascii="Arial" w:eastAsia="Times New Roman" w:hAnsi="Arial" w:cs="Times New Roman"/>
          <w:i/>
          <w:iCs/>
          <w:sz w:val="24"/>
          <w:szCs w:val="24"/>
          <w:lang w:eastAsia="pt-BR"/>
        </w:rPr>
        <w:t>gaslighting</w:t>
      </w:r>
      <w:r>
        <w:rPr>
          <w:rFonts w:ascii="Arial" w:eastAsia="Times New Roman" w:hAnsi="Arial" w:cs="Times New Roman"/>
          <w:sz w:val="24"/>
          <w:szCs w:val="24"/>
          <w:lang w:eastAsia="pt-BR"/>
        </w:rPr>
        <w:t>, que levam a vítima a questionar sua própria percepção da realidade e fragilizam sua autonomia emocional.</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Apesar dos avanços institucionais, a comprovação da violência psicológica ainda se apresenta como um desafio relevante, especialmente em razão da natureza imaterial de seus efeitos. Nesse contexto, o Poder Judiciário tem ampliado os critérios de valoração probatória, reconhecendo a importância do relato da vítima, bem como de laudos psicológicos, testemunhos e outros elementos capazes de demonstrar o dano sofrido.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Para além da violência psicológica, é necessário destacar que a violência doméstica se manifesta de forma ampla e, muitas vezes, simultânea. A violência física, por exemplo, caracteriza-se por qualquer conduta que ofenda a integridade corporal da mulher, sendo geralmente a mais visível, embora frequentemente seja precedida por outras formas mais sutis de agressão.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violência sexual, por sua vez, compreende atos que constranjam a mulher a manter ou participar de relação sexual não desejada, mediante violência, ameaça ou intimidação, afetando diretamente sua autonomia, dignidade e liberdade reprodutiva.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Já a violência patrimonial, frequentemente negligenciada, ocorre quando o agressor controla, retém ou destrói bens, valores e documentos da vítima, comprometendo sua independência financeira e dificultando o rompimento da relação </w:t>
      </w:r>
      <w:r>
        <w:rPr>
          <w:rFonts w:ascii="Arial" w:eastAsia="Times New Roman" w:hAnsi="Arial" w:cs="Times New Roman"/>
          <w:sz w:val="24"/>
          <w:szCs w:val="24"/>
          <w:lang w:eastAsia="pt-BR"/>
        </w:rPr>
        <w:lastRenderedPageBreak/>
        <w:t>abusiva.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Por sua vez, a violência moral manifesta-se por meio de práticas como calúnia, difamação e injúria, atingindo a honra e a reputação da mulher, com impactos significativos em sua vida social e psicológica.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Dessa forma, observa-se que a violência doméstica não se restringe a um único tipo de agressão, mas constitui um conjunto de práticas interligadas que sustentam relações de poder desiguais. Em muitos casos, essas violências se intensificam ao longo do tempo, revelando um padrão progressivo que tende ao agravamento.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Apesar dos avanços normativos, a efetividade das medidas protetivas ainda enfrenta desafios significativos. A insuficiência de fiscalização, a morosidade na atuação estatal e a ausência de suporte adequado às vítimas comprometem a eficácia da lei.</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Nesse contexto, diversos casos demonstram que, mesmo diante da concessão de medidas protetivas, a violência pode persistir e se intensificar. Isso evidencia que a atuação estatal, em muitos casos, ocorre de forma tardia, não sendo capaz de interromper o ciclo de violência.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Diante dessa realidade, impõe-se uma reflexão crítica acerca do papel do sistema de justiça: trata-se apenas de um conjunto de normas formalmente instituídas ou de um instrumento efetivo de proteção aos direitos fundamentais das mulheres? Questionamento que será respondido na seção a seguir.</w:t>
      </w:r>
    </w:p>
    <w:p w:rsidR="009D60B7" w:rsidRDefault="009D60B7">
      <w:pPr>
        <w:spacing w:line="360" w:lineRule="auto"/>
        <w:jc w:val="both"/>
        <w:rPr>
          <w:rFonts w:ascii="Arial" w:eastAsia="Times New Roman" w:hAnsi="Arial" w:cs="Times New Roman"/>
          <w:sz w:val="20"/>
          <w:szCs w:val="20"/>
          <w:lang w:eastAsia="pt-BR"/>
        </w:rPr>
      </w:pPr>
    </w:p>
    <w:p w:rsidR="009D60B7" w:rsidRPr="007E5FEA" w:rsidRDefault="00425C09" w:rsidP="006D53EF">
      <w:pPr>
        <w:pStyle w:val="Ttulo1"/>
        <w:numPr>
          <w:ilvl w:val="0"/>
          <w:numId w:val="2"/>
        </w:numPr>
        <w:tabs>
          <w:tab w:val="left" w:pos="220"/>
          <w:tab w:val="left" w:pos="440"/>
        </w:tabs>
        <w:spacing w:before="0" w:line="360" w:lineRule="auto"/>
        <w:jc w:val="both"/>
        <w:rPr>
          <w:rFonts w:ascii="Arial" w:hAnsi="Arial" w:cs="Times New Roman"/>
          <w:b/>
          <w:sz w:val="24"/>
          <w:szCs w:val="24"/>
        </w:rPr>
      </w:pPr>
      <w:r w:rsidRPr="007E5FEA">
        <w:rPr>
          <w:rStyle w:val="Forte1"/>
          <w:rFonts w:ascii="Arial" w:hAnsi="Arial" w:cs="Times New Roman"/>
          <w:b w:val="0"/>
          <w:color w:val="000000" w:themeColor="dark1"/>
          <w:sz w:val="24"/>
          <w:szCs w:val="24"/>
        </w:rPr>
        <w:t>FEMINICÍDIO: CONSTRUÇÕES TEÓRICAS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Diante das limitações observadas na atuação do sistema de justiça na proteção das mulheres, torna-se necessário aprofundar a análise do feminicídio, compreendido como a forma mais extrema da violência de gênero, resultante de um processo contínuo de agressões que, em muitos casos, não são interrompidas de maneira eficaz pelo Estado (Saffioti, 2015; Lagarde, 2006).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compreensão do feminicídio está diretamente relacionada às estruturas históricas de desigualdade de gênero anteriormente discutidas, especialmente no que se refere à consolidação do patriarcado. Nesse sentido, não se pretende retomar tais fundamentos em sua integralidade, mas evidenciar como essas estruturas se materializam na violência letal contra a mulher.</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O feminicídio configura-se como o assassinato de mulheres em razão de sua condição feminina, inserindo-se em um contexto de desigualdades estruturais. Conforme destaca Saffioti (2015), a violência de gênero é expressão de relações de poder historicamente desiguais, o que evidencia que tais práticas não são ocasionais, mas </w:t>
      </w:r>
      <w:r>
        <w:rPr>
          <w:rFonts w:ascii="Arial" w:eastAsia="Times New Roman" w:hAnsi="Arial" w:cs="Times New Roman"/>
          <w:sz w:val="24"/>
          <w:szCs w:val="24"/>
          <w:lang w:eastAsia="pt-BR"/>
        </w:rPr>
        <w:lastRenderedPageBreak/>
        <w:t>socialmente construídas.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As estruturas patriarcais manifestam-se, na contemporaneidade, por meio de relações marcadas pelo controle, pela dominação e pela desigualdade. Nesse contexto, a violência tende a se desenvolver de forma progressiva, iniciando-se, muitas vezes, por práticas sutis e evoluindo para formas mais graves, podendo culminar no feminicídio (DIAS, 2019).</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naturalização dessas práticas está relacionada à forma como a sociedade constrói e reproduz papéis de gênero. Bourdieu (2012) aponta que a dominação masculina se encontra incorporada tanto nas estruturas sociais quanto nos esquemas mentais, contribuindo para a perpetuação dessas desigualdades.</w:t>
      </w:r>
    </w:p>
    <w:p w:rsidR="009D60B7" w:rsidRDefault="00425C09">
      <w:pPr>
        <w:spacing w:line="360" w:lineRule="auto"/>
        <w:ind w:firstLine="840"/>
        <w:contextualSpacing/>
        <w:jc w:val="both"/>
        <w:rPr>
          <w:rFonts w:ascii="Arial" w:eastAsia="Times New Roman" w:hAnsi="Arial" w:cs="Times New Roman"/>
          <w:sz w:val="24"/>
          <w:szCs w:val="24"/>
          <w:lang w:eastAsia="pt-BR"/>
        </w:rPr>
      </w:pPr>
      <w:r>
        <w:rPr>
          <w:rFonts w:ascii="Arial" w:eastAsia="Times New Roman" w:hAnsi="Arial" w:cs="Times New Roman"/>
          <w:sz w:val="24"/>
          <w:szCs w:val="24"/>
          <w:lang w:eastAsia="pt-BR"/>
        </w:rPr>
        <w:t>A construção do conceito de feminicídio emerge das lutas feministas, que passaram a identificar essas mortes como resultado de uma violência sistemática. Nesse sentido, Lagarde (2006, p. 221) define o feminicídio como “um conjunto de crimes de ódio contra as mulheres, que implicam violação de seus direitos humanos”, complementando:</w:t>
      </w:r>
      <w:r w:rsidRPr="00761183">
        <w:rPr>
          <w:rFonts w:ascii="Arial" w:eastAsia="Times New Roman" w:hAnsi="Arial" w:cs="Times New Roman"/>
          <w:sz w:val="24"/>
          <w:szCs w:val="24"/>
          <w:lang w:val="pt-BR" w:eastAsia="pt-BR"/>
        </w:rPr>
        <w:t xml:space="preserve"> “</w:t>
      </w:r>
      <w:r>
        <w:rPr>
          <w:rFonts w:ascii="Arial" w:eastAsia="Times New Roman" w:hAnsi="Arial" w:cs="Times New Roman"/>
          <w:sz w:val="24"/>
          <w:szCs w:val="24"/>
          <w:lang w:eastAsia="pt-BR"/>
        </w:rPr>
        <w:t>O feminicídio ocorre quando as condições históricas geram práticas sociais que permitem atentados violentos contra a integridade, a saúde, as liberdades e a vida das mulheres</w:t>
      </w:r>
      <w:r w:rsidRPr="00761183">
        <w:rPr>
          <w:rFonts w:ascii="Arial" w:eastAsia="Times New Roman" w:hAnsi="Arial" w:cs="Times New Roman"/>
          <w:sz w:val="24"/>
          <w:szCs w:val="24"/>
          <w:lang w:val="pt-BR" w:eastAsia="pt-BR"/>
        </w:rPr>
        <w:t>”</w:t>
      </w:r>
      <w:r>
        <w:rPr>
          <w:rFonts w:ascii="Arial" w:eastAsia="Times New Roman" w:hAnsi="Arial" w:cs="Times New Roman"/>
          <w:sz w:val="24"/>
          <w:szCs w:val="24"/>
          <w:lang w:eastAsia="pt-BR"/>
        </w:rPr>
        <w:t xml:space="preserve"> (Lagarde, 2006, p. 233).</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Essa compreensão evidencia que o feminicídio não é um fato isolado, mas o ápice de um ciclo de violências que se desenvolve ao longo do tempo. No Brasil, o feminicídio foi inicialmente incorporado ao ordenamento jurídico pela Lei nº 13.104 de 2015, como qualificadora do homicídio, sendo posteriormente transformado em tipo penal autônomo pela Lei nº 14.994 de 2024, que introduziu o art. 121-A no Código Penal (1940). </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Considera-se feminicídio o assassinato de mulher por razões da condição do sexo feminino, especialmente quando envolve violência doméstica e familiar ou menosprezo à condição de mulher. </w:t>
      </w:r>
      <w:r>
        <w:rPr>
          <w:rFonts w:ascii="Arial" w:hAnsi="Arial" w:cs="Times New Roman"/>
          <w:sz w:val="24"/>
          <w:szCs w:val="24"/>
        </w:rPr>
        <w:t>Atualmente, o crime de feminicídio está tipificado como crime autônomo, previsto no art. 121-A do Código Penal (1940), sendo incluído pela Lei nº 14.994, de 2024, não mais como qualificadora do homicídio.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Paralelamente, a Lei Maria da Penha (2006) consolidou mecanismos de proteção às mulheres em situação de violência doméstica, representando um marco no ordenamento jurídico brasileiro. Conforme destaca Dias (2019), essa legislação rompeu com a lógica de tratamento da violência como questão privada, atribuindo-lhe natureza de violação de direitos humanos.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No plano internacional, a Convenção de Belém do Pará (1994) reforça o dever </w:t>
      </w:r>
      <w:r>
        <w:rPr>
          <w:rFonts w:ascii="Arial" w:eastAsia="Times New Roman" w:hAnsi="Arial" w:cs="Times New Roman"/>
          <w:sz w:val="24"/>
          <w:szCs w:val="24"/>
          <w:lang w:eastAsia="pt-BR"/>
        </w:rPr>
        <w:lastRenderedPageBreak/>
        <w:t>do Estado de prevenir, punir e erradicar a violência contra a mulher, reconhecendo-a como violação de direitos fundamentais.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Apesar desses avanços normativos, a efetividade da proteção ainda enfrenta desafios significativos, especialmente diante da persistência de uma cultura de culpabilização da vítima e da insuficiência das políticas públicas.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Nesse contexto, o conceito de ciclo da violência, desenvolvido por Walker (1979), demonstra que a permanência da mulher em relações abusivas está associada a uma dinâmica complexa de alternância entre agressão e reconciliação, dificultando o rompimento do vínculo.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violência doméstica não ocorre de forma abrupta, mas se desenvolve gradualmente, sendo frequentemente precedida por práticas como controle emocional, isolamento e violência psicológica (Dias, 2019).</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família, por sua vez, pode exercer papel ambíguo, funcionando tanto como rede de apoio quanto como espaço de silenciamento da vítima, o que contribui para a perpetuação da violência.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No contexto brasileiro contemporâneo, o feminicídio permanece como um grave problema social. A maioria desses crimes ocorre no ambiente doméstico, sendo praticada por parceiros ou ex-parceiros, o que evidencia sua relação direta com o histórico de violência anterior.</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Esse cenário reforça que o feminicídio raramente é um evento isolado, mas o desfecho de um processo contínuo de violência, marcado por falhas na atuação estatal e pela ausência de suporte adequado às vítimas.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Nesse contexto, observa-se um recente movimento de fortalecimento do ordenamento jurídico brasileiro. Em abril de 2026, foram sancionados importantes leis vicaricídio Lei nº 15.384 (2026), Monitoramento Eletrônico de Agressores Lei nº 15.383 (2026), Proteção a Mulheres Indígenas Lei nº 15.382 (2026), voltadas ao enfrentamento da violência contra a mulher, ampliando os mecanismos de proteção e repressão.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Dentre essas inovações, destaca-se a obrigatoriedade do monitoramento eletrônico do agressor em casos de violência doméstica, com o uso de tornozeleira eletrônica e dispositivos de alerta para a vítima. Tal medida reforça a efetividade das medidas protetivas previstas na Lei Maria da Penha (2006), permitindo maior controle estatal e prevenção de novos episódios de violência.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Outro avanço relevante refere-se ao reconhecimento do chamado vicaricídio (2026) como forma de violência doméstica, com sua inclusão no rol dos crimes </w:t>
      </w:r>
      <w:r>
        <w:rPr>
          <w:rFonts w:ascii="Arial" w:eastAsia="Times New Roman" w:hAnsi="Arial" w:cs="Times New Roman"/>
          <w:sz w:val="24"/>
          <w:szCs w:val="24"/>
          <w:lang w:eastAsia="pt-BR"/>
        </w:rPr>
        <w:lastRenderedPageBreak/>
        <w:t>hediondos. Essa modalidade, caracterizada pela prática de violência contra pessoas próximas à vítima com o objetivo de causar sofrimento psicológico, evidencia a complexidade das formas contemporâneas de violência de gênero e a necessidade de respostas penais mais rigorosas.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Lei nº 15.383 (2026) de monitoramento eletrônico de agressores representa um fortalecimento das medidas protetivas no enfrentamento à violência doméstica, ao instituir o monitoramento eletrônico de agressores como mecanismo autônomo de proteção. Ao prever a obrigatoriedade do uso de tornozeleira eletrônica em situações de risco atual ou iminente à vida da mulher, bem como em casos de descumprimento de medidas anteriormente impostas, a norma amplia a capacidade preventiva do Estado, permitindo maior controle sobre a conduta do agressor e contribuindo para a efetividade das decisões judiciais. Trata-se de instrumento que reforça a atuação estatal para além do caráter meramente repressivo, priorizando a proteção da vítima e a prevenção de novas ocorrências de violência (Brasil, 2026).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Além disso, a instituição de políticas específicas voltadas à proteção de mulheres indígenas demonstra a incorporação de uma perspectiva interseccional no enfrentamento da violência, reconhecendo vulnerabilidades específicas decorrentes de fatores culturais, sociais e territoriais.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Essas inovações dialogam diretamente com o Código Penal brasileiro (1940), especialmente com os artigos 121 e 121-A, reforçando a proteção à vida e ampliando a compreensão jurídica do feminicídio.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No âmbito jurisprudencial, o Supremo Tribunal Federal firmou entendimento de que a violência doméstica não pode ser tratada como questão privada, destacando-se a ADI 4424 (2012) que reconheceu a possibilidade de atuação estatal independentemente da manifestação da vítima.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O Superior Tribunal de Justiça, por sua vez, tem consolidado entendimento no sentido da aplicação ampliada das medidas protetivas, inclusive em contextos que extrapolam a convivência doméstica, reforçando o caráter preventivo da Lei Maria da Penha (2006).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Ainda assim, a existência de normas mais rigorosas não garante, por si só, a eliminação da violência. A efetividade dessas medidas depende da atuação integrada das instituições e da implementação de políticas públicas eficazes.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Após a ocorrência do feminicídio, observa-se um processo de reconstrução discursiva da vítima, no qual sua identidade passa a ser reinterpretada socialmente. </w:t>
      </w:r>
      <w:r>
        <w:rPr>
          <w:rFonts w:ascii="Arial" w:eastAsia="Times New Roman" w:hAnsi="Arial" w:cs="Times New Roman"/>
          <w:sz w:val="24"/>
          <w:szCs w:val="24"/>
          <w:lang w:eastAsia="pt-BR"/>
        </w:rPr>
        <w:lastRenderedPageBreak/>
        <w:t>Muitas vezes, essa reconstrução ocorre de forma distorcida, atribuindo à vítima responsabilidade pela violência sofrida.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Nesse sentido, Butler (2015) destaca que nem todas as vidas são socialmente reconhecidas da mesma forma, o que contribui para a perpetuação de desigualdades e para a invisibilização da violência.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À luz do exposto, o feminicídio deve ser compreendido não apenas como um crime individual, mas como manifestação concreta de estruturas sociais desiguais. Seu enfrentamento exige não apenas a aplicação das normas jurídicas, mas também a efetivação de políticas públicas e uma transformação cultural capaz de romper com padrões que ainda naturalizam a violência contra a mulher.</w:t>
      </w:r>
    </w:p>
    <w:p w:rsidR="009D60B7" w:rsidRDefault="009D60B7">
      <w:pPr>
        <w:spacing w:line="360" w:lineRule="auto"/>
        <w:ind w:firstLine="840"/>
        <w:jc w:val="both"/>
        <w:rPr>
          <w:rFonts w:ascii="Arial" w:eastAsia="Times New Roman" w:hAnsi="Arial" w:cs="Times New Roman"/>
          <w:b/>
          <w:bCs/>
          <w:color w:val="000000"/>
          <w:sz w:val="24"/>
          <w:szCs w:val="24"/>
          <w:lang w:eastAsia="pt-BR"/>
        </w:rPr>
      </w:pPr>
    </w:p>
    <w:p w:rsidR="009D60B7" w:rsidRPr="007E5FEA" w:rsidRDefault="00425C09" w:rsidP="006D53EF">
      <w:pPr>
        <w:pStyle w:val="Ttulo1"/>
        <w:numPr>
          <w:ilvl w:val="0"/>
          <w:numId w:val="2"/>
        </w:numPr>
        <w:spacing w:before="0" w:line="360" w:lineRule="auto"/>
        <w:jc w:val="both"/>
        <w:rPr>
          <w:rFonts w:ascii="Arial" w:hAnsi="Arial" w:cs="Times New Roman"/>
          <w:b/>
          <w:sz w:val="24"/>
          <w:szCs w:val="24"/>
        </w:rPr>
      </w:pPr>
      <w:r w:rsidRPr="007E5FEA">
        <w:rPr>
          <w:rStyle w:val="Forte1"/>
          <w:rFonts w:ascii="Arial" w:hAnsi="Arial" w:cs="Times New Roman"/>
          <w:b w:val="0"/>
          <w:color w:val="000000" w:themeColor="dark1"/>
          <w:sz w:val="24"/>
          <w:szCs w:val="24"/>
        </w:rPr>
        <w:t xml:space="preserve">ESTUDO DE CASOS: ENTRE A JUSTIÇA E O PROCESSO </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análise dos casos concretos permite compreender, de forma mais precisa, como a violência doméstica se desenvolve e pode evoluir para o feminicídio. Em relações marcadas por ruptura conjugal, especialmente em contextos de separação, observa-se o agravamento de comportamentos possessivos e a intensificação do controle por parte do agressor, o que pode culminar em desfechos fatais.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Nesse contexto, destaca-se o caso ocorrido em 28 de março de 2024, na cidade de Anápolis (GO), no qual uma empresária foi morta a tiros dentro do estabelecimento comercial do qual era proprietária juntamente com o ex-companheiro (G1 GOIÁS, 2024). De acordo com a reportagem, o autor efetuou disparos de arma de fogo à queima-roupa contra a vítima, em um momento previamente escolhido, aguardando a saída dos funcionários para reduzir a possibilidade de intervenção de terceiros (G1 GOIÁS, 2024).</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Na sequência, dirigiu-se ao escritório onde a vítima se encontrava e, sem qualquer possibilidade de defesa, realizou os disparos que resultaram em sua morte, evidenciando não apenas a violência extrema do ato, mas também a premeditação da conduta (G1 GOIÁS, 2024).</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Somente após período considerável, o acusado foi submetido a julgamento, sendo posteriormente condenado a 31 anos de prisão (G1 GOIÁS, 2026). Tal circunstância reforça a discussão acerca da morosidade do sistema de justiça e de sua atuação predominantemente reativa, e não preventiva, uma vez que a resposta estatal efetiva ocorreu apenas após a consumação do crime.</w:t>
      </w:r>
    </w:p>
    <w:p w:rsidR="009D60B7" w:rsidRDefault="00425C09">
      <w:pPr>
        <w:spacing w:line="360" w:lineRule="auto"/>
        <w:ind w:firstLine="840"/>
        <w:jc w:val="both"/>
        <w:rPr>
          <w:rFonts w:ascii="Arial" w:hAnsi="Arial"/>
          <w:sz w:val="24"/>
          <w:szCs w:val="24"/>
        </w:rPr>
      </w:pPr>
      <w:r>
        <w:rPr>
          <w:rFonts w:ascii="Arial" w:eastAsia="Times New Roman" w:hAnsi="Arial" w:cs="Times New Roman"/>
          <w:sz w:val="24"/>
          <w:szCs w:val="24"/>
          <w:lang w:eastAsia="pt-BR"/>
        </w:rPr>
        <w:t xml:space="preserve">Diante disso, impõe-se uma reflexão crítica: é necessário que o crime se consuma para que haja uma resposta efetiva do Estado? Onde estão as falhas no </w:t>
      </w:r>
      <w:r>
        <w:rPr>
          <w:rFonts w:ascii="Arial" w:eastAsia="Times New Roman" w:hAnsi="Arial" w:cs="Times New Roman"/>
          <w:sz w:val="24"/>
          <w:szCs w:val="24"/>
          <w:lang w:eastAsia="pt-BR"/>
        </w:rPr>
        <w:lastRenderedPageBreak/>
        <w:t>sistema de proteção? Tais questionamentos são fundamentais para repensar as políticas públicas e os mecanismos de prevenção, a fim de evitar que novos casos integrem as estatísticas crescentes de violência contra a mulher.</w:t>
      </w:r>
    </w:p>
    <w:p w:rsidR="009D60B7" w:rsidRDefault="00425C09">
      <w:pPr>
        <w:spacing w:line="360" w:lineRule="auto"/>
        <w:ind w:firstLine="840"/>
        <w:jc w:val="both"/>
        <w:rPr>
          <w:rFonts w:ascii="Arial" w:hAnsi="Arial"/>
          <w:sz w:val="24"/>
          <w:szCs w:val="24"/>
        </w:rPr>
      </w:pPr>
      <w:r>
        <w:rPr>
          <w:rFonts w:ascii="Arial" w:eastAsia="Times New Roman" w:hAnsi="Arial" w:cs="Times New Roman"/>
          <w:sz w:val="24"/>
          <w:szCs w:val="24"/>
          <w:lang w:eastAsia="pt-BR"/>
        </w:rPr>
        <w:t xml:space="preserve">Mais um caso de violência doméstica que enfatiza que o sistema é falho nas medidas adotadas e seus procedimentos a frente de casos como esse. </w:t>
      </w:r>
      <w:r>
        <w:rPr>
          <w:rFonts w:ascii="Arial" w:hAnsi="Arial" w:cs="Times New Roman"/>
          <w:sz w:val="24"/>
          <w:szCs w:val="24"/>
        </w:rPr>
        <w:t>De acordo com Soares (2026), “Vítima de violência doméstica desiste de medidas protetivas: ‘ele pode concretizar o que sempre quis, há tanto tempo: me matar’</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O segundo caso analisado refere-se à situação vivenciada por Carolina Câmara, advogada e vítima de violência doméstica, cuja história foi divulgada em reportagem do G1 Goiás. Conforme relatado, a vítima realizou mais de doze denúncias contra o ex-companheiro, evidenciando um histórico contínuo de agressões e risco à sua integridade física e psicológica (G1 GOIÁS, 2026).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Em um dos episódios mais graves, após um ataque de fúria por parte do agressor, Carolina precisou ser socorrida por pessoas próximas e encaminhada ao Instituto Médico Legal, onde o exame de corpo de delito constatou diversas lesões pelo corpo. Apesar da gravidade dos fatos, o agressor foi inicialmente preso, mas posteriormente colocado em liberdade para responder ao processo, o que reforça a percepção de fragilidade na atuação estatal diante de situações de violência doméstica (G1 GOIÁS, 2026).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No referido caso, foram determinadas medidas protetivas, como a utilização de tornozeleira eletrônica pelo agressor e a disponibilização do chamado “botão do pânico” para a vítima, instrumentos que, em tese, deveriam garantir maior segurança e resposta imediata do Estado. Contudo, conforme relato da própria vítima, tais mecanismos mostraram-se ineficazes na prática. Segundo Carolina Câmara, o dispositivo foi acionado diversas vezes, mais de cinquenta ocorrências, sendo que, em apenas uma delas, houve comparecimento da autoridade policial.</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Ainda de acordo com a vítima, a resposta institucional revelou-se insuficiente e, por vezes, desestimuladora, tendo sido orientada a manter a tranquilidade diante das ameaças, além de relatos de solicitações para que evitasse o uso do dispositivo em razão de incômodos sonoros. Tal postura evidencia não apenas falhas operacionais, mas também uma preocupante ausência de acolhimento adequado em situações de evidente risco.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Diante da repetição dos episódios de violência e da ausência de respostas efetivas, a vítima optou por desistir da ação judicial, por não encontrar amparo concreto </w:t>
      </w:r>
      <w:r>
        <w:rPr>
          <w:rFonts w:ascii="Arial" w:eastAsia="Times New Roman" w:hAnsi="Arial" w:cs="Times New Roman"/>
          <w:sz w:val="24"/>
          <w:szCs w:val="24"/>
          <w:lang w:eastAsia="pt-BR"/>
        </w:rPr>
        <w:lastRenderedPageBreak/>
        <w:t>nas medidas protetivas que lhe foram asseguradas. Esse cenário revela um quadro de vulnerabilidade agravada, no qual a mulher, mesmo recorrendo aos instrumentos legais disponíveis, permanece desprotegida.</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O caso evidencia, de forma clara, fragilidades na atuação estatal, especialmente no que se refere à efetividade das medidas de proteção e à capacidade de resposta diante de situações de risco iminente. Mais do que um episódio isolado, trata-se de um reflexo de um problema estrutural, que contribui para o enfraquecimento da confiança das vítimas nas instituições e, consequentemente, para a perpetuação do ciclo de violência. Senão vejamos:</w:t>
      </w:r>
    </w:p>
    <w:p w:rsidR="009D60B7" w:rsidRDefault="00425C09">
      <w:pPr>
        <w:spacing w:line="360" w:lineRule="auto"/>
        <w:contextualSpacing/>
        <w:jc w:val="both"/>
        <w:rPr>
          <w:rFonts w:ascii="Arial" w:hAnsi="Arial"/>
          <w:sz w:val="20"/>
          <w:szCs w:val="20"/>
        </w:rPr>
      </w:pPr>
      <w:r>
        <w:rPr>
          <w:rFonts w:ascii="Arial" w:hAnsi="Arial"/>
          <w:noProof/>
          <w:sz w:val="20"/>
          <w:szCs w:val="20"/>
        </w:rPr>
        <w:drawing>
          <wp:inline distT="0" distB="0" distL="0" distR="0">
            <wp:extent cx="5481955" cy="2817495"/>
            <wp:effectExtent l="0" t="0" r="4445" b="1905"/>
            <wp:docPr id="2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m 2"/>
                    <pic:cNvPicPr>
                      <a:picLocks noChangeAspect="1" noChangeArrowheads="1"/>
                    </pic:cNvPicPr>
                  </pic:nvPicPr>
                  <pic:blipFill>
                    <a:blip r:embed="rId174"/>
                    <a:stretch>
                      <a:fillRect/>
                    </a:stretch>
                  </pic:blipFill>
                  <pic:spPr>
                    <a:xfrm>
                      <a:off x="0" y="0"/>
                      <a:ext cx="5481955" cy="2817495"/>
                    </a:xfrm>
                    <a:prstGeom prst="rect">
                      <a:avLst/>
                    </a:prstGeom>
                    <a:noFill/>
                  </pic:spPr>
                </pic:pic>
              </a:graphicData>
            </a:graphic>
          </wp:inline>
        </w:drawing>
      </w:r>
    </w:p>
    <w:p w:rsidR="009D60B7" w:rsidRDefault="00425C09">
      <w:pPr>
        <w:spacing w:line="360" w:lineRule="auto"/>
        <w:contextualSpacing/>
        <w:jc w:val="both"/>
      </w:pPr>
      <w:r>
        <w:rPr>
          <w:rStyle w:val="Forte1"/>
          <w:rFonts w:ascii="Arial" w:hAnsi="Arial" w:cs="Times New Roman"/>
          <w:sz w:val="20"/>
          <w:szCs w:val="20"/>
        </w:rPr>
        <w:t xml:space="preserve">Figura 1 </w:t>
      </w:r>
    </w:p>
    <w:p w:rsidR="009D60B7" w:rsidRDefault="00425C09">
      <w:pPr>
        <w:spacing w:line="360" w:lineRule="auto"/>
        <w:ind w:right="-1"/>
        <w:contextualSpacing/>
        <w:jc w:val="both"/>
      </w:pPr>
      <w:r>
        <w:rPr>
          <w:rStyle w:val="Forte1"/>
          <w:rFonts w:ascii="Arial" w:hAnsi="Arial" w:cs="Times New Roman"/>
          <w:sz w:val="20"/>
          <w:szCs w:val="20"/>
        </w:rPr>
        <w:t>Fonte:</w:t>
      </w:r>
      <w:r>
        <w:rPr>
          <w:rFonts w:ascii="Arial" w:hAnsi="Arial" w:cs="Times New Roman"/>
          <w:sz w:val="20"/>
          <w:szCs w:val="20"/>
        </w:rPr>
        <w:t xml:space="preserve"> Elaboração própria do autor com base em dados do Fórum Brasileiro de Segurança Pública (2026) e reportagens da CNN Brasil (2026) e G1 Goiás (2026).</w:t>
      </w:r>
    </w:p>
    <w:p w:rsidR="009D60B7" w:rsidRDefault="00425C09">
      <w:pPr>
        <w:tabs>
          <w:tab w:val="left" w:pos="1752"/>
          <w:tab w:val="left" w:pos="2592"/>
        </w:tabs>
        <w:spacing w:line="360" w:lineRule="auto"/>
        <w:contextualSpacing/>
        <w:jc w:val="both"/>
        <w:rPr>
          <w:rFonts w:ascii="Arial" w:hAnsi="Arial"/>
          <w:sz w:val="20"/>
          <w:szCs w:val="20"/>
        </w:rPr>
      </w:pPr>
      <w:r>
        <w:rPr>
          <w:rFonts w:ascii="Arial" w:hAnsi="Arial" w:cs="Times New Roman"/>
          <w:sz w:val="20"/>
          <w:szCs w:val="20"/>
        </w:rPr>
        <w:tab/>
      </w:r>
      <w:r>
        <w:rPr>
          <w:rFonts w:ascii="Arial" w:hAnsi="Arial" w:cs="Times New Roman"/>
          <w:sz w:val="20"/>
          <w:szCs w:val="20"/>
        </w:rPr>
        <w:tab/>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Corroborando esse cenário, dados publicados em 08 de março de 2026 pela CNN Brasil, com base em levantamento do Fórum Brasileiro de Segurança Pública, indicam que o país registrou o maior número de feminicídios dos últimos dez anos, com 1.568 mulheres assassinadas em 2025, representando um aumento de 4,7% em relação ao ano anterior. Tais números evidenciam que, apesar dos avanços legislativos, ainda há desafios significativos na efetivação das políticas públicas de proteção às mulheres.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A análise dos dados referentes à última década revela um cenário preocupante e persistente de violência letal contra a mulher no Brasil. Estima-se que aproximadamente 13.703 mulheres tenham sido vítimas de feminicídio no país nesse período, número que, para além de sua expressividade estatística, representa histórias interrompidas, famílias desestruturadas e vidas marcadas por um ciclo de violência que </w:t>
      </w:r>
      <w:r>
        <w:rPr>
          <w:rFonts w:ascii="Arial" w:eastAsia="Times New Roman" w:hAnsi="Arial" w:cs="Times New Roman"/>
          <w:sz w:val="24"/>
          <w:szCs w:val="24"/>
          <w:lang w:eastAsia="pt-BR"/>
        </w:rPr>
        <w:lastRenderedPageBreak/>
        <w:t>não foi devidamente interrompido pelo Estado.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No âmbito estadual, a realidade não se mostra diferente. De acordo com reportagem publicada pelo portal G1 Goiás, os casos de feminicídio apresentaram crescimento de 6% no ano de 2025, passando de 56 para 59 ocorrências. O dado se torna ainda mais alarmante quando analisado em conjunto com a redução de outros índices de criminalidade no estado, evidenciando que a violência contra a mulher segue em direção oposta às demais estatísticas (G1 GOIÁS, 2026).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Ao ampliar o recorte temporal, observa-se que, entre os anos de 2018 e 2025, houve um aumento expressivo de 64% nos casos de feminicídio em Goiás, passando de 36 para 59 registros confirmados, o que reforça a insuficiência das políticas públicas existentes diante da complexidade do problema. (G1 GOIÁS, 2026). Nesse contexto, a análise de especialistas contribui para a compreensão das limitações do modelo atual de segurança pública. Conforme aponta Macedo (2026):</w:t>
      </w:r>
    </w:p>
    <w:p w:rsidR="009D60B7" w:rsidRDefault="009D60B7">
      <w:pPr>
        <w:spacing w:beforeAutospacing="1" w:afterAutospacing="1" w:line="360" w:lineRule="auto"/>
        <w:ind w:left="2268"/>
        <w:contextualSpacing/>
        <w:jc w:val="both"/>
        <w:rPr>
          <w:rFonts w:ascii="Arial" w:eastAsia="Times New Roman" w:hAnsi="Arial" w:cs="Times New Roman"/>
          <w:sz w:val="20"/>
          <w:szCs w:val="20"/>
          <w:lang w:eastAsia="pt-BR"/>
        </w:rPr>
      </w:pPr>
    </w:p>
    <w:p w:rsidR="009D60B7" w:rsidRDefault="00425C09">
      <w:pPr>
        <w:ind w:left="2275"/>
        <w:contextualSpacing/>
        <w:jc w:val="both"/>
        <w:rPr>
          <w:rFonts w:ascii="Arial" w:hAnsi="Arial"/>
          <w:sz w:val="20"/>
          <w:szCs w:val="20"/>
        </w:rPr>
      </w:pPr>
      <w:r>
        <w:rPr>
          <w:rFonts w:ascii="Arial" w:eastAsia="Times New Roman" w:hAnsi="Arial" w:cs="Times New Roman"/>
          <w:sz w:val="20"/>
          <w:szCs w:val="20"/>
          <w:lang w:eastAsia="pt-BR"/>
        </w:rPr>
        <w:t xml:space="preserve">Os números evidenciam limites claros das políticas tradicionais de segurança pública, que têm foco em crimes como roubos e homicídios, mas não conseguem conter a violência contra mulheres. Nos casos de feminicídio e crimes sexuais, o ambiente doméstico continua sendo o mais perigoso para mulheres e meninas, cenário que ficou ainda mais evidente durante a pandemia. (Macedo, 2026, </w:t>
      </w:r>
      <w:r>
        <w:rPr>
          <w:rFonts w:ascii="Arial" w:eastAsia="Times New Roman" w:hAnsi="Arial" w:cs="Times New Roman"/>
          <w:i/>
          <w:sz w:val="20"/>
          <w:szCs w:val="20"/>
          <w:lang w:eastAsia="pt-BR"/>
        </w:rPr>
        <w:t>online</w:t>
      </w:r>
      <w:r>
        <w:rPr>
          <w:rFonts w:ascii="Arial" w:eastAsia="Times New Roman" w:hAnsi="Arial" w:cs="Times New Roman"/>
          <w:sz w:val="20"/>
          <w:szCs w:val="20"/>
          <w:lang w:eastAsia="pt-BR"/>
        </w:rPr>
        <w:t>).</w:t>
      </w:r>
    </w:p>
    <w:p w:rsidR="009D60B7" w:rsidRDefault="009D60B7">
      <w:pPr>
        <w:spacing w:beforeAutospacing="1" w:afterAutospacing="1" w:line="360" w:lineRule="auto"/>
        <w:ind w:left="2268" w:firstLine="709"/>
        <w:contextualSpacing/>
        <w:jc w:val="both"/>
        <w:rPr>
          <w:rFonts w:ascii="Arial" w:eastAsia="Times New Roman" w:hAnsi="Arial" w:cs="Times New Roman"/>
          <w:sz w:val="20"/>
          <w:szCs w:val="20"/>
          <w:lang w:eastAsia="pt-BR"/>
        </w:rPr>
      </w:pP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reflexão apresentada evidencia que a violência de gênero exige abordagens específicas, que ultrapassem o modelo tradicional de enfrentamento da criminalidade. Diferentemente de outros crimes, o feminicídio está profundamente relacionado a dinâmicas privadas, emocionais e estruturais, o que demanda respostas mais complexas por parte do Estado.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Diante desse cenário, torna-se evidente que o problema do feminicídio não pode ser compreendido apenas sob a ótica da criminalidade comum, mas como uma questão estrutural que exige intervenções integradas. Assim, a análise dos dados apresentados não apenas evidencia a gravidade da situação, mas também aponta para a urgência de construção de caminhos concretos de enfrentamento, os quais serão abordados a seguir.</w:t>
      </w:r>
    </w:p>
    <w:p w:rsidR="009D60B7" w:rsidRDefault="009D60B7">
      <w:pPr>
        <w:spacing w:line="360" w:lineRule="auto"/>
        <w:jc w:val="both"/>
        <w:rPr>
          <w:rFonts w:ascii="Arial" w:eastAsia="Times New Roman" w:hAnsi="Arial" w:cs="Times New Roman"/>
          <w:sz w:val="20"/>
          <w:szCs w:val="20"/>
          <w:lang w:eastAsia="pt-BR"/>
        </w:rPr>
      </w:pPr>
    </w:p>
    <w:p w:rsidR="009D60B7" w:rsidRDefault="006D53EF">
      <w:pPr>
        <w:spacing w:line="360" w:lineRule="auto"/>
        <w:jc w:val="both"/>
        <w:rPr>
          <w:rFonts w:ascii="Arial" w:hAnsi="Arial"/>
          <w:sz w:val="24"/>
          <w:szCs w:val="24"/>
        </w:rPr>
      </w:pPr>
      <w:r>
        <w:rPr>
          <w:rFonts w:ascii="Arial" w:hAnsi="Arial" w:cs="Times New Roman"/>
          <w:sz w:val="24"/>
          <w:szCs w:val="24"/>
        </w:rPr>
        <w:t>4</w:t>
      </w:r>
      <w:r w:rsidR="00425C09">
        <w:rPr>
          <w:rFonts w:ascii="Arial" w:hAnsi="Arial" w:cs="Times New Roman"/>
          <w:sz w:val="24"/>
          <w:szCs w:val="24"/>
        </w:rPr>
        <w:t>.1 Caminhos para o Enfrentamento do Feminicídio: Prevenção, Políticas Públicas e Medidas Sancionatórias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Diante desse cenário, o enfrentamento do feminicídio exige a superação de uma lógica exclusivamente repressiva, historicamente adotada pelo sistema de justiça, que atua, na maioria das vezes, apenas após a consumação da violência. </w:t>
      </w:r>
      <w:r>
        <w:rPr>
          <w:rFonts w:ascii="Arial" w:hAnsi="Arial" w:cs="Times New Roman"/>
          <w:sz w:val="24"/>
          <w:szCs w:val="24"/>
        </w:rPr>
        <w:t>(Saffioti, 2004)</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Torna-se imprescindível, portanto, a construção de estratégias preventivas e </w:t>
      </w:r>
      <w:r>
        <w:rPr>
          <w:rFonts w:ascii="Arial" w:eastAsia="Times New Roman" w:hAnsi="Arial" w:cs="Times New Roman"/>
          <w:sz w:val="24"/>
          <w:szCs w:val="24"/>
          <w:lang w:eastAsia="pt-BR"/>
        </w:rPr>
        <w:lastRenderedPageBreak/>
        <w:t xml:space="preserve">integradas, capazes de intervir nas fases iniciais do ciclo da violência, antes que este evolua para seu desfecho mais extremo. Nesse contexto, a prevenção assume papel central, não apenas como medida complementar, mas como eixo estruturante das políticas de enfrentamento à violência de gênero. </w:t>
      </w:r>
      <w:r>
        <w:rPr>
          <w:rFonts w:ascii="Arial" w:hAnsi="Arial" w:cs="Times New Roman"/>
          <w:sz w:val="24"/>
          <w:szCs w:val="24"/>
        </w:rPr>
        <w:t>(Brasil, 2011)</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A prevenção, nesse sentido, deve ser compreendida em sua dimensão educativa e cultural. A realização de palestras, campanhas educativas e programas de formação em escolas, universidades e comunidades constitui importante instrumento de transformação social. Tais iniciativas possibilitam não apenas a disseminação de informações, mas também a desconstrução de padrões culturais historicamente enraizados que naturalizam a violência contra a mulher. </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Ao abordar temas como respeito, igualdade de gênero, relacionamentos saudáveis e identificação de comportamentos abusivos, essas ações contribuem para a formação de uma consciência crítica coletiva, além de promover o reconhecimento precoce de sinais de violência, muitas vezes ignorados ou minimizados. </w:t>
      </w:r>
      <w:r>
        <w:rPr>
          <w:rFonts w:ascii="Arial" w:hAnsi="Arial" w:cs="Times New Roman"/>
          <w:sz w:val="24"/>
          <w:szCs w:val="24"/>
        </w:rPr>
        <w:t>(Brasil, 2013)</w:t>
      </w:r>
    </w:p>
    <w:p w:rsidR="009D60B7" w:rsidRDefault="00425C09">
      <w:pPr>
        <w:spacing w:line="360" w:lineRule="auto"/>
        <w:ind w:firstLine="840"/>
        <w:contextualSpacing/>
        <w:jc w:val="both"/>
        <w:rPr>
          <w:sz w:val="24"/>
          <w:szCs w:val="24"/>
        </w:rPr>
      </w:pPr>
      <w:r>
        <w:rPr>
          <w:rFonts w:ascii="Arial" w:eastAsia="Times New Roman" w:hAnsi="Arial" w:cs="Times New Roman"/>
          <w:sz w:val="24"/>
          <w:szCs w:val="24"/>
          <w:lang w:eastAsia="pt-BR"/>
        </w:rPr>
        <w:t xml:space="preserve">Além disso, a educação preventiva desempenha papel fundamental no fortalecimento da autonomia feminina, ao incentivar o conhecimento dos direitos e o acesso aos mecanismos de proteção disponíveis. Quando a mulher reconhece as primeiras manifestações de controle, manipulação ou violência psicológica, amplia-se a possibilidade de rompimento do ciclo abusivo ainda em suas fases iniciais, evitando a progressão para formas mais graves de agressão. </w:t>
      </w:r>
      <w:r>
        <w:rPr>
          <w:rFonts w:ascii="Arial" w:hAnsi="Arial" w:cs="Times New Roman"/>
          <w:sz w:val="24"/>
          <w:szCs w:val="24"/>
        </w:rPr>
        <w:t>(</w:t>
      </w:r>
      <w:r>
        <w:rPr>
          <w:rStyle w:val="whitespace-normal"/>
          <w:rFonts w:ascii="Arial" w:hAnsi="Arial" w:cs="Times New Roman"/>
          <w:sz w:val="24"/>
          <w:szCs w:val="24"/>
        </w:rPr>
        <w:t>Heleieth Saffioti</w:t>
      </w:r>
      <w:r>
        <w:rPr>
          <w:rFonts w:ascii="Arial" w:hAnsi="Arial" w:cs="Times New Roman"/>
          <w:sz w:val="24"/>
          <w:szCs w:val="24"/>
        </w:rPr>
        <w:t>, 2004).</w:t>
      </w:r>
      <w:r>
        <w:rPr>
          <w:rFonts w:ascii="Arial" w:eastAsia="Times New Roman" w:hAnsi="Arial" w:cs="Times New Roman"/>
          <w:sz w:val="24"/>
          <w:szCs w:val="24"/>
          <w:lang w:eastAsia="pt-BR"/>
        </w:rPr>
        <w:t xml:space="preserve"> </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Paralelamente às ações educativas, revela-se indispensável o fortalecimento das políticas públicas voltadas à proteção da mulher. Isso implica não apenas a criação de novas estruturas, mas, sobretudo, o aprimoramento e a efetivação das já existentes. </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ampliação de delegacias especializadas, casas de acolhimento, centros de referência e serviços de atendimento psicológico e jurídico é medida essencial para garantir respostas mais rápidas, humanizadas e eficazes diante de situações de risco. (Brasil,2006)</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No entanto, mais do que ampliar o número desses serviços, é necessário assegurar sua adequada estruturação, com profissionais capacitados e recursos suficientes para atender à demanda de forma contínua e eficiente.</w:t>
      </w:r>
    </w:p>
    <w:p w:rsidR="009D60B7" w:rsidRDefault="00425C09">
      <w:pPr>
        <w:spacing w:line="360" w:lineRule="auto"/>
        <w:ind w:firstLine="840"/>
        <w:contextualSpacing/>
        <w:jc w:val="both"/>
        <w:rPr>
          <w:sz w:val="24"/>
          <w:szCs w:val="24"/>
        </w:rPr>
      </w:pPr>
      <w:r>
        <w:rPr>
          <w:rFonts w:ascii="Arial" w:eastAsia="Times New Roman" w:hAnsi="Arial" w:cs="Times New Roman"/>
          <w:sz w:val="24"/>
          <w:szCs w:val="24"/>
          <w:lang w:eastAsia="pt-BR"/>
        </w:rPr>
        <w:t xml:space="preserve">Outro ponto relevante diz respeito à integração entre os diferentes órgãos e instituições que compõem a rede de proteção à mulher. A atuação isolada de cada setor, como polícia, judiciário, assistência social e saúde, tende a fragilizar a resposta estatal. Por isso, a articulação entre essas instâncias é fundamental para garantir um </w:t>
      </w:r>
      <w:r>
        <w:rPr>
          <w:rFonts w:ascii="Arial" w:eastAsia="Times New Roman" w:hAnsi="Arial" w:cs="Times New Roman"/>
          <w:sz w:val="24"/>
          <w:szCs w:val="24"/>
          <w:lang w:eastAsia="pt-BR"/>
        </w:rPr>
        <w:lastRenderedPageBreak/>
        <w:t>acompanhamento efetivo dos casos, evitando lacunas que possam colocar a vítima em situação de maior vulnerabilidade. (</w:t>
      </w:r>
      <w:r>
        <w:rPr>
          <w:rStyle w:val="whitespace-normal"/>
          <w:rFonts w:ascii="Arial" w:hAnsi="Arial" w:cs="Times New Roman"/>
          <w:sz w:val="24"/>
          <w:szCs w:val="24"/>
        </w:rPr>
        <w:t>Saffioti</w:t>
      </w:r>
      <w:r>
        <w:rPr>
          <w:rFonts w:ascii="Arial" w:hAnsi="Arial" w:cs="Times New Roman"/>
          <w:sz w:val="24"/>
          <w:szCs w:val="24"/>
        </w:rPr>
        <w:t>, 2004)</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No âmbito jurídico, embora as medidas protetivas de urgência representem um avanço significativo, sua efetividade ainda enfrenta limitações, especialmente no que se refere à fiscalização de seu cumprimento. </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Nesse sentido, torna-se relevante a adoção de mecanismos que ampliem o caráter dissuasório da legislação, conferindo maior rigor às consequências do descumprimento dessas medidas. A aplicação de sanções de natureza econômica, como multas imediatas em caso de violação das medidas protetivas, apresenta-se como alternativa viável, na medida em que impacta diretamente o agressor, funcionando como instrumento de coerção e prevenção.</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imposição de multas, associada a outras medidas, como o monitoramento eletrônico do agressor, pode contribuir significativamente para o fortalecimento da proteção à vítima, sobretudo quando aplicada de forma célere e efetiva. Nesse contexto, a responsabilização não deve se limitar ao aspecto penal, mas também incorporar mecanismos que desestimulem, de forma concreta, a reincidência da violência. (</w:t>
      </w:r>
      <w:r>
        <w:rPr>
          <w:rFonts w:ascii="Arial" w:hAnsi="Arial" w:cs="Times New Roman"/>
          <w:sz w:val="24"/>
          <w:szCs w:val="24"/>
        </w:rPr>
        <w:t>Saffioti, 2015)</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Ademais, é fundamental reconhecer que o enfrentamento do feminicídio não depende exclusivamente da atuação estatal, mas também do engajamento da sociedade. A mudança de padrões culturais, a valorização da igualdade de gênero e o rompimento com práticas que legitimam a violência são elementos indispensáveis para a construção de um ambiente social mais seguro para as mulheres.</w:t>
      </w:r>
    </w:p>
    <w:p w:rsidR="009D60B7" w:rsidRDefault="00425C09">
      <w:pPr>
        <w:spacing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Dessa forma, o enfrentamento do feminicídio exige uma atuação multidimensional, que articule educação, políticas públicas e mecanismos jurídicos eficazes. Apenas por meio dessa abordagem integrada será possível não apenas reduzir os índices de violência, mas, sobretudo, romper com o ciclo histórico de desigualdade e garantir a proteção efetiva das mulheres, assegurando-lhes o pleno exercício de seus direitos fundamentais.</w:t>
      </w:r>
    </w:p>
    <w:p w:rsidR="009D60B7" w:rsidRDefault="009D60B7">
      <w:pPr>
        <w:spacing w:line="360" w:lineRule="auto"/>
        <w:contextualSpacing/>
        <w:jc w:val="both"/>
        <w:rPr>
          <w:rFonts w:ascii="Arial" w:eastAsia="Times New Roman" w:hAnsi="Arial" w:cs="Times New Roman"/>
          <w:b/>
          <w:bCs/>
          <w:sz w:val="24"/>
          <w:szCs w:val="24"/>
          <w:lang w:eastAsia="pt-BR"/>
        </w:rPr>
      </w:pPr>
    </w:p>
    <w:p w:rsidR="009D60B7" w:rsidRPr="007E5FEA" w:rsidRDefault="00425C09">
      <w:pPr>
        <w:spacing w:line="360" w:lineRule="auto"/>
        <w:jc w:val="both"/>
        <w:rPr>
          <w:rFonts w:ascii="Arial" w:hAnsi="Arial"/>
          <w:bCs/>
          <w:sz w:val="24"/>
          <w:szCs w:val="24"/>
        </w:rPr>
      </w:pPr>
      <w:r w:rsidRPr="007E5FEA">
        <w:rPr>
          <w:rFonts w:ascii="Arial" w:eastAsia="Times New Roman" w:hAnsi="Arial" w:cs="Times New Roman"/>
          <w:bCs/>
          <w:sz w:val="24"/>
          <w:szCs w:val="24"/>
          <w:lang w:eastAsia="pt-BR"/>
        </w:rPr>
        <w:t>CONCLUSÃO</w:t>
      </w:r>
    </w:p>
    <w:p w:rsidR="009D60B7" w:rsidRDefault="00425C09">
      <w:pPr>
        <w:spacing w:beforeAutospacing="1" w:afterAutospacing="1"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 xml:space="preserve">O feminicídio não se configura como um fato isolado, mas como o resultado de um processo histórico e estrutural de desigualdade de gênero, sustentado por relações de poder que ainda persistem na sociedade contemporânea. Apesar dos avanços legislativos significativos, como a Lei Maria da Penha, a Lei do Feminicídio e a tipificação </w:t>
      </w:r>
      <w:r>
        <w:rPr>
          <w:rFonts w:ascii="Arial" w:eastAsia="Times New Roman" w:hAnsi="Arial" w:cs="Times New Roman"/>
          <w:sz w:val="24"/>
          <w:szCs w:val="24"/>
          <w:lang w:eastAsia="pt-BR"/>
        </w:rPr>
        <w:lastRenderedPageBreak/>
        <w:t>da violência psicológica, verifica-se que a existência de normas, por si só, não é suficiente para garantir a efetiva proteção das mulheres. (Dias, 2019)</w:t>
      </w:r>
      <w:r>
        <w:rPr>
          <w:rFonts w:ascii="Arial" w:eastAsia="Times New Roman" w:hAnsi="Arial" w:cs="Times New Roman"/>
          <w:sz w:val="24"/>
          <w:szCs w:val="24"/>
          <w:lang w:eastAsia="pt-BR"/>
        </w:rPr>
        <w:tab/>
      </w:r>
    </w:p>
    <w:p w:rsidR="009D60B7" w:rsidRDefault="00425C09">
      <w:pPr>
        <w:spacing w:beforeAutospacing="1" w:afterAutospacing="1"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 análise desenvolvida evidenciou que a violência doméstica se manifesta de forma gradual e, muitas vezes, invisível, evoluindo para desfechos trágicos que poderiam ser evitados mediante uma atuação estatal mais eficaz. As medidas protetivas de urgência, embora essenciais, ainda apresentam limitações quanto à sua fiscalização e efetividade, o que revela fragilidades institucionais no enfrentamento da violência. O estudo de caso analisado reforça essa realidade ao demonstrar que, mesmo diante de denúncias e intervenções prévias, não houve impedimento da consumação do crime.</w:t>
      </w:r>
    </w:p>
    <w:p w:rsidR="009D60B7" w:rsidRDefault="00425C09">
      <w:pPr>
        <w:spacing w:beforeAutospacing="1" w:afterAutospacing="1"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Ademais, o sistema de justiça ainda enfrenta desafios relevantes, como a persistência de práticas que, em determinados contextos, contribuem para a revitalização da mulher, bem como a necessidade de incorporação mais consistente da perspectiva de gênero nas decisões judiciais. Nesse sentido, a responsabilização do agressor, embora indispensável, não pode ser compreendida como resposta única, sendo imprescindível o fortalecimento de ações preventivas.</w:t>
      </w:r>
    </w:p>
    <w:p w:rsidR="009D60B7" w:rsidRDefault="00425C09">
      <w:pPr>
        <w:spacing w:beforeAutospacing="1" w:afterAutospacing="1" w:line="360" w:lineRule="auto"/>
        <w:ind w:firstLine="840"/>
        <w:contextualSpacing/>
        <w:jc w:val="both"/>
        <w:rPr>
          <w:rFonts w:ascii="Arial" w:hAnsi="Arial"/>
          <w:sz w:val="24"/>
          <w:szCs w:val="24"/>
        </w:rPr>
      </w:pPr>
      <w:r>
        <w:rPr>
          <w:rFonts w:ascii="Arial" w:eastAsia="Times New Roman" w:hAnsi="Arial" w:cs="Times New Roman"/>
          <w:sz w:val="24"/>
          <w:szCs w:val="24"/>
          <w:lang w:eastAsia="pt-BR"/>
        </w:rPr>
        <w:t>Dessa forma, concluiu-se que o enfrentamento da violência contra a mulher, especialmente em sua forma mais extrema, o feminicídio, exige uma atuação integrada entre Estado, sociedade e instituições, com investimentos contínuos em políticas públicas eficazes, mecanismos de monitoramento e controle, bem como em educação voltada à promoção da igualdade de gênero. Somente por meio de mudanças estruturais e culturais será possível romper o ciclo da violência e assegurar, de maneira plena, a dignidade, a segurança e o direito à vida das mulheres.</w:t>
      </w:r>
    </w:p>
    <w:p w:rsidR="009D60B7" w:rsidRDefault="009D60B7">
      <w:pPr>
        <w:spacing w:line="360" w:lineRule="auto"/>
        <w:jc w:val="both"/>
        <w:rPr>
          <w:rFonts w:ascii="Arial" w:hAnsi="Arial" w:cs="Times New Roman"/>
          <w:sz w:val="20"/>
          <w:szCs w:val="20"/>
          <w:lang w:eastAsia="pt-BR"/>
        </w:rPr>
      </w:pPr>
    </w:p>
    <w:p w:rsidR="009D60B7" w:rsidRPr="007E5FEA" w:rsidRDefault="00425C09">
      <w:pPr>
        <w:spacing w:line="360" w:lineRule="auto"/>
        <w:jc w:val="both"/>
        <w:rPr>
          <w:rFonts w:ascii="Arial" w:hAnsi="Arial"/>
          <w:sz w:val="24"/>
          <w:szCs w:val="24"/>
        </w:rPr>
      </w:pPr>
      <w:r w:rsidRPr="007E5FEA">
        <w:rPr>
          <w:rFonts w:ascii="Arial" w:hAnsi="Arial" w:cs="Times New Roman"/>
          <w:sz w:val="24"/>
          <w:szCs w:val="24"/>
        </w:rPr>
        <w:t>REFERÊNCIAS</w:t>
      </w:r>
    </w:p>
    <w:p w:rsidR="009D60B7" w:rsidRDefault="009D60B7">
      <w:pPr>
        <w:spacing w:line="360" w:lineRule="auto"/>
        <w:jc w:val="both"/>
        <w:rPr>
          <w:rFonts w:ascii="Arial" w:hAnsi="Arial" w:cs="Times New Roman"/>
          <w:sz w:val="20"/>
          <w:szCs w:val="20"/>
        </w:rPr>
      </w:pPr>
    </w:p>
    <w:p w:rsidR="009D60B7" w:rsidRDefault="00425C09" w:rsidP="007E5FEA">
      <w:pPr>
        <w:pStyle w:val="NormalWeb"/>
        <w:spacing w:beforeAutospacing="0" w:afterAutospacing="0"/>
        <w:rPr>
          <w:rFonts w:ascii="Arial" w:hAnsi="Arial" w:cs="Arial"/>
        </w:rPr>
      </w:pPr>
      <w:r>
        <w:rPr>
          <w:rFonts w:ascii="Arial" w:hAnsi="Arial" w:cs="Arial"/>
        </w:rPr>
        <w:t xml:space="preserve">BARSTED, Leila Linhares. </w:t>
      </w:r>
      <w:r>
        <w:rPr>
          <w:rStyle w:val="Forte1"/>
          <w:rFonts w:ascii="Arial" w:hAnsi="Arial" w:cs="Arial"/>
        </w:rPr>
        <w:t>Lei Maria da Penha: uma experiência bem-sucedida de advocacy feminista</w:t>
      </w:r>
      <w:r>
        <w:rPr>
          <w:rFonts w:ascii="Arial" w:hAnsi="Arial" w:cs="Arial"/>
        </w:rPr>
        <w:t xml:space="preserve">. 2011. Disponível em: </w:t>
      </w:r>
      <w:hyperlink r:id="rId175">
        <w:r>
          <w:rPr>
            <w:rStyle w:val="Hyperlink1"/>
            <w:rFonts w:ascii="Arial" w:hAnsi="Arial" w:cs="Arial"/>
          </w:rPr>
          <w:t>https://www.cnj.jus.br/wpcontent/uploads/2011/02/leila_linhares_barsted.pdf</w:t>
        </w:r>
      </w:hyperlink>
      <w:r>
        <w:rPr>
          <w:rFonts w:ascii="Arial" w:hAnsi="Arial" w:cs="Arial"/>
        </w:rPr>
        <w:t>. Acesso em: 10 abr. 2026.</w:t>
      </w:r>
    </w:p>
    <w:p w:rsidR="009D60B7" w:rsidRDefault="009D60B7" w:rsidP="007E5FEA">
      <w:pPr>
        <w:pStyle w:val="NormalWeb"/>
        <w:spacing w:beforeAutospacing="0" w:afterAutospacing="0"/>
        <w:rPr>
          <w:rFonts w:ascii="Arial" w:hAnsi="Arial" w:cs="Arial"/>
        </w:rPr>
      </w:pPr>
    </w:p>
    <w:p w:rsidR="009D60B7" w:rsidRDefault="00425C09" w:rsidP="007E5FEA">
      <w:pPr>
        <w:pStyle w:val="NormalWeb"/>
        <w:spacing w:beforeAutospacing="0" w:afterAutospacing="0"/>
        <w:rPr>
          <w:rFonts w:ascii="Arial" w:hAnsi="Arial" w:cs="Arial"/>
        </w:rPr>
      </w:pPr>
      <w:r>
        <w:rPr>
          <w:rFonts w:ascii="Arial" w:hAnsi="Arial" w:cs="Arial"/>
        </w:rPr>
        <w:t xml:space="preserve">BOURDIEU, Pierre. </w:t>
      </w:r>
      <w:r>
        <w:rPr>
          <w:rStyle w:val="Forte1"/>
          <w:rFonts w:ascii="Arial" w:hAnsi="Arial" w:cs="Arial"/>
        </w:rPr>
        <w:t>A dominação masculina</w:t>
      </w:r>
      <w:r>
        <w:rPr>
          <w:rFonts w:ascii="Arial" w:hAnsi="Arial" w:cs="Arial"/>
        </w:rPr>
        <w:t>. 12. ed. Rio de Janeiro: Bertrand Brasil, 2012.</w:t>
      </w:r>
    </w:p>
    <w:p w:rsidR="009D60B7" w:rsidRDefault="009D60B7" w:rsidP="007E5FEA">
      <w:pPr>
        <w:pStyle w:val="NormalWeb"/>
        <w:spacing w:beforeAutospacing="0" w:afterAutospacing="0"/>
        <w:rPr>
          <w:rFonts w:ascii="Arial" w:hAnsi="Arial" w:cs="Arial"/>
        </w:rPr>
      </w:pPr>
    </w:p>
    <w:p w:rsidR="009D60B7" w:rsidRDefault="00425C09" w:rsidP="007E5FEA">
      <w:pPr>
        <w:pStyle w:val="NormalWeb"/>
        <w:spacing w:beforeAutospacing="0" w:afterAutospacing="0"/>
        <w:rPr>
          <w:rFonts w:ascii="Arial" w:hAnsi="Arial" w:cs="Arial"/>
        </w:rPr>
      </w:pPr>
      <w:r>
        <w:rPr>
          <w:rFonts w:ascii="Arial" w:hAnsi="Arial" w:cs="Arial"/>
        </w:rPr>
        <w:t xml:space="preserve">BRASIL. </w:t>
      </w:r>
      <w:r>
        <w:rPr>
          <w:rStyle w:val="Forte1"/>
          <w:rFonts w:ascii="Arial" w:hAnsi="Arial" w:cs="Arial"/>
        </w:rPr>
        <w:t>Constituição (1988)</w:t>
      </w:r>
      <w:r>
        <w:rPr>
          <w:rFonts w:ascii="Arial" w:hAnsi="Arial" w:cs="Arial"/>
        </w:rPr>
        <w:t xml:space="preserve">. Constituição da República Federativa do Brasil. Brasília, DF: Senado Federal, 1988. Disponível em: </w:t>
      </w:r>
      <w:hyperlink r:id="rId176" w:tgtFrame="_new">
        <w:r>
          <w:rPr>
            <w:rStyle w:val="Hyperlink1"/>
            <w:rFonts w:ascii="Arial" w:hAnsi="Arial" w:cs="Arial"/>
          </w:rPr>
          <w:t>https://www.planalto.gov.br</w:t>
        </w:r>
      </w:hyperlink>
      <w:r>
        <w:rPr>
          <w:rFonts w:ascii="Arial" w:hAnsi="Arial" w:cs="Arial"/>
        </w:rPr>
        <w:t>. Acesso em: 10 abr. 2026.</w:t>
      </w:r>
    </w:p>
    <w:p w:rsidR="009D60B7" w:rsidRDefault="009D60B7" w:rsidP="007E5FEA">
      <w:pPr>
        <w:pStyle w:val="NormalWeb"/>
        <w:spacing w:beforeAutospacing="0" w:afterAutospacing="0"/>
        <w:rPr>
          <w:rFonts w:ascii="Arial" w:hAnsi="Arial" w:cs="Arial"/>
        </w:rPr>
      </w:pPr>
    </w:p>
    <w:p w:rsidR="009D60B7" w:rsidRDefault="00425C09" w:rsidP="007E5FEA">
      <w:pPr>
        <w:pStyle w:val="NormalWeb"/>
        <w:spacing w:beforeAutospacing="0" w:afterAutospacing="0"/>
        <w:rPr>
          <w:rFonts w:ascii="Arial" w:hAnsi="Arial" w:cs="Arial"/>
        </w:rPr>
      </w:pPr>
      <w:r>
        <w:rPr>
          <w:rFonts w:ascii="Arial" w:hAnsi="Arial" w:cs="Arial"/>
        </w:rPr>
        <w:t xml:space="preserve">BRASIL. </w:t>
      </w:r>
      <w:r>
        <w:rPr>
          <w:rStyle w:val="Forte1"/>
          <w:rFonts w:ascii="Arial" w:hAnsi="Arial" w:cs="Arial"/>
        </w:rPr>
        <w:t>Decreto-Lei nº 2.848, de 7 de dezembro de 1940</w:t>
      </w:r>
      <w:r>
        <w:rPr>
          <w:rFonts w:ascii="Arial" w:hAnsi="Arial" w:cs="Arial"/>
        </w:rPr>
        <w:t xml:space="preserve">. Código Penal. Brasília, DF: Presidência da República, 1940. Disponível em: </w:t>
      </w:r>
      <w:hyperlink r:id="rId177" w:tgtFrame="_new">
        <w:r>
          <w:rPr>
            <w:rStyle w:val="Hyperlink1"/>
            <w:rFonts w:ascii="Arial" w:hAnsi="Arial" w:cs="Arial"/>
          </w:rPr>
          <w:t>https://www.planalto.gov.br</w:t>
        </w:r>
      </w:hyperlink>
      <w:r>
        <w:rPr>
          <w:rFonts w:ascii="Arial" w:hAnsi="Arial" w:cs="Arial"/>
        </w:rPr>
        <w:t xml:space="preserve">. </w:t>
      </w:r>
      <w:r>
        <w:rPr>
          <w:rFonts w:ascii="Arial" w:hAnsi="Arial" w:cs="Arial"/>
        </w:rPr>
        <w:lastRenderedPageBreak/>
        <w:t>Acesso em: 10 abr. 2026.</w:t>
      </w:r>
    </w:p>
    <w:p w:rsidR="009D60B7" w:rsidRDefault="009D60B7" w:rsidP="007E5FEA">
      <w:pPr>
        <w:pStyle w:val="NormalWeb"/>
        <w:spacing w:beforeAutospacing="0" w:afterAutospacing="0"/>
        <w:rPr>
          <w:rFonts w:ascii="Arial" w:hAnsi="Arial" w:cs="Arial"/>
        </w:rPr>
      </w:pPr>
    </w:p>
    <w:p w:rsidR="009D60B7" w:rsidRDefault="00425C09" w:rsidP="007E5FEA">
      <w:pPr>
        <w:pStyle w:val="NormalWeb"/>
        <w:spacing w:beforeAutospacing="0" w:afterAutospacing="0"/>
        <w:rPr>
          <w:rFonts w:ascii="Arial" w:hAnsi="Arial" w:cs="Arial"/>
        </w:rPr>
      </w:pPr>
      <w:r>
        <w:rPr>
          <w:rFonts w:ascii="Arial" w:hAnsi="Arial" w:cs="Arial"/>
        </w:rPr>
        <w:t xml:space="preserve">BRASIL. </w:t>
      </w:r>
      <w:r>
        <w:rPr>
          <w:rStyle w:val="Forte1"/>
          <w:rFonts w:ascii="Arial" w:hAnsi="Arial" w:cs="Arial"/>
        </w:rPr>
        <w:t>Lei nº 11.340, de 7 de agosto de 2006</w:t>
      </w:r>
      <w:r>
        <w:rPr>
          <w:rFonts w:ascii="Arial" w:hAnsi="Arial" w:cs="Arial"/>
        </w:rPr>
        <w:t xml:space="preserve">. Lei Maria da Penha. Cria mecanismos para coibir a violência doméstica e familiar contra a mulher. Brasília, DF: Presidência da República, 2006. Disponível em: </w:t>
      </w:r>
      <w:hyperlink r:id="rId178" w:tgtFrame="_new">
        <w:r>
          <w:rPr>
            <w:rStyle w:val="Hyperlink1"/>
            <w:rFonts w:ascii="Arial" w:hAnsi="Arial" w:cs="Arial"/>
          </w:rPr>
          <w:t>https://www.planalto.gov.br</w:t>
        </w:r>
      </w:hyperlink>
      <w:r>
        <w:rPr>
          <w:rFonts w:ascii="Arial" w:hAnsi="Arial" w:cs="Arial"/>
        </w:rPr>
        <w:t>. Acesso em: 10 abr. 2026.</w:t>
      </w:r>
    </w:p>
    <w:p w:rsidR="009D60B7" w:rsidRDefault="009D60B7" w:rsidP="007E5FEA">
      <w:pPr>
        <w:pStyle w:val="NormalWeb"/>
        <w:spacing w:beforeAutospacing="0" w:afterAutospacing="0"/>
        <w:rPr>
          <w:rFonts w:ascii="Arial" w:hAnsi="Arial" w:cs="Arial"/>
        </w:rPr>
      </w:pPr>
    </w:p>
    <w:p w:rsidR="009D60B7" w:rsidRDefault="00425C09" w:rsidP="007E5FEA">
      <w:pPr>
        <w:pStyle w:val="NormalWeb"/>
        <w:spacing w:beforeAutospacing="0" w:afterAutospacing="0"/>
        <w:rPr>
          <w:rFonts w:ascii="Arial" w:hAnsi="Arial" w:cs="Arial"/>
        </w:rPr>
      </w:pPr>
      <w:r>
        <w:rPr>
          <w:rFonts w:ascii="Arial" w:hAnsi="Arial" w:cs="Arial"/>
        </w:rPr>
        <w:t xml:space="preserve">BRASIL. </w:t>
      </w:r>
      <w:r>
        <w:rPr>
          <w:rStyle w:val="Forte1"/>
          <w:rFonts w:ascii="Arial" w:hAnsi="Arial" w:cs="Arial"/>
        </w:rPr>
        <w:t>Lei nº 13.104, de 9 de março de 2015</w:t>
      </w:r>
      <w:r>
        <w:rPr>
          <w:rFonts w:ascii="Arial" w:hAnsi="Arial" w:cs="Arial"/>
        </w:rPr>
        <w:t xml:space="preserve">. Altera o Código Penal para prever o feminicídio como circunstância qualificadora do crime de homicídio. Brasília, DF: Presidência da República, 2015. Disponível em: </w:t>
      </w:r>
      <w:hyperlink r:id="rId179" w:tgtFrame="_new">
        <w:r>
          <w:rPr>
            <w:rStyle w:val="Hyperlink1"/>
            <w:rFonts w:ascii="Arial" w:hAnsi="Arial" w:cs="Arial"/>
          </w:rPr>
          <w:t>https://www.planalto.gov.br</w:t>
        </w:r>
      </w:hyperlink>
      <w:r>
        <w:rPr>
          <w:rFonts w:ascii="Arial" w:hAnsi="Arial" w:cs="Arial"/>
        </w:rPr>
        <w:t xml:space="preserve">. Acesso em: 10 abr. 2026. </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BRASIL. Ministério da Educação. Diretrizes Nacionais para a Educação em Direitos Humanos. Brasília: MEC, 2013. Disponível em: </w:t>
      </w:r>
      <w:hyperlink r:id="rId180">
        <w:r>
          <w:rPr>
            <w:rStyle w:val="Hyperlink1"/>
            <w:rFonts w:ascii="Arial" w:hAnsi="Arial" w:cs="Arial"/>
          </w:rPr>
          <w:t>https://www.gov.br/mdh/pt-br/navegue-por-temas/educacao-em-direitos-humanos/diretrizes-nacionais-para-a-educacao-em-direitos-humanos</w:t>
        </w:r>
      </w:hyperlink>
      <w:r>
        <w:rPr>
          <w:rFonts w:ascii="Arial" w:hAnsi="Arial" w:cs="Arial"/>
        </w:rPr>
        <w:t>. Acesso em 10 abr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BRASIL. Lei nº 15.383, de 2026. Dispõe sobre o monitoramento eletrônico de agressores como medida protetiva de urgência. Brasília, DF, 2026. Disponível em: </w:t>
      </w:r>
      <w:hyperlink r:id="rId181">
        <w:r>
          <w:rPr>
            <w:rStyle w:val="Hyperlink1"/>
            <w:rFonts w:ascii="Arial" w:hAnsi="Arial" w:cs="Arial"/>
          </w:rPr>
          <w:t>https://www2.camara.leg.br/legin/fed/lei/2026/lei-15383-9-abril-2026-798938-publicacaooriginal-178826-pl.html</w:t>
        </w:r>
      </w:hyperlink>
      <w:r>
        <w:rPr>
          <w:rFonts w:ascii="Arial" w:hAnsi="Arial" w:cs="Arial"/>
        </w:rPr>
        <w:t>. Acesso em 20 abr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BRASIL. </w:t>
      </w:r>
      <w:r>
        <w:rPr>
          <w:rStyle w:val="Forte1"/>
          <w:rFonts w:ascii="Arial" w:hAnsi="Arial" w:cs="Arial"/>
        </w:rPr>
        <w:t>Lei nº 14.188, de 28 de julho de 2021</w:t>
      </w:r>
      <w:r>
        <w:rPr>
          <w:rFonts w:ascii="Arial" w:hAnsi="Arial" w:cs="Arial"/>
        </w:rPr>
        <w:t xml:space="preserve">. Define o programa Sinal Vermelho e tipifica a violência psicológica contra a mulher. Brasília, DF: Presidência da República, 2021. Disponível em: </w:t>
      </w:r>
      <w:hyperlink r:id="rId182" w:tgtFrame="_new">
        <w:r>
          <w:rPr>
            <w:rStyle w:val="Hyperlink1"/>
            <w:rFonts w:ascii="Arial" w:hAnsi="Arial" w:cs="Arial"/>
          </w:rPr>
          <w:t>https://www.planalto.gov.br</w:t>
        </w:r>
      </w:hyperlink>
      <w:r>
        <w:rPr>
          <w:rFonts w:ascii="Arial" w:hAnsi="Arial" w:cs="Arial"/>
        </w:rPr>
        <w:t>. Acesso em: 10 abr.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BRASIL. </w:t>
      </w:r>
      <w:r>
        <w:rPr>
          <w:rStyle w:val="Forte1"/>
          <w:rFonts w:ascii="Arial" w:hAnsi="Arial" w:cs="Arial"/>
        </w:rPr>
        <w:t>Lei nº 14.994, de 2024</w:t>
      </w:r>
      <w:r>
        <w:rPr>
          <w:rFonts w:ascii="Arial" w:hAnsi="Arial" w:cs="Arial"/>
        </w:rPr>
        <w:t xml:space="preserve">. Altera o Código Penal para tipificar o feminicídio como crime autônomo. Brasília, DF: Presidência da República, 2024. Disponível em: </w:t>
      </w:r>
      <w:hyperlink r:id="rId183">
        <w:r>
          <w:rPr>
            <w:rStyle w:val="Hyperlink1"/>
            <w:rFonts w:ascii="Arial" w:hAnsi="Arial" w:cs="Arial"/>
          </w:rPr>
          <w:t>https://www.planalto.gov.br</w:t>
        </w:r>
      </w:hyperlink>
      <w:r>
        <w:rPr>
          <w:rFonts w:ascii="Arial" w:hAnsi="Arial" w:cs="Arial"/>
        </w:rPr>
        <w:t>. Acesso em: 10 abr.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BRASIL. Supremo Tribunal Federal. </w:t>
      </w:r>
      <w:r>
        <w:rPr>
          <w:rStyle w:val="Forte1"/>
          <w:rFonts w:ascii="Arial" w:hAnsi="Arial" w:cs="Arial"/>
        </w:rPr>
        <w:t>Ação Direta de Inconstitucionalidade nº 4424</w:t>
      </w:r>
      <w:r>
        <w:rPr>
          <w:rFonts w:ascii="Arial" w:hAnsi="Arial" w:cs="Arial"/>
        </w:rPr>
        <w:t>. Relator: Min. Marco Aurélio. Julgado em 2012.</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BRASIL. Superior Tribunal de Justiça. </w:t>
      </w:r>
      <w:r>
        <w:rPr>
          <w:rStyle w:val="Forte1"/>
          <w:rFonts w:ascii="Arial" w:hAnsi="Arial" w:cs="Arial"/>
        </w:rPr>
        <w:t>Habeas Corpus nº 433.898/RS</w:t>
      </w:r>
      <w:r>
        <w:rPr>
          <w:rFonts w:ascii="Arial" w:hAnsi="Arial" w:cs="Arial"/>
        </w:rPr>
        <w:t>. Relator: Min. Ribeiro Dantas. Julgado em 2018.</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BUTLER, Judith. </w:t>
      </w:r>
      <w:r>
        <w:rPr>
          <w:rStyle w:val="Forte1"/>
          <w:rFonts w:ascii="Arial" w:hAnsi="Arial" w:cs="Arial"/>
        </w:rPr>
        <w:t>Quadros de guerra: quando a vida é passível de luto?</w:t>
      </w:r>
      <w:r>
        <w:rPr>
          <w:rFonts w:ascii="Arial" w:hAnsi="Arial" w:cs="Arial"/>
        </w:rPr>
        <w:t xml:space="preserve"> Rio de Janeiro: Civilização Brasileira, 2015.</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CNN BRASIL. </w:t>
      </w:r>
      <w:r>
        <w:rPr>
          <w:rStyle w:val="Forte1"/>
          <w:rFonts w:ascii="Arial" w:hAnsi="Arial" w:cs="Arial"/>
        </w:rPr>
        <w:t>Brasil tem maior número de feminicídios dos últimos 10 anos</w:t>
      </w:r>
      <w:r>
        <w:rPr>
          <w:rFonts w:ascii="Arial" w:hAnsi="Arial" w:cs="Arial"/>
        </w:rPr>
        <w:t xml:space="preserve">. 2026. Disponível em: </w:t>
      </w:r>
      <w:hyperlink r:id="rId184" w:tgtFrame="_new">
        <w:r>
          <w:rPr>
            <w:rStyle w:val="Hyperlink1"/>
            <w:rFonts w:ascii="Arial" w:hAnsi="Arial" w:cs="Arial"/>
          </w:rPr>
          <w:t>https://www.cnnbrasil.com.br</w:t>
        </w:r>
      </w:hyperlink>
      <w:r>
        <w:rPr>
          <w:rFonts w:ascii="Arial" w:hAnsi="Arial" w:cs="Arial"/>
        </w:rPr>
        <w:t>. Acesso em: 08 mar.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DEL PRIORE, Mary. </w:t>
      </w:r>
      <w:r>
        <w:rPr>
          <w:rStyle w:val="Forte1"/>
          <w:rFonts w:ascii="Arial" w:hAnsi="Arial" w:cs="Arial"/>
        </w:rPr>
        <w:t>História das mulheres no Brasil</w:t>
      </w:r>
      <w:r>
        <w:rPr>
          <w:rFonts w:ascii="Arial" w:hAnsi="Arial" w:cs="Arial"/>
        </w:rPr>
        <w:t>. São Paulo: Contexto, 2013.</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DIAS, Maria Berenice. </w:t>
      </w:r>
      <w:r>
        <w:rPr>
          <w:rStyle w:val="Forte1"/>
          <w:rFonts w:ascii="Arial" w:hAnsi="Arial" w:cs="Arial"/>
        </w:rPr>
        <w:t>A Lei Maria da Penha na Justiça</w:t>
      </w:r>
      <w:r>
        <w:rPr>
          <w:rFonts w:ascii="Arial" w:hAnsi="Arial" w:cs="Arial"/>
        </w:rPr>
        <w:t>. 6. ed. São Paulo: Revista dos Tribunais, 2019.</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FÓRUM BRASILEIRO DE SEGURANÇA PÚBLICA. </w:t>
      </w:r>
      <w:r>
        <w:rPr>
          <w:rStyle w:val="Forte1"/>
          <w:rFonts w:ascii="Arial" w:hAnsi="Arial" w:cs="Arial"/>
        </w:rPr>
        <w:t>Anuário Brasileiro de Segurança Pública 2026</w:t>
      </w:r>
      <w:r>
        <w:rPr>
          <w:rFonts w:ascii="Arial" w:hAnsi="Arial" w:cs="Arial"/>
        </w:rPr>
        <w:t xml:space="preserve">. São Paulo: FBSP, 2026. Disponível em: </w:t>
      </w:r>
      <w:hyperlink r:id="rId185" w:tgtFrame="_new">
        <w:r>
          <w:rPr>
            <w:rStyle w:val="Hyperlink1"/>
            <w:rFonts w:ascii="Arial" w:hAnsi="Arial" w:cs="Arial"/>
          </w:rPr>
          <w:t>https://forumseguranca.org.br</w:t>
        </w:r>
      </w:hyperlink>
      <w:r>
        <w:rPr>
          <w:rFonts w:ascii="Arial" w:hAnsi="Arial" w:cs="Arial"/>
        </w:rPr>
        <w:t>. Acesso em: 10 abr.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lastRenderedPageBreak/>
        <w:t xml:space="preserve">G1 GOIÁS. </w:t>
      </w:r>
      <w:r>
        <w:rPr>
          <w:rStyle w:val="Forte1"/>
          <w:rFonts w:ascii="Arial" w:hAnsi="Arial" w:cs="Arial"/>
        </w:rPr>
        <w:t>Feminicídio cresce 6% em Goiás em 2025</w:t>
      </w:r>
      <w:r>
        <w:rPr>
          <w:rFonts w:ascii="Arial" w:hAnsi="Arial" w:cs="Arial"/>
        </w:rPr>
        <w:t xml:space="preserve">. 2026. Disponível em: </w:t>
      </w:r>
      <w:hyperlink r:id="rId186">
        <w:r>
          <w:rPr>
            <w:rStyle w:val="Hyperlink1"/>
            <w:rFonts w:ascii="Arial" w:hAnsi="Arial" w:cs="Arial"/>
          </w:rPr>
          <w:t>https://g1.globo.com/go/goias/</w:t>
        </w:r>
      </w:hyperlink>
      <w:r>
        <w:rPr>
          <w:rFonts w:ascii="Arial" w:hAnsi="Arial" w:cs="Arial"/>
        </w:rPr>
        <w:t>. Acesso em: 08 mar.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LAGARDE, Marcela. </w:t>
      </w:r>
      <w:r>
        <w:rPr>
          <w:rStyle w:val="Forte1"/>
          <w:rFonts w:ascii="Arial" w:hAnsi="Arial" w:cs="Arial"/>
        </w:rPr>
        <w:t>Feminicídio: uma perspectiva global</w:t>
      </w:r>
      <w:r>
        <w:rPr>
          <w:rFonts w:ascii="Arial" w:hAnsi="Arial" w:cs="Arial"/>
        </w:rPr>
        <w:t>. México: UNAM, 2006.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ORGANIZAÇÃO DOS ESTADOS AMERICANOS (OEA). </w:t>
      </w:r>
      <w:r>
        <w:rPr>
          <w:rStyle w:val="Forte1"/>
          <w:rFonts w:ascii="Arial" w:hAnsi="Arial" w:cs="Arial"/>
        </w:rPr>
        <w:t>Convenção Interamericana para Prevenir, Punir e Erradicar a Violência contra a Mulher (Convenção de Belém do Pará)</w:t>
      </w:r>
      <w:r>
        <w:rPr>
          <w:rFonts w:ascii="Arial" w:hAnsi="Arial" w:cs="Arial"/>
        </w:rPr>
        <w:t xml:space="preserve">. 1994. Disponível em: </w:t>
      </w:r>
      <w:hyperlink r:id="rId187" w:tgtFrame="_new">
        <w:r>
          <w:rPr>
            <w:rStyle w:val="Hyperlink1"/>
            <w:rFonts w:ascii="Arial" w:hAnsi="Arial" w:cs="Arial"/>
          </w:rPr>
          <w:t>https://www.oas.org</w:t>
        </w:r>
      </w:hyperlink>
      <w:r>
        <w:rPr>
          <w:rFonts w:ascii="Arial" w:hAnsi="Arial" w:cs="Arial"/>
        </w:rPr>
        <w:t>. Acesso em: 10 abr. 2026.</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SAFFIOTI, Heleieth I. B. Gênero, patriarcado, violência. São Paulo: Fundação Perseu Abramo, 2004.</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SAFFIOTI, Heleieth I. B. </w:t>
      </w:r>
      <w:r>
        <w:rPr>
          <w:rStyle w:val="Forte1"/>
          <w:rFonts w:ascii="Arial" w:hAnsi="Arial" w:cs="Arial"/>
        </w:rPr>
        <w:t>Gênero, patriarcado e violência</w:t>
      </w:r>
      <w:r>
        <w:rPr>
          <w:rFonts w:ascii="Arial" w:hAnsi="Arial" w:cs="Arial"/>
        </w:rPr>
        <w:t>. 2. ed. São Paulo: Expressão Popular, 2015.</w:t>
      </w:r>
    </w:p>
    <w:p w:rsidR="009D60B7" w:rsidRDefault="009D60B7">
      <w:pPr>
        <w:pStyle w:val="NormalWeb"/>
        <w:spacing w:beforeAutospacing="0" w:afterAutospacing="0"/>
        <w:rPr>
          <w:rFonts w:ascii="Arial" w:hAnsi="Arial" w:cs="Arial"/>
        </w:rPr>
      </w:pPr>
    </w:p>
    <w:p w:rsidR="009D60B7" w:rsidRDefault="00425C09">
      <w:pPr>
        <w:pStyle w:val="NormalWeb"/>
        <w:spacing w:beforeAutospacing="0" w:afterAutospacing="0"/>
        <w:rPr>
          <w:rFonts w:ascii="Arial" w:hAnsi="Arial" w:cs="Arial"/>
        </w:rPr>
      </w:pPr>
      <w:r>
        <w:rPr>
          <w:rFonts w:ascii="Arial" w:hAnsi="Arial" w:cs="Arial"/>
        </w:rPr>
        <w:t xml:space="preserve">SOARES, Raunner Vinícius. </w:t>
      </w:r>
      <w:r>
        <w:rPr>
          <w:rStyle w:val="Forte1"/>
          <w:rFonts w:ascii="Arial" w:hAnsi="Arial" w:cs="Arial"/>
        </w:rPr>
        <w:t>Vítima de violência doméstica desiste de medidas protetivas: “ele pode concretizar o que sempre quis, há tanto tempo: me matar”</w:t>
      </w:r>
      <w:r>
        <w:rPr>
          <w:rFonts w:ascii="Arial" w:hAnsi="Arial" w:cs="Arial"/>
        </w:rPr>
        <w:t>. Jornal Opção, 08 abr. 2026. Disponível em: &lt;coloque o link&gt;. Acesso em: 08 abr. 2026.</w:t>
      </w:r>
    </w:p>
    <w:p w:rsidR="009D60B7" w:rsidRDefault="009D60B7">
      <w:pPr>
        <w:pStyle w:val="NormalWeb"/>
        <w:spacing w:beforeAutospacing="0" w:afterAutospacing="0"/>
        <w:rPr>
          <w:rFonts w:ascii="Arial" w:hAnsi="Arial" w:cs="Arial"/>
        </w:rPr>
      </w:pPr>
    </w:p>
    <w:p w:rsidR="009D60B7" w:rsidRDefault="00425C09">
      <w:r>
        <w:rPr>
          <w:rFonts w:ascii="Arial" w:hAnsi="Arial" w:cs="Arial"/>
          <w:sz w:val="24"/>
          <w:szCs w:val="24"/>
          <w:lang w:val="en-US"/>
        </w:rPr>
        <w:t xml:space="preserve">WALKER, Lenore E. </w:t>
      </w:r>
      <w:r>
        <w:rPr>
          <w:rStyle w:val="Forte1"/>
          <w:rFonts w:ascii="Arial" w:hAnsi="Arial" w:cs="Arial"/>
          <w:sz w:val="24"/>
          <w:szCs w:val="24"/>
          <w:lang w:val="en-US"/>
        </w:rPr>
        <w:t>The battered woman</w:t>
      </w:r>
      <w:r>
        <w:rPr>
          <w:rFonts w:ascii="Arial" w:hAnsi="Arial" w:cs="Arial"/>
          <w:sz w:val="24"/>
          <w:szCs w:val="24"/>
          <w:lang w:val="en-US"/>
        </w:rPr>
        <w:t xml:space="preserve">. </w:t>
      </w:r>
      <w:r>
        <w:rPr>
          <w:rFonts w:ascii="Arial" w:hAnsi="Arial" w:cs="Arial"/>
          <w:sz w:val="24"/>
          <w:szCs w:val="24"/>
        </w:rPr>
        <w:t>New York: Harper &amp; Row, 1979</w:t>
      </w:r>
      <w:r>
        <w:rPr>
          <w:rFonts w:ascii="Arial" w:hAnsi="Arial" w:cs="Times New Roman"/>
          <w:sz w:val="20"/>
          <w:szCs w:val="20"/>
        </w:rPr>
        <w:t>.</w:t>
      </w: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right="136"/>
        <w:jc w:val="both"/>
        <w:rPr>
          <w:rFonts w:ascii="Arial" w:eastAsia="Times New Roman" w:hAnsi="Arial" w:cs="Times New Roman"/>
          <w:color w:val="1155CC"/>
          <w:sz w:val="20"/>
          <w:szCs w:val="20"/>
          <w:u w:val="single"/>
        </w:rPr>
      </w:pPr>
    </w:p>
    <w:p w:rsidR="009D60B7" w:rsidRDefault="009D60B7">
      <w:pPr>
        <w:ind w:left="142" w:right="142" w:hanging="10"/>
        <w:rPr>
          <w:rFonts w:ascii="Arial" w:hAnsi="Arial" w:cs="Times New Roman"/>
          <w:sz w:val="20"/>
          <w:szCs w:val="20"/>
          <w:highlight w:val="yellow"/>
          <w:lang w:val="pt-BR"/>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CF14ED" w:rsidRDefault="00CF14ED">
      <w:pPr>
        <w:ind w:left="142" w:right="142" w:hanging="10"/>
        <w:rPr>
          <w:rFonts w:ascii="Arial" w:hAnsi="Arial" w:cs="Times New Roman"/>
          <w:sz w:val="20"/>
          <w:szCs w:val="20"/>
        </w:rPr>
      </w:pPr>
    </w:p>
    <w:p w:rsidR="00FF67C0" w:rsidRDefault="00FF67C0">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Pr="006F1BE9" w:rsidRDefault="00425C09" w:rsidP="006F1BE9">
      <w:pPr>
        <w:pStyle w:val="Ttulo1"/>
        <w:spacing w:before="0"/>
        <w:ind w:left="0"/>
        <w:rPr>
          <w:rFonts w:ascii="Arial" w:hAnsi="Arial"/>
          <w:b/>
          <w:bCs/>
        </w:rPr>
      </w:pPr>
      <w:bookmarkStart w:id="23" w:name="_Hlk223960024"/>
      <w:r>
        <w:rPr>
          <w:rFonts w:ascii="Arial" w:hAnsi="Arial"/>
          <w:b/>
          <w:bCs/>
          <w:sz w:val="24"/>
          <w:szCs w:val="24"/>
        </w:rPr>
        <w:lastRenderedPageBreak/>
        <w:t>ENTRE LIKES E LUCROS:</w:t>
      </w:r>
      <w:r>
        <w:rPr>
          <w:rFonts w:ascii="Arial" w:hAnsi="Arial"/>
          <w:b/>
          <w:bCs/>
          <w:spacing w:val="-10"/>
          <w:sz w:val="24"/>
          <w:szCs w:val="24"/>
        </w:rPr>
        <w:t xml:space="preserve"> </w:t>
      </w:r>
      <w:r>
        <w:rPr>
          <w:rFonts w:ascii="Arial" w:hAnsi="Arial"/>
          <w:b/>
          <w:bCs/>
          <w:sz w:val="24"/>
          <w:szCs w:val="24"/>
        </w:rPr>
        <w:t xml:space="preserve">PLATAFORMAS DIGITAIS E ALGORÍTIMOS NA </w:t>
      </w:r>
      <w:r w:rsidRPr="006F1BE9">
        <w:rPr>
          <w:rFonts w:ascii="Arial" w:hAnsi="Arial"/>
          <w:b/>
          <w:bCs/>
        </w:rPr>
        <w:t>AMPLIFICAÇÃO DA MISOGINIA E DO ESTUPRO VIRTUAL</w:t>
      </w:r>
      <w:bookmarkEnd w:id="23"/>
    </w:p>
    <w:p w:rsidR="009D60B7" w:rsidRDefault="00425C09">
      <w:pPr>
        <w:pStyle w:val="Ttulo1"/>
        <w:ind w:left="0"/>
        <w:rPr>
          <w:rFonts w:ascii="Arial" w:hAnsi="Arial"/>
          <w:sz w:val="20"/>
          <w:szCs w:val="20"/>
        </w:rPr>
      </w:pPr>
      <w:r>
        <w:rPr>
          <w:rFonts w:ascii="Arial" w:hAnsi="Arial"/>
          <w:bCs/>
          <w:sz w:val="20"/>
          <w:szCs w:val="20"/>
        </w:rPr>
        <w:t>Amanda Gabrielle Silva Rodrigues</w:t>
      </w:r>
      <w:r>
        <w:rPr>
          <w:rStyle w:val="Refdenotaderodap"/>
          <w:rFonts w:ascii="Arial" w:hAnsi="Arial"/>
          <w:bCs/>
          <w:spacing w:val="-2"/>
          <w:sz w:val="20"/>
          <w:szCs w:val="20"/>
        </w:rPr>
        <w:footnoteReference w:id="30"/>
      </w:r>
    </w:p>
    <w:p w:rsidR="009D60B7" w:rsidRDefault="00425C09">
      <w:pPr>
        <w:ind w:right="93"/>
        <w:jc w:val="center"/>
        <w:rPr>
          <w:rFonts w:ascii="Arial" w:hAnsi="Arial"/>
          <w:sz w:val="20"/>
          <w:szCs w:val="20"/>
        </w:rPr>
      </w:pPr>
      <w:r>
        <w:rPr>
          <w:rFonts w:ascii="Arial" w:hAnsi="Arial"/>
          <w:bCs/>
          <w:spacing w:val="-2"/>
          <w:sz w:val="20"/>
          <w:szCs w:val="20"/>
        </w:rPr>
        <w:t>Isabela Karina de Souza</w:t>
      </w:r>
      <w:r>
        <w:rPr>
          <w:rStyle w:val="Refdenotaderodap"/>
          <w:rFonts w:ascii="Arial" w:hAnsi="Arial"/>
          <w:bCs/>
          <w:spacing w:val="-2"/>
          <w:sz w:val="20"/>
          <w:szCs w:val="20"/>
        </w:rPr>
        <w:footnoteReference w:id="31"/>
      </w:r>
    </w:p>
    <w:p w:rsidR="009D60B7" w:rsidRDefault="00425C09">
      <w:pPr>
        <w:ind w:right="93"/>
        <w:jc w:val="center"/>
        <w:rPr>
          <w:rFonts w:ascii="Arial" w:hAnsi="Arial"/>
          <w:bCs/>
          <w:spacing w:val="-2"/>
          <w:sz w:val="20"/>
          <w:szCs w:val="20"/>
          <w:vertAlign w:val="superscript"/>
        </w:rPr>
      </w:pPr>
      <w:r>
        <w:rPr>
          <w:rFonts w:ascii="Arial" w:hAnsi="Arial"/>
          <w:bCs/>
          <w:sz w:val="20"/>
          <w:szCs w:val="20"/>
        </w:rPr>
        <w:t>Cristiane</w:t>
      </w:r>
      <w:r>
        <w:rPr>
          <w:rFonts w:ascii="Arial" w:hAnsi="Arial"/>
          <w:bCs/>
          <w:spacing w:val="-6"/>
          <w:sz w:val="20"/>
          <w:szCs w:val="20"/>
        </w:rPr>
        <w:t xml:space="preserve"> </w:t>
      </w:r>
      <w:r>
        <w:rPr>
          <w:rFonts w:ascii="Arial" w:hAnsi="Arial"/>
          <w:bCs/>
          <w:sz w:val="20"/>
          <w:szCs w:val="20"/>
        </w:rPr>
        <w:t>Ingrid</w:t>
      </w:r>
      <w:r>
        <w:rPr>
          <w:rFonts w:ascii="Arial" w:hAnsi="Arial"/>
          <w:bCs/>
          <w:spacing w:val="-5"/>
          <w:sz w:val="20"/>
          <w:szCs w:val="20"/>
        </w:rPr>
        <w:t xml:space="preserve"> </w:t>
      </w:r>
      <w:r>
        <w:rPr>
          <w:rFonts w:ascii="Arial" w:hAnsi="Arial"/>
          <w:bCs/>
          <w:sz w:val="20"/>
          <w:szCs w:val="20"/>
        </w:rPr>
        <w:t>de</w:t>
      </w:r>
      <w:r>
        <w:rPr>
          <w:rFonts w:ascii="Arial" w:hAnsi="Arial"/>
          <w:bCs/>
          <w:spacing w:val="-6"/>
          <w:sz w:val="20"/>
          <w:szCs w:val="20"/>
        </w:rPr>
        <w:t xml:space="preserve"> </w:t>
      </w:r>
      <w:r>
        <w:rPr>
          <w:rFonts w:ascii="Arial" w:hAnsi="Arial"/>
          <w:bCs/>
          <w:sz w:val="20"/>
          <w:szCs w:val="20"/>
        </w:rPr>
        <w:t>Souza</w:t>
      </w:r>
      <w:r>
        <w:rPr>
          <w:rFonts w:ascii="Arial" w:hAnsi="Arial"/>
          <w:bCs/>
          <w:spacing w:val="-5"/>
          <w:sz w:val="20"/>
          <w:szCs w:val="20"/>
        </w:rPr>
        <w:t xml:space="preserve"> </w:t>
      </w:r>
      <w:r>
        <w:rPr>
          <w:rFonts w:ascii="Arial" w:hAnsi="Arial"/>
          <w:bCs/>
          <w:spacing w:val="-2"/>
          <w:sz w:val="20"/>
          <w:szCs w:val="20"/>
        </w:rPr>
        <w:t>Bonfim</w:t>
      </w:r>
      <w:r>
        <w:rPr>
          <w:rStyle w:val="Refdenotaderodap"/>
          <w:rFonts w:ascii="Arial" w:hAnsi="Arial"/>
          <w:bCs/>
          <w:spacing w:val="-2"/>
          <w:sz w:val="20"/>
          <w:szCs w:val="20"/>
        </w:rPr>
        <w:footnoteReference w:id="32"/>
      </w:r>
    </w:p>
    <w:p w:rsidR="009D60B7" w:rsidRDefault="009D60B7">
      <w:pPr>
        <w:pStyle w:val="Corpodetexto"/>
        <w:rPr>
          <w:rFonts w:ascii="Arial" w:hAnsi="Arial"/>
        </w:rPr>
      </w:pPr>
    </w:p>
    <w:p w:rsidR="009D60B7" w:rsidRDefault="009D60B7">
      <w:pPr>
        <w:pStyle w:val="Corpodetexto"/>
        <w:spacing w:before="1"/>
        <w:rPr>
          <w:rFonts w:ascii="Arial" w:hAnsi="Arial"/>
          <w:sz w:val="24"/>
          <w:szCs w:val="24"/>
        </w:rPr>
      </w:pPr>
    </w:p>
    <w:p w:rsidR="009D60B7" w:rsidRPr="006F1BE9" w:rsidRDefault="00425C09">
      <w:pPr>
        <w:ind w:left="142" w:right="155"/>
        <w:jc w:val="center"/>
        <w:rPr>
          <w:rFonts w:ascii="Arial" w:hAnsi="Arial"/>
          <w:sz w:val="24"/>
          <w:szCs w:val="24"/>
        </w:rPr>
      </w:pPr>
      <w:r w:rsidRPr="006F1BE9">
        <w:rPr>
          <w:rFonts w:ascii="Arial" w:hAnsi="Arial"/>
          <w:sz w:val="24"/>
          <w:szCs w:val="24"/>
        </w:rPr>
        <w:t>RESUMO</w:t>
      </w:r>
    </w:p>
    <w:p w:rsidR="009D60B7" w:rsidRDefault="009D60B7">
      <w:pPr>
        <w:ind w:left="142" w:right="155"/>
        <w:jc w:val="both"/>
        <w:rPr>
          <w:rFonts w:ascii="Arial" w:hAnsi="Arial"/>
          <w:b/>
          <w:sz w:val="10"/>
          <w:szCs w:val="10"/>
        </w:rPr>
      </w:pPr>
    </w:p>
    <w:p w:rsidR="009D60B7" w:rsidRDefault="00425C09">
      <w:pPr>
        <w:pStyle w:val="Corpodetexto"/>
        <w:spacing w:before="119"/>
        <w:jc w:val="both"/>
        <w:rPr>
          <w:rFonts w:ascii="Arial" w:hAnsi="Arial"/>
        </w:rPr>
      </w:pPr>
      <w:r>
        <w:rPr>
          <w:rFonts w:ascii="Arial" w:hAnsi="Arial"/>
        </w:rPr>
        <w:t>O presente trabalho realiza uma análise das plataformas digitais e seus sistemas algorítmicos, com o objetivo de compreender como esses mecanismos contribuem para a amplificação da misoginia e do crime de estupro virtual. A problemática consiste em investigar de que forma o avanço da tecnologia intensificou a propagação da misoginia estrutural e o aumento de crimes misóginos no ambiente digital, evidenciando desafios relacionados à segurança cibernética. O objetivo geral é compreender os mecanismos utilizados pelas plataformas digitais, especialmente o funcionamento dos algoritmos, e sua atuação na amplificação dessas práticas. Como objetivos específicos, busca-se analisar a origem da misoginia e suas manifestações no ambiente virtual, compreender o funcionamento dos algoritmos na distribuição de conteúdos com base em engajamento e monetização, bem como examinar os desafios da responsabilização penal diante dessas condutas. A pesquisa adota metodologia qualitativa, baseada em revisão bibliográfica e análise legislativa. Os resultados indicam que a misoginia, enquanto construção histórica e social, foi potencializada pelas dinâmicas digitais, especialmente pela lógica algorítmica orientada ao engajamento. Além disso, verifica-se que, embora haja avanços no reconhecimento jurídico do estupro virtual, persistem desafios quanto à produção de provas e à responsabilização dos agentes. Conclui-se que o enfrentamento dessas práticas exige não apenas respostas penais, mas também políticas públicas, educação digital e maior responsabilização das plataformas, a fim de garantir a proteção da dignidade humana no ambiente digital.</w:t>
      </w:r>
    </w:p>
    <w:p w:rsidR="009D60B7" w:rsidRDefault="009D60B7">
      <w:pPr>
        <w:pStyle w:val="Corpodetexto"/>
        <w:spacing w:before="119"/>
        <w:rPr>
          <w:rFonts w:ascii="Arial" w:hAnsi="Arial"/>
        </w:rPr>
      </w:pPr>
    </w:p>
    <w:p w:rsidR="009D60B7" w:rsidRDefault="00425C09">
      <w:pPr>
        <w:rPr>
          <w:rFonts w:ascii="Arial" w:hAnsi="Arial"/>
          <w:sz w:val="20"/>
          <w:szCs w:val="20"/>
        </w:rPr>
      </w:pPr>
      <w:r>
        <w:rPr>
          <w:rFonts w:ascii="Arial" w:hAnsi="Arial"/>
          <w:b/>
          <w:spacing w:val="-2"/>
          <w:sz w:val="20"/>
          <w:szCs w:val="20"/>
        </w:rPr>
        <w:t>PALAVRAS-CHAVE:</w:t>
      </w:r>
      <w:r>
        <w:rPr>
          <w:rFonts w:ascii="Arial" w:hAnsi="Arial"/>
          <w:spacing w:val="-2"/>
          <w:sz w:val="20"/>
          <w:szCs w:val="20"/>
        </w:rPr>
        <w:t xml:space="preserve"> Misoginia. Estupro virtual. Algorítimos. Plataformas digitais. Violência de gênero. Direito digital.</w:t>
      </w:r>
    </w:p>
    <w:p w:rsidR="009D60B7" w:rsidRDefault="009D60B7">
      <w:pPr>
        <w:pStyle w:val="Corpodetexto"/>
        <w:spacing w:before="73"/>
        <w:rPr>
          <w:rFonts w:ascii="Arial" w:hAnsi="Arial" w:cs="Arial"/>
          <w:sz w:val="24"/>
          <w:szCs w:val="24"/>
        </w:rPr>
      </w:pPr>
    </w:p>
    <w:p w:rsidR="009D60B7" w:rsidRDefault="00425C09">
      <w:pPr>
        <w:pStyle w:val="Ttulo2"/>
        <w:spacing w:line="360" w:lineRule="auto"/>
        <w:rPr>
          <w:rFonts w:ascii="Arial" w:hAnsi="Arial"/>
          <w:sz w:val="24"/>
          <w:szCs w:val="24"/>
        </w:rPr>
      </w:pPr>
      <w:bookmarkStart w:id="24" w:name="INTRODUÇÃO___Copia_2"/>
      <w:bookmarkEnd w:id="24"/>
      <w:r>
        <w:rPr>
          <w:rFonts w:ascii="Arial" w:hAnsi="Arial" w:cs="Arial"/>
          <w:spacing w:val="-2"/>
          <w:sz w:val="24"/>
          <w:szCs w:val="24"/>
        </w:rPr>
        <w:t xml:space="preserve">INTRODUÇÃO </w:t>
      </w:r>
    </w:p>
    <w:p w:rsidR="009D60B7" w:rsidRDefault="00425C09">
      <w:pPr>
        <w:pStyle w:val="Corpodetexto"/>
        <w:spacing w:line="360" w:lineRule="auto"/>
        <w:ind w:left="142" w:firstLine="703"/>
        <w:jc w:val="both"/>
        <w:rPr>
          <w:rFonts w:ascii="Arial" w:hAnsi="Arial"/>
          <w:sz w:val="24"/>
          <w:szCs w:val="24"/>
        </w:rPr>
      </w:pPr>
      <w:r>
        <w:rPr>
          <w:rFonts w:ascii="Arial" w:hAnsi="Arial"/>
          <w:spacing w:val="-2"/>
          <w:sz w:val="24"/>
          <w:szCs w:val="24"/>
        </w:rPr>
        <w:t>A sociedade contemporânea passou por profundas transformações nas formas de comunicação, interação social e acesso à informação, especialmente em razão da crescente expansão das plataformas digitais. Nesse contexto, os sistemas algorítmicos utilizados por essas plataformas assumem o papel central na organização e distribuição de conteúdos, operando com base no comportamento dos usuários no ambiente virtual. Embora esses mecanismos proporcionem uma experiência personalizada, seus efeitos não se restringem a aspectos positivos, podendo também contribuir para a amplificação de discursos problemáticos, como aqueles relacionados à misoginia.</w:t>
      </w:r>
    </w:p>
    <w:p w:rsidR="009D60B7" w:rsidRDefault="00425C09">
      <w:pPr>
        <w:pStyle w:val="Corpodetexto"/>
        <w:spacing w:line="360" w:lineRule="auto"/>
        <w:ind w:left="142" w:firstLine="703"/>
        <w:jc w:val="both"/>
        <w:rPr>
          <w:rFonts w:ascii="Arial" w:hAnsi="Arial"/>
          <w:sz w:val="24"/>
          <w:szCs w:val="24"/>
        </w:rPr>
      </w:pPr>
      <w:r>
        <w:rPr>
          <w:rFonts w:ascii="Arial" w:hAnsi="Arial"/>
          <w:spacing w:val="-2"/>
          <w:sz w:val="24"/>
          <w:szCs w:val="24"/>
        </w:rPr>
        <w:t xml:space="preserve">A relevância da temática justifica-se pelo crescimento das práticas de violência de gênero no ambiente digital, frequentemente potencializadas pelos mecanismos de recomendação de conteúdo. A misoginia, enquanto fenômeno estrutural, possui raízes </w:t>
      </w:r>
      <w:r>
        <w:rPr>
          <w:rFonts w:ascii="Arial" w:hAnsi="Arial"/>
          <w:spacing w:val="-2"/>
          <w:sz w:val="24"/>
          <w:szCs w:val="24"/>
        </w:rPr>
        <w:lastRenderedPageBreak/>
        <w:t>históricas profundas e, no ambiente virtual, passa a se manifestar de novas formas, alcançando maior visibilidade. Nesse sentido, conteúdos misóginos tendem a ser amplificados pelos algoritmos, especialmente quando geram alto nível de engajamento, o que evidencia que a lógica de funcionamento das plataformas, baseada na interação e na monetização, pode favorecer a circulação de conteúdos que reforçam desigualdades de gênero.</w:t>
      </w:r>
    </w:p>
    <w:p w:rsidR="009D60B7" w:rsidRDefault="00425C09">
      <w:pPr>
        <w:pStyle w:val="Corpodetexto"/>
        <w:spacing w:line="360" w:lineRule="auto"/>
        <w:ind w:left="142" w:firstLine="703"/>
        <w:jc w:val="both"/>
        <w:rPr>
          <w:rFonts w:ascii="Arial" w:hAnsi="Arial"/>
          <w:sz w:val="24"/>
          <w:szCs w:val="24"/>
        </w:rPr>
      </w:pPr>
      <w:r>
        <w:rPr>
          <w:rFonts w:ascii="Arial" w:hAnsi="Arial"/>
          <w:spacing w:val="-2"/>
          <w:sz w:val="24"/>
          <w:szCs w:val="24"/>
        </w:rPr>
        <w:t>Diante desse cenário, destaca-se o fenômeno denominado “estupro virtual”, caracterizado pela prática de atos de cunho sexual mediante ameaça, coação ou manipulação no ambiente digital, sem a necessidade de contato físico. Trata-se de uma forma contemporânea de violência de gênero que evidencia os desafios impostos pela evolução tecnológica ao Direito Penal, especialmente no que se refere a responsabilização dos agentes envolvidos em razão da dificuldade de reunir provas em relação ao delito.</w:t>
      </w:r>
    </w:p>
    <w:p w:rsidR="009D60B7" w:rsidRDefault="00425C09">
      <w:pPr>
        <w:pStyle w:val="Corpodetexto"/>
        <w:spacing w:line="360" w:lineRule="auto"/>
        <w:ind w:left="142" w:firstLine="703"/>
        <w:jc w:val="both"/>
        <w:rPr>
          <w:rFonts w:ascii="Arial" w:hAnsi="Arial"/>
          <w:sz w:val="24"/>
          <w:szCs w:val="24"/>
        </w:rPr>
      </w:pPr>
      <w:r>
        <w:rPr>
          <w:rFonts w:ascii="Arial" w:hAnsi="Arial"/>
          <w:spacing w:val="-2"/>
          <w:sz w:val="24"/>
          <w:szCs w:val="24"/>
        </w:rPr>
        <w:t>Nesse contexto, o presente trabalho busca responder à seguinte problemática: de que maneira os algoritmos das plataformas digitais contribuem para a amplificação da misoginia e do estupro virtual? O objetivo geral consiste em analisar como os mecanismos de funcionamento das plataformas digitais influenciam a disseminação dessas práticas, bem como os desafios relacionados ao enfrentamento da violência de gênero digital.</w:t>
      </w:r>
    </w:p>
    <w:p w:rsidR="009D60B7" w:rsidRDefault="00425C09">
      <w:pPr>
        <w:pStyle w:val="Corpodetexto"/>
        <w:spacing w:line="360" w:lineRule="auto"/>
        <w:ind w:left="142" w:firstLine="703"/>
        <w:jc w:val="both"/>
        <w:rPr>
          <w:rFonts w:ascii="Arial" w:hAnsi="Arial"/>
          <w:sz w:val="24"/>
          <w:szCs w:val="24"/>
        </w:rPr>
      </w:pPr>
      <w:r>
        <w:rPr>
          <w:rFonts w:ascii="Arial" w:hAnsi="Arial"/>
          <w:spacing w:val="-2"/>
          <w:sz w:val="24"/>
          <w:szCs w:val="24"/>
        </w:rPr>
        <w:t>Como objetivos específicos, pretende-se: compreender o surgimento da misoginia ao longo da história e suas manifestações no ambiente virtual; analisar o funcionamento dos algoritmos e sua relação com o engajamento e a monetização de conteúdos; e examinar as formas de enfrentamento da violência de gênero digital.</w:t>
      </w:r>
    </w:p>
    <w:p w:rsidR="009D60B7" w:rsidRDefault="00425C09">
      <w:pPr>
        <w:pStyle w:val="Corpodetexto"/>
        <w:spacing w:line="360" w:lineRule="auto"/>
        <w:ind w:left="142" w:firstLine="703"/>
        <w:jc w:val="both"/>
        <w:rPr>
          <w:rFonts w:ascii="Arial" w:hAnsi="Arial"/>
          <w:spacing w:val="-2"/>
          <w:sz w:val="24"/>
          <w:szCs w:val="24"/>
        </w:rPr>
      </w:pPr>
      <w:r>
        <w:rPr>
          <w:rFonts w:ascii="Arial" w:hAnsi="Arial"/>
          <w:spacing w:val="-2"/>
          <w:sz w:val="24"/>
          <w:szCs w:val="24"/>
        </w:rPr>
        <w:t>Para tanto, a pesquisa adota uma abordagem qualitativa, fundamentada em revisão bibliográfica, análise legislativa e estudo de produções acadêmicas e jurídicas relacionadas ao tema.</w:t>
      </w:r>
    </w:p>
    <w:p w:rsidR="009D60B7" w:rsidRDefault="00425C09">
      <w:pPr>
        <w:pStyle w:val="Corpodetexto"/>
        <w:spacing w:line="360" w:lineRule="auto"/>
        <w:ind w:left="142" w:firstLine="703"/>
        <w:jc w:val="both"/>
        <w:rPr>
          <w:rFonts w:ascii="Arial" w:hAnsi="Arial"/>
          <w:sz w:val="24"/>
          <w:szCs w:val="24"/>
        </w:rPr>
      </w:pPr>
      <w:r>
        <w:rPr>
          <w:rFonts w:ascii="Arial" w:hAnsi="Arial"/>
          <w:spacing w:val="-2"/>
          <w:sz w:val="24"/>
          <w:szCs w:val="24"/>
        </w:rPr>
        <w:t>Por fim, este trabalho propõe uma reflexão crítica sobre a atuação das plataformas digitais e seus sistemas algorítmicos, evidenciando que, entre a busca por engajamento e lucro, podem ser impulsionadas práticas que violam direitos fundamentais, o que reforça a necessidade de construção de um ambiente digital mais seguro, ético e compatível com a proteção da dignidade da pessoa humana sem invadir a liberdade do indivíduo.</w:t>
      </w:r>
    </w:p>
    <w:p w:rsidR="009D60B7" w:rsidRDefault="009D60B7">
      <w:pPr>
        <w:pStyle w:val="Corpodetexto"/>
        <w:rPr>
          <w:rFonts w:ascii="Arial" w:hAnsi="Arial" w:cs="Arial"/>
          <w:sz w:val="24"/>
          <w:szCs w:val="24"/>
        </w:rPr>
      </w:pPr>
    </w:p>
    <w:p w:rsidR="009D60B7" w:rsidRPr="00EB508A" w:rsidRDefault="00425C09">
      <w:pPr>
        <w:pStyle w:val="Ttulo2"/>
        <w:tabs>
          <w:tab w:val="left" w:pos="851"/>
        </w:tabs>
        <w:spacing w:before="61"/>
        <w:ind w:left="0" w:right="164"/>
        <w:jc w:val="both"/>
        <w:rPr>
          <w:rFonts w:ascii="Arial" w:hAnsi="Arial"/>
          <w:bCs/>
          <w:sz w:val="24"/>
          <w:szCs w:val="24"/>
        </w:rPr>
      </w:pPr>
      <w:r w:rsidRPr="00EB508A">
        <w:rPr>
          <w:rFonts w:ascii="Arial" w:hAnsi="Arial" w:cs="Arial"/>
          <w:bCs/>
          <w:sz w:val="24"/>
          <w:szCs w:val="24"/>
          <w:lang w:val="pt-BR"/>
        </w:rPr>
        <w:t xml:space="preserve">1 </w:t>
      </w:r>
      <w:r w:rsidRPr="00EB508A">
        <w:rPr>
          <w:rFonts w:ascii="Arial" w:hAnsi="Arial" w:cs="Arial"/>
          <w:bCs/>
          <w:sz w:val="24"/>
          <w:szCs w:val="24"/>
        </w:rPr>
        <w:t>O SURGIMENTO E</w:t>
      </w:r>
      <w:r w:rsidRPr="00EB508A">
        <w:rPr>
          <w:rFonts w:ascii="Arial" w:hAnsi="Arial" w:cs="Arial"/>
          <w:bCs/>
          <w:spacing w:val="80"/>
          <w:sz w:val="24"/>
          <w:szCs w:val="24"/>
        </w:rPr>
        <w:t xml:space="preserve"> </w:t>
      </w:r>
      <w:r w:rsidRPr="00EB508A">
        <w:rPr>
          <w:rFonts w:ascii="Arial" w:hAnsi="Arial" w:cs="Arial"/>
          <w:bCs/>
          <w:sz w:val="24"/>
          <w:szCs w:val="24"/>
        </w:rPr>
        <w:t>A</w:t>
      </w:r>
      <w:r w:rsidRPr="00EB508A">
        <w:rPr>
          <w:rFonts w:ascii="Arial" w:hAnsi="Arial" w:cs="Arial"/>
          <w:bCs/>
          <w:spacing w:val="80"/>
          <w:sz w:val="24"/>
          <w:szCs w:val="24"/>
        </w:rPr>
        <w:t xml:space="preserve"> </w:t>
      </w:r>
      <w:r w:rsidRPr="00EB508A">
        <w:rPr>
          <w:rFonts w:ascii="Arial" w:hAnsi="Arial" w:cs="Arial"/>
          <w:bCs/>
          <w:sz w:val="24"/>
          <w:szCs w:val="24"/>
        </w:rPr>
        <w:t xml:space="preserve">EVOLUÇÃO DA VIOLÊNCIA DE GÊNERO DIGITAL: CONCEITOS, ORIGENS E MANIFESTAÇÕES NO AMBIENTE VIRTUAL.  </w:t>
      </w:r>
    </w:p>
    <w:p w:rsidR="009D60B7" w:rsidRDefault="009D60B7">
      <w:pPr>
        <w:pStyle w:val="Corpodetexto"/>
        <w:tabs>
          <w:tab w:val="left" w:pos="851"/>
        </w:tabs>
        <w:spacing w:before="1"/>
        <w:ind w:left="426" w:right="142" w:firstLine="141"/>
        <w:rPr>
          <w:rFonts w:ascii="Arial" w:hAnsi="Arial"/>
          <w:sz w:val="24"/>
          <w:szCs w:val="24"/>
        </w:rPr>
      </w:pPr>
    </w:p>
    <w:p w:rsidR="009D60B7" w:rsidRDefault="00425C09">
      <w:pPr>
        <w:pStyle w:val="Corpodetexto"/>
        <w:spacing w:before="1" w:line="360" w:lineRule="auto"/>
        <w:ind w:right="141" w:firstLine="851"/>
        <w:jc w:val="both"/>
        <w:rPr>
          <w:rFonts w:ascii="Arial" w:hAnsi="Arial"/>
          <w:sz w:val="24"/>
          <w:szCs w:val="24"/>
        </w:rPr>
      </w:pPr>
      <w:r>
        <w:rPr>
          <w:rFonts w:ascii="Arial" w:hAnsi="Arial"/>
          <w:sz w:val="24"/>
          <w:szCs w:val="24"/>
        </w:rPr>
        <w:t>A misoginia é um preconceito histórico e enraizado nas estruturas sociais, caracterizado por desprezo, aversão ou hostilidade direcionada à mulheres. “A palavra "misoginia" surgiu a partir do grego “misogynia”, ou seja, a união dos termos “miseó”, que significa "ódio", e “gyné”, que pode ser traduzido para “mulher” (Moterani; Carvalho, 2016). Embora a palavra tenha sido formalmente conceituada apenas a partir do século XVII, as práticas misógenas contra mulheres podem ser identificadas desde períodos muito antigos da história mundial.</w:t>
      </w:r>
    </w:p>
    <w:p w:rsidR="009D60B7" w:rsidRDefault="009D60B7">
      <w:pPr>
        <w:pStyle w:val="Corpodetexto"/>
        <w:ind w:right="142" w:firstLine="851"/>
        <w:rPr>
          <w:rFonts w:ascii="Arial" w:hAnsi="Arial"/>
        </w:rPr>
      </w:pPr>
    </w:p>
    <w:p w:rsidR="009D60B7" w:rsidRDefault="00425C09">
      <w:pPr>
        <w:pStyle w:val="Corpodetexto"/>
        <w:ind w:left="2268" w:right="142"/>
        <w:jc w:val="both"/>
        <w:rPr>
          <w:rFonts w:ascii="Arial" w:hAnsi="Arial"/>
        </w:rPr>
      </w:pPr>
      <w:r>
        <w:rPr>
          <w:rFonts w:ascii="Arial" w:hAnsi="Arial"/>
        </w:rPr>
        <w:t xml:space="preserve">A misoginia é o prejuízo mais antigo do mundo e apresenta-se como um ódio ou aversão às mulheres, podendo manifestar-se de várias maneiras, incluindo a discriminação sexual, denegrição, violência e objetificação sexual das mulheres. Entre os diversos tipos de violências relacionadas diretamente ou indiretamente com o gênero feminino estão as agressões físicas, psicológicas, sexuais, multilações, perseguições; culminando em alguns casos no feminicídio. </w:t>
      </w:r>
      <w:bookmarkStart w:id="25" w:name="_Hlk224245158"/>
      <w:r>
        <w:rPr>
          <w:rFonts w:ascii="Arial" w:hAnsi="Arial"/>
        </w:rPr>
        <w:t>(</w:t>
      </w:r>
      <w:bookmarkStart w:id="26" w:name="_Hlk223965654"/>
      <w:r>
        <w:rPr>
          <w:rFonts w:ascii="Arial" w:hAnsi="Arial"/>
        </w:rPr>
        <w:t>Moterani; Carvalho</w:t>
      </w:r>
      <w:bookmarkEnd w:id="26"/>
      <w:r>
        <w:rPr>
          <w:rFonts w:ascii="Arial" w:hAnsi="Arial"/>
        </w:rPr>
        <w:t>, 2016, p. 167).</w:t>
      </w:r>
      <w:bookmarkEnd w:id="25"/>
    </w:p>
    <w:p w:rsidR="009D60B7" w:rsidRDefault="009D60B7">
      <w:pPr>
        <w:pStyle w:val="Corpodetexto"/>
        <w:ind w:left="2268" w:right="142"/>
        <w:rPr>
          <w:rFonts w:ascii="Arial" w:hAnsi="Arial"/>
        </w:rPr>
      </w:pPr>
    </w:p>
    <w:p w:rsidR="009D60B7" w:rsidRDefault="00425C09">
      <w:pPr>
        <w:pStyle w:val="Corpodetexto"/>
        <w:spacing w:before="1" w:line="360" w:lineRule="auto"/>
        <w:ind w:right="141" w:firstLine="851"/>
        <w:jc w:val="both"/>
        <w:rPr>
          <w:rFonts w:ascii="Arial" w:hAnsi="Arial"/>
          <w:sz w:val="24"/>
          <w:szCs w:val="24"/>
        </w:rPr>
      </w:pPr>
      <w:r>
        <w:rPr>
          <w:rFonts w:ascii="Arial" w:hAnsi="Arial"/>
          <w:sz w:val="24"/>
          <w:szCs w:val="24"/>
        </w:rPr>
        <w:t>Podemos compreender que a misoginia não pode ser conceituada simplesmente por indiferença direcionada a mulheres, podendo se manifestar de maneira sorrateira e silenciosa, presente em pequenos comportamentos do cotidiano que acabam sendo interpretadas como normais. Ela pode ser observada na desigualdade de tratamento, na limitação de espaços ocupados por mulheres e na irredutível tentativa de controlar seus corpos e comportamentos através de ideologias históricas ultrapassadas, podendo culminar em casos extremos de violência.</w:t>
      </w:r>
    </w:p>
    <w:p w:rsidR="009D60B7" w:rsidRDefault="00425C09">
      <w:pPr>
        <w:pStyle w:val="Corpodetexto"/>
        <w:spacing w:before="1" w:line="360" w:lineRule="auto"/>
        <w:ind w:right="141" w:firstLine="851"/>
        <w:jc w:val="both"/>
        <w:rPr>
          <w:rFonts w:ascii="Arial" w:hAnsi="Arial"/>
          <w:sz w:val="24"/>
          <w:szCs w:val="24"/>
        </w:rPr>
      </w:pPr>
      <w:r>
        <w:rPr>
          <w:rFonts w:ascii="Arial" w:hAnsi="Arial"/>
          <w:sz w:val="24"/>
          <w:szCs w:val="24"/>
        </w:rPr>
        <w:t>Partindo desse cenário, Bicalho (2001) afirma que “o pensamento misógino justifica práticas culturais e relações intersubjetivas na assimetria entre o masculino e o feminino, desenvolvendo sentimentos de inferioridade e culpabilidade na mulher.” (Bicalho, 2001, p. 26). Torna-se possível perceber que a misoginia foi construída como um comportamento induzido ao longo de muitos anos e que ainda hoje influencia a forma como as mulheres são posicionadas na sociedade, resultando no que conhecemos como desigualdade de gênero.</w:t>
      </w:r>
    </w:p>
    <w:p w:rsidR="009D60B7" w:rsidRDefault="00425C09">
      <w:pPr>
        <w:pStyle w:val="Corpodetexto"/>
        <w:spacing w:before="1" w:line="360" w:lineRule="auto"/>
        <w:ind w:right="141" w:firstLine="851"/>
        <w:jc w:val="both"/>
        <w:rPr>
          <w:rFonts w:ascii="Arial" w:hAnsi="Arial"/>
          <w:sz w:val="24"/>
          <w:szCs w:val="24"/>
        </w:rPr>
      </w:pPr>
      <w:r>
        <w:rPr>
          <w:rFonts w:ascii="Arial" w:hAnsi="Arial"/>
          <w:sz w:val="24"/>
          <w:szCs w:val="24"/>
        </w:rPr>
        <w:t xml:space="preserve">Ao longo da história, a sociedade atribuiu um conjunto de papeis direcionados a homens e mulheres, o que contribuiu para a construção de tradições misógenas, nessas construções sociais, o papel da mulher sempre foi ligado à família e à maternidade, enquanto ao homem foi atribuído o papel de líder e protetor da família (Santos, 2014). </w:t>
      </w:r>
    </w:p>
    <w:p w:rsidR="009D60B7" w:rsidRDefault="00425C09">
      <w:pPr>
        <w:pStyle w:val="Corpodetexto"/>
        <w:spacing w:before="1" w:line="360" w:lineRule="auto"/>
        <w:ind w:right="141" w:firstLine="851"/>
        <w:jc w:val="both"/>
        <w:rPr>
          <w:rFonts w:ascii="Arial" w:hAnsi="Arial"/>
          <w:sz w:val="24"/>
          <w:szCs w:val="24"/>
        </w:rPr>
      </w:pPr>
      <w:r>
        <w:rPr>
          <w:rFonts w:ascii="Arial" w:hAnsi="Arial"/>
          <w:sz w:val="24"/>
          <w:szCs w:val="24"/>
        </w:rPr>
        <w:t xml:space="preserve">Esses esteriótipos envolvem diversas crenças de senso comum que culminam em pequenas atitudes de violência e hostilidade do dia a dia que acabam sendo interpretadas como naturais. Dessa forma, essas concepções são compartilhadas de </w:t>
      </w:r>
      <w:r>
        <w:rPr>
          <w:rFonts w:ascii="Arial" w:hAnsi="Arial"/>
          <w:sz w:val="24"/>
          <w:szCs w:val="24"/>
        </w:rPr>
        <w:lastRenderedPageBreak/>
        <w:t>geração em geração sem que sejam devidamente questionadas e reparadas.</w:t>
      </w:r>
    </w:p>
    <w:p w:rsidR="009D60B7" w:rsidRDefault="00425C09">
      <w:pPr>
        <w:pStyle w:val="Corpodetexto"/>
        <w:spacing w:before="1" w:line="360" w:lineRule="auto"/>
        <w:ind w:right="141" w:firstLine="851"/>
        <w:jc w:val="both"/>
        <w:rPr>
          <w:rFonts w:ascii="Arial" w:hAnsi="Arial"/>
          <w:sz w:val="24"/>
          <w:szCs w:val="24"/>
        </w:rPr>
      </w:pPr>
      <w:r>
        <w:rPr>
          <w:rFonts w:ascii="Arial" w:hAnsi="Arial"/>
          <w:sz w:val="24"/>
          <w:szCs w:val="24"/>
        </w:rPr>
        <w:t xml:space="preserve">A dívida histórica da misoginia pode ser explicada a partir de uma perspectiva sociológica, iniciando nos processos de socialização, onde são introduzidas as “culturas sociais” (patriarcado) ainda na infância. </w:t>
      </w:r>
    </w:p>
    <w:p w:rsidR="009D60B7" w:rsidRDefault="00425C09">
      <w:pPr>
        <w:pStyle w:val="Corpodetexto"/>
        <w:spacing w:before="1" w:line="360" w:lineRule="auto"/>
        <w:ind w:right="141" w:firstLine="851"/>
        <w:jc w:val="both"/>
        <w:rPr>
          <w:rFonts w:ascii="Arial" w:hAnsi="Arial"/>
        </w:rPr>
      </w:pPr>
      <w:r>
        <w:rPr>
          <w:rFonts w:ascii="Arial" w:hAnsi="Arial"/>
          <w:sz w:val="24"/>
          <w:szCs w:val="24"/>
        </w:rPr>
        <w:t>Aguiar e Pelá (2017, p.74) destacam que esse processo é feito através da educação, costumes de educação como expectativas sobre o comportamento e quais são os papéis de cada gênero por meio de brinquedos, hábitos, valores e padrões morais que demandam quais comportamentos são valorizados ou punidos dentro da sociedade para cada gênero. Dessa forma, é criado um roteiro de comportamentos a ser seguido que culminam desigualdades de gênero, atribuindo às meninas e meninos características esterotipadas a serem praticadas. Nesse sentido, Monterani e Carvalho (2016, p. 167) observam que:</w:t>
      </w:r>
    </w:p>
    <w:p w:rsidR="009D60B7" w:rsidRDefault="00425C09">
      <w:pPr>
        <w:pStyle w:val="Corpodetexto"/>
        <w:ind w:left="2268" w:right="142"/>
        <w:contextualSpacing/>
        <w:jc w:val="both"/>
        <w:rPr>
          <w:rFonts w:ascii="Arial" w:hAnsi="Arial"/>
        </w:rPr>
      </w:pPr>
      <w:r>
        <w:rPr>
          <w:rFonts w:ascii="Arial" w:hAnsi="Arial"/>
        </w:rPr>
        <w:t>Para além disto, durante todo o processo da infância é estabelecida uma separação, que impõe valores que no futuro irão se dividir e determinar quem domina e quem é dominado. Essa divisão se consolida, e aqueles que se propõem a desviar-se desse processo são hostilizados ou sofrem diante de frustrações severas que resultam na depressão e em outras doenças psíquicas.</w:t>
      </w:r>
      <w:r>
        <w:rPr>
          <w:rFonts w:ascii="Arial" w:hAnsi="Arial"/>
          <w:lang w:val="pt-BR"/>
        </w:rPr>
        <w:t xml:space="preserve"> </w:t>
      </w:r>
      <w:r>
        <w:rPr>
          <w:rFonts w:ascii="Arial" w:hAnsi="Arial"/>
        </w:rPr>
        <w:t>(Moterani; Carvalho, 2016, p. 167).</w:t>
      </w:r>
    </w:p>
    <w:p w:rsidR="009D60B7" w:rsidRDefault="009D60B7">
      <w:pPr>
        <w:pStyle w:val="Corpodetexto"/>
        <w:ind w:left="142" w:right="142" w:firstLine="705"/>
        <w:rPr>
          <w:rFonts w:ascii="Arial" w:hAnsi="Arial"/>
        </w:rPr>
      </w:pPr>
    </w:p>
    <w:p w:rsidR="009D60B7" w:rsidRDefault="00425C09">
      <w:pPr>
        <w:pStyle w:val="Corpodetexto"/>
        <w:spacing w:line="360" w:lineRule="auto"/>
        <w:ind w:left="142" w:right="142" w:firstLine="705"/>
        <w:jc w:val="both"/>
        <w:rPr>
          <w:rFonts w:ascii="Arial" w:hAnsi="Arial"/>
          <w:sz w:val="24"/>
          <w:szCs w:val="24"/>
        </w:rPr>
      </w:pPr>
      <w:r>
        <w:rPr>
          <w:rFonts w:ascii="Arial" w:hAnsi="Arial"/>
          <w:sz w:val="24"/>
          <w:szCs w:val="24"/>
        </w:rPr>
        <w:t>Com base nesse entendimento, observa-se que os padrões sociais aplicados desde cedo influenciam nas formas como as relações de poder são construídas na sociedade. Dessa forma, determinados comportamentos por ambos os gêneros são encorajados ou desaprovados e desempenham um papel importante na formação de homens e mulheres, onde são criadas regras sociais sobre quem deve se submeter e quem deve exercer uma posição de domínio a qualquer custo. Quando esses padrões sociais não são seguidos, o indívido pode enfentar grave prejuízo social, entre outras consequências que podem resultar em sensação de fracasso.</w:t>
      </w:r>
    </w:p>
    <w:p w:rsidR="009D60B7" w:rsidRDefault="00425C09">
      <w:pPr>
        <w:pStyle w:val="Corpodetexto"/>
        <w:spacing w:before="1" w:line="360" w:lineRule="auto"/>
        <w:ind w:right="141" w:firstLine="705"/>
        <w:jc w:val="both"/>
        <w:rPr>
          <w:rFonts w:ascii="Arial" w:hAnsi="Arial"/>
          <w:sz w:val="24"/>
          <w:szCs w:val="24"/>
        </w:rPr>
      </w:pPr>
      <w:r>
        <w:rPr>
          <w:rFonts w:ascii="Arial" w:hAnsi="Arial"/>
          <w:sz w:val="24"/>
          <w:szCs w:val="24"/>
        </w:rPr>
        <w:t xml:space="preserve">Do ponto de vista psicanalítico, a reprodução de padrões sociais também pode ser compreendida pela ideia do “ideal do ego”, criada por Sigmund Freud (1923-1925) , no qual se refere a uma “bússola interna” ultilizada para orientar como os indíviduos avaliam suas próprias expectativas e seu comportamento, para considerar o que é aplaudido ou não perante a sociedade. Quando essa expectiativas são construídas a partir de valores misógenos, homens e mulheres passam a se avaliar com base em critérios estabelecidos pela pópria sociedade, e consequentemente, acabam reproduzindo a desigualdade de forma imperceptível. Assim, determinadas normas sociais descriminatórias são seguidas e atribuidas ao cotidiano, o que contribui para a naturalização de atitudes misógenas. </w:t>
      </w:r>
    </w:p>
    <w:p w:rsidR="009D60B7" w:rsidRDefault="00425C09">
      <w:pPr>
        <w:pStyle w:val="Corpodetexto"/>
        <w:spacing w:before="1" w:line="360" w:lineRule="auto"/>
        <w:ind w:right="141" w:firstLine="705"/>
        <w:jc w:val="both"/>
        <w:rPr>
          <w:rFonts w:ascii="Arial" w:hAnsi="Arial"/>
          <w:sz w:val="24"/>
          <w:szCs w:val="24"/>
        </w:rPr>
      </w:pPr>
      <w:r>
        <w:rPr>
          <w:rFonts w:ascii="Arial" w:hAnsi="Arial"/>
          <w:sz w:val="24"/>
          <w:szCs w:val="24"/>
        </w:rPr>
        <w:lastRenderedPageBreak/>
        <w:t>A partir dessas perspectivas, tanto no ponto de vista sociológico quanto o psicanalítico, percebe-se que os padrões sociais relacionados a gênero não surgiram de forma espontânea, mas fazem parte de uma problemática que vai além da própria autonomia e de simples comportamentos individuais, mas estão ligados na forma como os indivíduos são colocados perante a sociedade na construção da sua própria identidade. Quando esses valores são enraizados ao longo de décadas, eles acabam sendo reproduzidos de maneira inconciente, contribuindo para dinâmicas de desigualdade de gênero e da continuidade de padrões sociais.</w:t>
      </w:r>
    </w:p>
    <w:p w:rsidR="009D60B7" w:rsidRDefault="00425C09">
      <w:pPr>
        <w:pStyle w:val="Corpodetexto"/>
        <w:spacing w:before="1" w:line="360" w:lineRule="auto"/>
        <w:ind w:right="141" w:firstLine="705"/>
        <w:jc w:val="both"/>
        <w:rPr>
          <w:rFonts w:ascii="Arial" w:hAnsi="Arial"/>
          <w:sz w:val="24"/>
          <w:szCs w:val="24"/>
        </w:rPr>
      </w:pPr>
      <w:r>
        <w:rPr>
          <w:rFonts w:ascii="Arial" w:hAnsi="Arial"/>
          <w:sz w:val="24"/>
          <w:szCs w:val="24"/>
        </w:rPr>
        <w:t>Diante desse contexto histórico e social, é possível compreender que a desigualdade de gênero não se limita apenas às estruturas tradicionais da sociedade. Com as transformações tecnológicas e a ampliação do uso da internet, as mesmas tradições sociais passaram a se manifestar também nos ambientes digitais, onde novas formas de interação social possibilitaram uam extensão da reprodução de práticas misógenas.</w:t>
      </w:r>
    </w:p>
    <w:p w:rsidR="009D60B7" w:rsidRDefault="00425C09">
      <w:pPr>
        <w:pStyle w:val="Corpodetexto"/>
        <w:spacing w:line="360" w:lineRule="auto"/>
        <w:ind w:right="141" w:firstLine="706"/>
        <w:jc w:val="both"/>
        <w:rPr>
          <w:rFonts w:ascii="Arial" w:hAnsi="Arial"/>
          <w:sz w:val="24"/>
          <w:szCs w:val="24"/>
        </w:rPr>
      </w:pPr>
      <w:r>
        <w:rPr>
          <w:rFonts w:ascii="Arial" w:hAnsi="Arial"/>
          <w:sz w:val="24"/>
          <w:szCs w:val="24"/>
        </w:rPr>
        <w:t>Ainda nesse contexto, grande parte dessas manifestações misóginas no ambiente virtual é praticada por homens que participam de comunidades virtuais associadas a ideologias de superioridade masculina, nos quais determinados grupos masculinos promovem uma forma exagerada de masculinidade, principalmente tendo como característica principal promover discursos antifeministas (Silva, 2022). Entre esses grupos destacam-se os “Red Pill”, e grupos mais extremistas como “MGTOW (</w:t>
      </w:r>
      <w:r>
        <w:rPr>
          <w:rFonts w:ascii="Arial" w:hAnsi="Arial"/>
          <w:i/>
          <w:iCs/>
          <w:sz w:val="24"/>
          <w:szCs w:val="24"/>
        </w:rPr>
        <w:t>Men Going Their Own Way</w:t>
      </w:r>
      <w:r>
        <w:rPr>
          <w:rFonts w:ascii="Arial" w:hAnsi="Arial"/>
          <w:sz w:val="24"/>
          <w:szCs w:val="24"/>
        </w:rPr>
        <w:t>)” e incels, frequentemente ultilizados como um lugar de apoio entre homens para a disseminação de discursos misóginos contra mulheres.</w:t>
      </w:r>
    </w:p>
    <w:p w:rsidR="009D60B7" w:rsidRDefault="00425C09">
      <w:pPr>
        <w:pStyle w:val="Corpodetexto"/>
        <w:spacing w:line="360" w:lineRule="auto"/>
        <w:ind w:right="141" w:firstLine="706"/>
        <w:jc w:val="both"/>
        <w:rPr>
          <w:rFonts w:ascii="Arial" w:hAnsi="Arial"/>
          <w:sz w:val="24"/>
          <w:szCs w:val="24"/>
        </w:rPr>
      </w:pPr>
      <w:r>
        <w:rPr>
          <w:rFonts w:ascii="Arial" w:hAnsi="Arial"/>
          <w:sz w:val="24"/>
          <w:szCs w:val="24"/>
        </w:rPr>
        <w:t xml:space="preserve">Esses espaços funcionam como uma espécie de ambiente de validação entre os homens participantes, onde ideias misógenas são normalizadas e incentivadas entre os mesmos. Com o tempo, esses inidivíduos passam a enxergar a internet como um local seguro para expressar discursos misógenos de forma comum, o que contribui para o fortalecimento de atitudes discriminatórias contra mulheres. </w:t>
      </w:r>
    </w:p>
    <w:p w:rsidR="009D60B7" w:rsidRDefault="00425C09">
      <w:pPr>
        <w:pStyle w:val="Corpodetexto"/>
        <w:spacing w:line="360" w:lineRule="auto"/>
        <w:ind w:right="141" w:firstLine="706"/>
        <w:jc w:val="both"/>
        <w:rPr>
          <w:rFonts w:ascii="Arial" w:hAnsi="Arial"/>
          <w:sz w:val="24"/>
          <w:szCs w:val="24"/>
        </w:rPr>
      </w:pPr>
      <w:r>
        <w:rPr>
          <w:rFonts w:ascii="Arial" w:hAnsi="Arial"/>
          <w:sz w:val="24"/>
          <w:szCs w:val="24"/>
        </w:rPr>
        <w:t>Embora esses grupos muitas vezes só existam no ambiente virtual, suas condutas não se limitam apenas a ele, demonstrando que a internet não somente possui a capacidade de ampliar desigualdades já existentes, mas também pode exercer o papel de “válvula de escape” para a reprodução dessas ideologias.</w:t>
      </w:r>
    </w:p>
    <w:p w:rsidR="009D60B7" w:rsidRDefault="00425C09">
      <w:pPr>
        <w:pStyle w:val="Corpodetexto"/>
        <w:spacing w:line="360" w:lineRule="auto"/>
        <w:ind w:right="141" w:firstLine="706"/>
        <w:jc w:val="both"/>
        <w:rPr>
          <w:rFonts w:ascii="Arial" w:hAnsi="Arial"/>
          <w:sz w:val="24"/>
          <w:szCs w:val="24"/>
        </w:rPr>
      </w:pPr>
      <w:r>
        <w:rPr>
          <w:rFonts w:ascii="Arial" w:hAnsi="Arial"/>
          <w:sz w:val="24"/>
          <w:szCs w:val="24"/>
        </w:rPr>
        <w:t xml:space="preserve">Com o avanço da internet, a sociedade moderna passou a se estruturar de formas mais conduzidas por plataformas digitais e seus algorítimos. Alves (2023) expõe que a atual inserção da internet alterou as percepções de espaço e tempo e mudou as </w:t>
      </w:r>
      <w:r>
        <w:rPr>
          <w:rFonts w:ascii="Arial" w:hAnsi="Arial"/>
          <w:sz w:val="24"/>
          <w:szCs w:val="24"/>
        </w:rPr>
        <w:lastRenderedPageBreak/>
        <w:t>formas interação humana. Sendo assim, além de reproduzir no ambiente virtual padrões já conhecidos no mundo real de disriminação gênero, o patriarcado passou a se adaptar a novos modelos de controle em relação às mulheres, ultilizando a tecnologia para controlar seus corpos e gerar lucro.</w:t>
      </w:r>
    </w:p>
    <w:p w:rsidR="009D60B7" w:rsidRDefault="00425C09">
      <w:pPr>
        <w:pStyle w:val="Corpodetexto"/>
        <w:spacing w:line="360" w:lineRule="auto"/>
        <w:ind w:right="141" w:firstLine="706"/>
        <w:jc w:val="both"/>
        <w:rPr>
          <w:rFonts w:ascii="Arial" w:hAnsi="Arial"/>
          <w:sz w:val="24"/>
          <w:szCs w:val="24"/>
        </w:rPr>
      </w:pPr>
      <w:r>
        <w:rPr>
          <w:rFonts w:ascii="Arial" w:hAnsi="Arial"/>
          <w:sz w:val="24"/>
          <w:szCs w:val="24"/>
        </w:rPr>
        <w:t>O patriarcado que possuía o controle ao longo dos anos, precisou encontrar novas formas para contuinuar reproduzindo padrões de controle, especialmente em relação às mulheres e qual deve ser seu papel desempenhado na sociedade. Através das próprias dinâmicas programadas nas plataformas digitais, muitos conteúdos discriminatórios tendem a receber maior engajamento (Alves, 2023). Assim, compreende-se que o machismo se estabelece tanto no mundo real quanto nos ambientes virtuais, fazendo com quem as dinâmicas de programação continuem reproduzindo práticas de violência de gênero.</w:t>
      </w:r>
    </w:p>
    <w:p w:rsidR="009D60B7" w:rsidRDefault="00425C09">
      <w:pPr>
        <w:pStyle w:val="Corpodetexto"/>
        <w:spacing w:line="360" w:lineRule="auto"/>
        <w:ind w:firstLine="706"/>
        <w:jc w:val="both"/>
        <w:rPr>
          <w:rFonts w:ascii="Arial" w:hAnsi="Arial"/>
          <w:sz w:val="24"/>
          <w:szCs w:val="24"/>
        </w:rPr>
      </w:pPr>
      <w:bookmarkStart w:id="27" w:name="_Hlk224251963"/>
      <w:r>
        <w:rPr>
          <w:rFonts w:ascii="Arial" w:hAnsi="Arial"/>
          <w:sz w:val="24"/>
          <w:szCs w:val="24"/>
        </w:rPr>
        <w:t>Na prática, é possível perceber que os sistemas digitais não se comportam de forma neutra em relação à ideologias da sociedade. Como são desenvolvidos por pessoas e programados a partir de dados inseridos pelos mesmos, esses sistemas podem acabar reproduzindo desigualdades já existentes no meio social.</w:t>
      </w:r>
    </w:p>
    <w:p w:rsidR="009D60B7" w:rsidRDefault="00425C09">
      <w:pPr>
        <w:pStyle w:val="Corpodetexto"/>
        <w:spacing w:line="360" w:lineRule="auto"/>
        <w:ind w:firstLine="706"/>
        <w:jc w:val="both"/>
        <w:rPr>
          <w:rFonts w:ascii="Arial" w:hAnsi="Arial"/>
          <w:sz w:val="24"/>
          <w:szCs w:val="24"/>
        </w:rPr>
      </w:pPr>
      <w:r>
        <w:rPr>
          <w:rFonts w:ascii="Arial" w:hAnsi="Arial"/>
          <w:sz w:val="24"/>
          <w:szCs w:val="24"/>
        </w:rPr>
        <w:t xml:space="preserve"> Nesse sentido, Alves (2023, p.03) destaca que “o processo algorítmico e a inteligência artificial não têm obtido êxito em evitar erros humanos e preconceitos de gênero ou promover ambientes virtuais mais pacíficos que os da sociedade concreta”. Dessa forma, os sistemas de algorítimos que distribuem conteúdos, ainda que muitas vezes de maneira não intencional, acabam reproduzindo falhas presentes na própria sociedade, o que contribui para a disseminação de conteúdos machistas.</w:t>
      </w:r>
      <w:bookmarkEnd w:id="27"/>
    </w:p>
    <w:p w:rsidR="009D60B7" w:rsidRDefault="00425C09">
      <w:pPr>
        <w:pStyle w:val="Corpodetexto"/>
        <w:spacing w:line="360" w:lineRule="auto"/>
        <w:ind w:firstLine="706"/>
        <w:jc w:val="both"/>
        <w:rPr>
          <w:rFonts w:ascii="Arial" w:hAnsi="Arial"/>
          <w:sz w:val="24"/>
          <w:szCs w:val="24"/>
        </w:rPr>
      </w:pPr>
      <w:r>
        <w:rPr>
          <w:rFonts w:ascii="Arial" w:hAnsi="Arial"/>
          <w:sz w:val="24"/>
          <w:szCs w:val="24"/>
        </w:rPr>
        <w:t xml:space="preserve">Além de reproduzir discriminação de gênero, os sistemas digitais também podem ser ultilizados como instrumentos para práticas de condutas ilícitas chamadas de “crimes virtuais”ou “crimes cibernéticos”, que envolvem condutas criminosas praticadas com celulares, computadores ou qualquer dispositivo de internet, configuradas como normas penais, dessa forma, as condutas ilícitas praticadas via internet se enquadram como crimes reais como qualquer outro crime (Lima; Galvão; Sitcovsky, 2025). Nos dias atuais, com a a grande proporção da internet, as práticas desses crimes aumentaram de forma consideravelmente acelerada. </w:t>
      </w:r>
    </w:p>
    <w:p w:rsidR="009D60B7" w:rsidRDefault="00425C09">
      <w:pPr>
        <w:pStyle w:val="Corpodetexto"/>
        <w:spacing w:line="360" w:lineRule="auto"/>
        <w:ind w:firstLine="706"/>
        <w:jc w:val="both"/>
        <w:rPr>
          <w:sz w:val="24"/>
          <w:szCs w:val="24"/>
        </w:rPr>
      </w:pPr>
      <w:r>
        <w:rPr>
          <w:rStyle w:val="Forte1"/>
          <w:rFonts w:ascii="Arial" w:hAnsi="Arial"/>
          <w:b w:val="0"/>
          <w:bCs w:val="0"/>
          <w:sz w:val="24"/>
          <w:szCs w:val="24"/>
        </w:rPr>
        <w:t>Nesse cenário, tais práticas de violência também passaram a se manifestar no ambiente digital</w:t>
      </w:r>
      <w:r>
        <w:rPr>
          <w:rFonts w:ascii="Arial" w:hAnsi="Arial"/>
          <w:b/>
          <w:bCs/>
          <w:sz w:val="24"/>
          <w:szCs w:val="24"/>
        </w:rPr>
        <w:t>,</w:t>
      </w:r>
      <w:r>
        <w:rPr>
          <w:rFonts w:ascii="Arial" w:hAnsi="Arial"/>
          <w:sz w:val="24"/>
          <w:szCs w:val="24"/>
        </w:rPr>
        <w:t xml:space="preserve"> onde as tecnologias de informação e comunicação podem ser utilizadas como instrumentos para a prática de condutas ilícitas. Nesse sentido, surgem os chamados “crimes virtuais” ou “crimes cibernéticos”, que envolvem condutas criminosas </w:t>
      </w:r>
      <w:r>
        <w:rPr>
          <w:rFonts w:ascii="Arial" w:hAnsi="Arial"/>
          <w:sz w:val="24"/>
          <w:szCs w:val="24"/>
        </w:rPr>
        <w:lastRenderedPageBreak/>
        <w:t>praticadas por meio de celulares, computadores ou qualquer dispositivo conectado à internet (Lima; Galvão; Sitcovsky, 2025). Essas práticas configuram violações que já estão previstas nas normas penais e, portanto, devem ser compreendidas como crimes reais, assim como aqueles praticados fora do ambiente virtual. Nos dias atuais, com a ampla expansão do uso da internet, observa-se um crescimento significativo dessas práticas. Sabe-se que o crime de estupro é tipificado no Código Penal Brasileiro (ano) em seu artigo 213, senão vejamos:</w:t>
      </w:r>
    </w:p>
    <w:p w:rsidR="009D60B7" w:rsidRDefault="00425C09">
      <w:pPr>
        <w:pStyle w:val="Corpodetexto"/>
        <w:ind w:left="2275"/>
        <w:jc w:val="both"/>
        <w:rPr>
          <w:rFonts w:ascii="Arial" w:hAnsi="Arial"/>
        </w:rPr>
      </w:pPr>
      <w:r>
        <w:rPr>
          <w:rFonts w:ascii="Arial" w:hAnsi="Arial"/>
        </w:rPr>
        <w:br/>
        <w:t>Art. 213 Constranger alguém, mediante violência ou grave ameaça, a ter conjunção carnal ou a praticar ou permitir que com ele se pratique outro ato libidinoso:</w:t>
      </w:r>
      <w:r>
        <w:rPr>
          <w:rFonts w:ascii="Arial" w:hAnsi="Arial"/>
        </w:rPr>
        <w:br/>
        <w:t>Pena – reclusão, de 6 (seis) a 10 (dez) anos.</w:t>
      </w:r>
    </w:p>
    <w:p w:rsidR="009D60B7" w:rsidRDefault="00425C09">
      <w:pPr>
        <w:pStyle w:val="Corpodetexto"/>
        <w:ind w:left="2275"/>
        <w:jc w:val="both"/>
        <w:rPr>
          <w:rFonts w:ascii="Arial" w:hAnsi="Arial"/>
        </w:rPr>
      </w:pPr>
      <w:r>
        <w:rPr>
          <w:rFonts w:ascii="Arial" w:hAnsi="Arial"/>
        </w:rPr>
        <w:t xml:space="preserve">Se da ação resulta lesão corporal de natureza grave ou se a vítima é menor de 18 anos e maior de 14 anos: reclusão, de 8 (oito) a 12 (doze) anos. (Brasil, 1940, </w:t>
      </w:r>
      <w:r>
        <w:rPr>
          <w:rFonts w:ascii="Arial" w:hAnsi="Arial"/>
          <w:i/>
          <w:iCs/>
        </w:rPr>
        <w:t>online</w:t>
      </w:r>
      <w:r>
        <w:rPr>
          <w:rFonts w:ascii="Arial" w:hAnsi="Arial"/>
        </w:rPr>
        <w:t>)</w:t>
      </w:r>
    </w:p>
    <w:p w:rsidR="009D60B7" w:rsidRDefault="009D60B7">
      <w:pPr>
        <w:pStyle w:val="Corpodetexto"/>
        <w:ind w:left="2268"/>
        <w:rPr>
          <w:rFonts w:ascii="Arial" w:hAnsi="Arial"/>
        </w:rPr>
      </w:pPr>
    </w:p>
    <w:p w:rsidR="009D60B7" w:rsidRDefault="00425C09">
      <w:pPr>
        <w:pStyle w:val="Corpodetexto"/>
        <w:spacing w:line="360" w:lineRule="auto"/>
        <w:ind w:left="142" w:firstLine="703"/>
        <w:jc w:val="both"/>
        <w:rPr>
          <w:rFonts w:ascii="Arial" w:hAnsi="Arial"/>
          <w:sz w:val="24"/>
          <w:szCs w:val="24"/>
        </w:rPr>
      </w:pPr>
      <w:r>
        <w:rPr>
          <w:rFonts w:ascii="Arial" w:hAnsi="Arial"/>
          <w:sz w:val="24"/>
          <w:szCs w:val="24"/>
        </w:rPr>
        <w:t>Observa-se que, embora a lei tenha sido tipificada para situações ocorridas no mundo real envolvendo a consumação da conjunção carnal, a constante evolução das tecnologias digitais possibilitou o surgimento de novas formas de violência sexual possibilitadas pela internet. Nesse contexto, práticas como coerção, ameaça, exposição e manipulação de conteúdo íntimo podem configurar formas contemporâneas de violência sexual.</w:t>
      </w:r>
    </w:p>
    <w:p w:rsidR="009D60B7" w:rsidRDefault="00425C09">
      <w:pPr>
        <w:pStyle w:val="Corpodetexto"/>
        <w:spacing w:line="360" w:lineRule="auto"/>
        <w:ind w:left="142" w:firstLine="992"/>
        <w:jc w:val="both"/>
        <w:rPr>
          <w:rFonts w:ascii="Arial" w:hAnsi="Arial"/>
          <w:sz w:val="24"/>
          <w:szCs w:val="24"/>
        </w:rPr>
      </w:pPr>
      <w:r>
        <w:rPr>
          <w:rFonts w:ascii="Arial" w:hAnsi="Arial"/>
          <w:sz w:val="24"/>
          <w:szCs w:val="24"/>
        </w:rPr>
        <w:t>Nesse contexto, é possível que ocorra o crime chamado de “estupro virtual”, que se confugura como o ato de ultilizar chantagens ou ameaças graves para obrigar a vítima à submissão ou realizar atos de cunho sexual que provocam a conjunção carnal (Marodin, 2021). O crime pode ser concretizado através de algmas situações em que o indivíduo, ao conversar com a vítima via internet, através de web cam, chamada de vídeo ou filmagens, venha a chantagear a vítima usando sua família, amigos, ou até mesmo com ameaças de morte, fazendo com que a vítima esteja em estado vulnerável para que tire a roupa e satisfaça atos libidinosos contra a sua vontade.</w:t>
      </w:r>
    </w:p>
    <w:p w:rsidR="009D60B7" w:rsidRDefault="00425C09">
      <w:pPr>
        <w:pStyle w:val="Corpodetexto"/>
        <w:spacing w:line="360" w:lineRule="auto"/>
        <w:ind w:left="142" w:firstLine="992"/>
        <w:jc w:val="both"/>
        <w:rPr>
          <w:rFonts w:ascii="Arial" w:hAnsi="Arial"/>
          <w:sz w:val="24"/>
          <w:szCs w:val="24"/>
          <w:lang w:val="pt-BR"/>
        </w:rPr>
      </w:pPr>
      <w:r>
        <w:rPr>
          <w:rFonts w:ascii="Arial" w:hAnsi="Arial"/>
          <w:sz w:val="24"/>
          <w:szCs w:val="24"/>
          <w:lang w:val="pt-BR"/>
        </w:rPr>
        <w:t xml:space="preserve">A análise da jurisprudência do Superior Tribunal de Justiça demonstra como o Direito Penal se adaptou a novas formas de violência no ambiente digital. No julgamento do AREsp 2639144, a Corte reconheceu que a grave ameaça praticada pela internet, por meio de chantagem e coerção psicológica, pode configurar o crime de estupro, desde que haja violação da liberdade sexual da vítima. </w:t>
      </w:r>
    </w:p>
    <w:p w:rsidR="009D60B7" w:rsidRDefault="00425C09">
      <w:pPr>
        <w:pStyle w:val="Corpodetexto"/>
        <w:spacing w:line="360" w:lineRule="auto"/>
        <w:ind w:left="142" w:firstLine="992"/>
        <w:jc w:val="both"/>
        <w:rPr>
          <w:rFonts w:ascii="Arial" w:hAnsi="Arial"/>
          <w:sz w:val="24"/>
          <w:szCs w:val="24"/>
        </w:rPr>
      </w:pPr>
      <w:r>
        <w:rPr>
          <w:rFonts w:ascii="Arial" w:hAnsi="Arial"/>
          <w:sz w:val="24"/>
          <w:szCs w:val="24"/>
          <w:lang w:val="pt-BR"/>
        </w:rPr>
        <w:t xml:space="preserve">Na ocasião, destacou-se que a ausência de contato físico não impede a caracterização do delito. Esse entendimento também foi reafirmado no HC 938596, que tratou de uma adolescente coagida a praticar atos libidinosos durante vídeo chamadas, </w:t>
      </w:r>
      <w:r>
        <w:rPr>
          <w:rFonts w:ascii="Arial" w:hAnsi="Arial"/>
          <w:sz w:val="24"/>
          <w:szCs w:val="24"/>
          <w:lang w:val="pt-BR"/>
        </w:rPr>
        <w:lastRenderedPageBreak/>
        <w:t>após o agressor utilizar conteúdos íntimos como forma de ameaça. O Tribunal entendeu que, mesmo à distância, a pressão exercida foi suficiente para gerar efeitos semelhantes aos da coerção física, tornando irrelevante a inexistência de contato direto entre as partes.</w:t>
      </w:r>
    </w:p>
    <w:p w:rsidR="009D60B7" w:rsidRDefault="00425C09">
      <w:pPr>
        <w:pStyle w:val="Corpodetexto"/>
        <w:spacing w:line="360" w:lineRule="auto"/>
        <w:ind w:left="142" w:firstLine="992"/>
        <w:jc w:val="both"/>
        <w:rPr>
          <w:rFonts w:ascii="Arial" w:hAnsi="Arial"/>
          <w:sz w:val="24"/>
          <w:szCs w:val="24"/>
          <w:lang w:val="pt-BR"/>
        </w:rPr>
      </w:pPr>
      <w:r>
        <w:rPr>
          <w:rFonts w:ascii="Arial" w:hAnsi="Arial"/>
          <w:sz w:val="24"/>
          <w:szCs w:val="24"/>
          <w:lang w:val="pt-BR"/>
        </w:rPr>
        <w:t xml:space="preserve">Além disso, no RHC 204230, foi mantida a prisão preventiva de um investigado por estupro virtual, considerando o risco de reiteração criminosa e a gravidade de sua conduta, já que utilizava redes sociais para abordar vítimas vulneráveis, especialmente adolescentes, e constrangê-las à exposição sexual. </w:t>
      </w:r>
    </w:p>
    <w:p w:rsidR="009D60B7" w:rsidRDefault="00425C09">
      <w:pPr>
        <w:pStyle w:val="Corpodetexto"/>
        <w:spacing w:line="360" w:lineRule="auto"/>
        <w:ind w:left="142" w:firstLine="992"/>
        <w:jc w:val="both"/>
        <w:rPr>
          <w:rFonts w:ascii="Arial" w:hAnsi="Arial"/>
          <w:sz w:val="24"/>
          <w:szCs w:val="24"/>
        </w:rPr>
      </w:pPr>
      <w:r>
        <w:rPr>
          <w:rFonts w:ascii="Arial" w:hAnsi="Arial"/>
          <w:sz w:val="24"/>
          <w:szCs w:val="24"/>
          <w:lang w:val="pt-BR"/>
        </w:rPr>
        <w:t>No campo probatório, o AREsp 2236123/DF evidenciou as dificuldades na comprovação desses crimes, sobretudo quando há exclusão de conteúdos pelo próprio autor. Ainda assim, o STJ reconheceu que provas indiretas, como registros de conversas, depoimentos e avaliações psicológicas, podem ser suficientes quando analisadas em conjunto. Nessa linha, reforça-se que a palavra da vítima continua tendo relevância principal, especialmente quando acompanhada de outros elementos que comprovem sua narrativa.</w:t>
      </w:r>
    </w:p>
    <w:p w:rsidR="009D60B7" w:rsidRDefault="00425C09">
      <w:pPr>
        <w:pStyle w:val="Corpodetexto"/>
        <w:spacing w:line="360" w:lineRule="auto"/>
        <w:ind w:left="142" w:firstLine="992"/>
        <w:jc w:val="both"/>
        <w:rPr>
          <w:rFonts w:ascii="Arial" w:hAnsi="Arial"/>
          <w:sz w:val="24"/>
          <w:szCs w:val="24"/>
        </w:rPr>
      </w:pPr>
      <w:r>
        <w:rPr>
          <w:rFonts w:ascii="Arial" w:hAnsi="Arial"/>
          <w:sz w:val="24"/>
          <w:szCs w:val="24"/>
        </w:rPr>
        <w:t>É de senso comum que a cosumação do ato carnal é impossível sem contato físico, no entanto, o simples ato do indivíduo ter poder sob a vítima, de forma com que ultilize de qualquer meio de chantagem, ou formas graves de ameaça, para obter vantagem sexual, já é o suficiente para configurar o delito. A gravidade do crime é alarmante, tendo em vista que os impactos na vida das vítimas são, em muitos casos, irreveríveis. No caso do estupro virtual, a atenção precisa ser ainda maior, considerando que a grande maioria das vítimas são meninas menores de 18 anos, em estado vulnerável (Lima; Galvão; Gitcovsky, 2025).</w:t>
      </w:r>
    </w:p>
    <w:p w:rsidR="009D60B7" w:rsidRDefault="00425C09">
      <w:pPr>
        <w:pStyle w:val="Ttulo2"/>
        <w:tabs>
          <w:tab w:val="left" w:pos="1566"/>
        </w:tabs>
        <w:spacing w:line="360" w:lineRule="auto"/>
        <w:ind w:left="0" w:right="159" w:firstLine="1134"/>
        <w:jc w:val="both"/>
        <w:rPr>
          <w:rFonts w:ascii="Arial" w:hAnsi="Arial"/>
          <w:sz w:val="24"/>
          <w:szCs w:val="24"/>
        </w:rPr>
      </w:pPr>
      <w:r>
        <w:rPr>
          <w:rFonts w:ascii="Arial" w:hAnsi="Arial"/>
          <w:sz w:val="24"/>
          <w:szCs w:val="24"/>
        </w:rPr>
        <w:t xml:space="preserve">Apesar dos diversos benefícios proporicionados pela tecnologia, como o fácil acesso à informação e a facilidade de comunicação entre os indivíduos, o ambiente virtual também trouxe desafios importantes e novas discussões. A facilidade de comunicação em ambientes virtuais, muitas vezes com a possibilidade de atuar sob anonimato, consequentemente contribuiu para a ocorrência de comportamentos antiéticos ou até mesmo práticas ilícitas. Nesse sentido, alguns usuários na internet começaram a interpretar o espaço digital como um ambiente sem limites, o que favorece essas práticas nas interações on-line (Marodin, 2021, p. 16-17-18). </w:t>
      </w:r>
    </w:p>
    <w:p w:rsidR="009D60B7" w:rsidRDefault="00425C09">
      <w:pPr>
        <w:pStyle w:val="Ttulo2"/>
        <w:tabs>
          <w:tab w:val="left" w:pos="1566"/>
        </w:tabs>
        <w:spacing w:line="360" w:lineRule="auto"/>
        <w:ind w:left="0" w:right="159" w:firstLine="1134"/>
        <w:jc w:val="both"/>
        <w:rPr>
          <w:rFonts w:ascii="Arial" w:hAnsi="Arial"/>
          <w:sz w:val="24"/>
          <w:szCs w:val="24"/>
        </w:rPr>
      </w:pPr>
      <w:r>
        <w:rPr>
          <w:rFonts w:ascii="Arial" w:hAnsi="Arial"/>
          <w:sz w:val="24"/>
          <w:szCs w:val="24"/>
        </w:rPr>
        <w:t xml:space="preserve">O uso inadequado da internet pode gerar diversas consequências sociais, uma vez que o ambiente virtual pode facilitar a prática de comportamentos imorais. Nesse sentido, Marodin (2021, p.18) afirma que “a era tecnológica tem transmitido a </w:t>
      </w:r>
      <w:r>
        <w:rPr>
          <w:rFonts w:ascii="Arial" w:hAnsi="Arial"/>
          <w:sz w:val="24"/>
          <w:szCs w:val="24"/>
        </w:rPr>
        <w:lastRenderedPageBreak/>
        <w:t>muitos a falsa ideia de que há uma liberdade desenfreada e sem limites”.</w:t>
      </w:r>
    </w:p>
    <w:p w:rsidR="009D60B7" w:rsidRDefault="00425C09">
      <w:pPr>
        <w:pStyle w:val="NormalWeb"/>
        <w:spacing w:beforeAutospacing="0" w:afterAutospacing="0" w:line="360" w:lineRule="auto"/>
        <w:ind w:firstLine="1134"/>
        <w:jc w:val="both"/>
        <w:rPr>
          <w:rFonts w:ascii="Arial" w:hAnsi="Arial"/>
        </w:rPr>
      </w:pPr>
      <w:r>
        <w:rPr>
          <w:rFonts w:ascii="Arial" w:hAnsi="Arial"/>
        </w:rPr>
        <w:t>As discussões apresentadas ao longo deste capítulo evidenciam que a misoginia está profundamente enraizada em contextos históricos, culturais e sociais que contribuíram para dinâmicas sociais desiguais entre homens e mulheres. Com a expansão das tecnologias digitais, tais dinâmicas passaram a ultrapassar os limites do espaço físico, assumindo novas configurações no ambiente virtual e ampliando as possibilidades de disseminação de práticas misóginas e violentas direcionadas às mulheres.</w:t>
      </w:r>
    </w:p>
    <w:p w:rsidR="009D60B7" w:rsidRDefault="00425C09">
      <w:pPr>
        <w:pStyle w:val="NormalWeb"/>
        <w:spacing w:beforeAutospacing="0" w:afterAutospacing="0" w:line="360" w:lineRule="auto"/>
        <w:ind w:firstLine="1134"/>
        <w:jc w:val="both"/>
        <w:rPr>
          <w:rFonts w:ascii="Arial" w:hAnsi="Arial"/>
        </w:rPr>
      </w:pPr>
      <w:r>
        <w:rPr>
          <w:rFonts w:ascii="Arial" w:hAnsi="Arial"/>
        </w:rPr>
        <w:t>A presença dessas manifestações no ambiente virtual evidência que a violência de gênero também acompanha a evolução tecnologia. Dessa forma, é necessário compreender não apenas os comportamentos reproduzidos pelos indivíduos, mas também as dinâmicas que organizam a circulação desses conteúdos nas plataformas digitais. A análise dessas dinâmicas é fundamental para entender como determinados discursos e comportamentos conseguem alcançar ampla visibilidade nas redes sociais.</w:t>
      </w:r>
    </w:p>
    <w:p w:rsidR="009D60B7" w:rsidRDefault="009D60B7">
      <w:pPr>
        <w:pStyle w:val="Corpodetexto"/>
        <w:ind w:firstLine="1134"/>
        <w:rPr>
          <w:rFonts w:ascii="Arial" w:hAnsi="Arial" w:cs="Arial"/>
        </w:rPr>
      </w:pPr>
    </w:p>
    <w:p w:rsidR="009D60B7" w:rsidRPr="00EB508A" w:rsidRDefault="00425C09">
      <w:pPr>
        <w:pStyle w:val="Ttulo2"/>
        <w:tabs>
          <w:tab w:val="left" w:pos="426"/>
        </w:tabs>
        <w:spacing w:line="360" w:lineRule="auto"/>
        <w:ind w:left="0" w:right="159"/>
        <w:jc w:val="both"/>
        <w:rPr>
          <w:rFonts w:ascii="Arial" w:hAnsi="Arial"/>
          <w:bCs/>
          <w:sz w:val="24"/>
          <w:szCs w:val="24"/>
        </w:rPr>
      </w:pPr>
      <w:r w:rsidRPr="00EB508A">
        <w:rPr>
          <w:rFonts w:ascii="Arial" w:hAnsi="Arial"/>
          <w:bCs/>
          <w:sz w:val="24"/>
          <w:szCs w:val="24"/>
          <w:lang w:val="pt-BR"/>
        </w:rPr>
        <w:t xml:space="preserve">2 </w:t>
      </w:r>
      <w:r w:rsidRPr="00EB508A">
        <w:rPr>
          <w:rFonts w:ascii="Arial" w:hAnsi="Arial"/>
          <w:bCs/>
          <w:sz w:val="24"/>
          <w:szCs w:val="24"/>
        </w:rPr>
        <w:t xml:space="preserve">ANÁLISE DO FUNCIONAMENTO DOS ALGORÍTIMOS, ENGAJAMENTO E A MONETIZAÇÃO </w:t>
      </w:r>
    </w:p>
    <w:p w:rsidR="009D60B7" w:rsidRDefault="00425C09">
      <w:pPr>
        <w:pStyle w:val="Ttulo2"/>
        <w:tabs>
          <w:tab w:val="left" w:pos="1566"/>
        </w:tabs>
        <w:spacing w:line="360" w:lineRule="auto"/>
        <w:ind w:left="0" w:right="159" w:firstLine="851"/>
        <w:jc w:val="both"/>
        <w:rPr>
          <w:rFonts w:ascii="Arial" w:hAnsi="Arial"/>
          <w:sz w:val="24"/>
          <w:szCs w:val="24"/>
        </w:rPr>
      </w:pPr>
      <w:r>
        <w:rPr>
          <w:rFonts w:ascii="Arial" w:hAnsi="Arial"/>
          <w:sz w:val="24"/>
          <w:szCs w:val="24"/>
        </w:rPr>
        <w:t>O funcionamento das plataformas digitais está diretamente interligado aos seus mecanismos de recomendação que influenciam a forma como os conteúdos são distribuídos, produzidos e consumidos pelos usuários. Nesse cenário, sistemas como os algorítimos, o engajamento e de que forma ocorre a monetização dos conteúdos, possuem um papel principal na organização do ambiente virtual.</w:t>
      </w:r>
    </w:p>
    <w:p w:rsidR="009D60B7" w:rsidRDefault="00425C09">
      <w:pPr>
        <w:pStyle w:val="Ttulo2"/>
        <w:tabs>
          <w:tab w:val="left" w:pos="1566"/>
        </w:tabs>
        <w:spacing w:line="360" w:lineRule="auto"/>
        <w:ind w:left="0" w:right="159" w:firstLine="851"/>
        <w:jc w:val="both"/>
        <w:rPr>
          <w:rFonts w:ascii="Arial" w:hAnsi="Arial"/>
          <w:sz w:val="24"/>
          <w:szCs w:val="24"/>
        </w:rPr>
      </w:pPr>
      <w:r>
        <w:rPr>
          <w:rFonts w:ascii="Arial" w:hAnsi="Arial"/>
          <w:sz w:val="24"/>
          <w:szCs w:val="24"/>
        </w:rPr>
        <w:t xml:space="preserve"> Assim, é importante compreender como os mecanismos de recomendação influenciam determinados comportamentos e como colaboram para a disseminação de certos conteúdos problemáticos. Nesse sentido, é nítido que a sociedade atual possui outras formas de funcionamento, onde tudo é moldado a partir do uso das plataformas digitais,  Kohn e Moraes (2007, p.,1), acrecentam que, </w:t>
      </w:r>
    </w:p>
    <w:p w:rsidR="009D60B7" w:rsidRDefault="009D60B7">
      <w:pPr>
        <w:pStyle w:val="Ttulo2"/>
        <w:tabs>
          <w:tab w:val="left" w:pos="1566"/>
        </w:tabs>
        <w:ind w:left="0" w:right="159" w:firstLine="287"/>
        <w:jc w:val="both"/>
        <w:rPr>
          <w:rFonts w:ascii="Arial" w:hAnsi="Arial"/>
          <w:sz w:val="20"/>
          <w:szCs w:val="20"/>
        </w:rPr>
      </w:pPr>
    </w:p>
    <w:p w:rsidR="009D60B7" w:rsidRDefault="00425C09">
      <w:pPr>
        <w:pStyle w:val="Ttulo2"/>
        <w:tabs>
          <w:tab w:val="left" w:pos="1566"/>
        </w:tabs>
        <w:ind w:left="2268" w:right="159"/>
        <w:jc w:val="both"/>
        <w:rPr>
          <w:rFonts w:ascii="Arial" w:hAnsi="Arial"/>
          <w:sz w:val="20"/>
          <w:szCs w:val="20"/>
        </w:rPr>
      </w:pPr>
      <w:r>
        <w:rPr>
          <w:rFonts w:ascii="Arial" w:hAnsi="Arial"/>
          <w:sz w:val="20"/>
          <w:szCs w:val="20"/>
        </w:rPr>
        <w:t>Novas concepções surgiram, novas práticas, ocupações, tudo mudou em tão pouco tempo. Fala-se em Sociedade Midiática, em Era Digital, Era do Computador; a sociedade passou a ser denominada não por aquilo que é ou pelos seus feitos, mas a partir dos instrumentos que passou a utilizar para evoluir. (Kohn; Moraes, 2007, p.01)</w:t>
      </w:r>
    </w:p>
    <w:p w:rsidR="009D60B7" w:rsidRDefault="009D60B7">
      <w:pPr>
        <w:pStyle w:val="Ttulo2"/>
        <w:tabs>
          <w:tab w:val="left" w:pos="1566"/>
        </w:tabs>
        <w:ind w:left="142" w:right="159" w:firstLine="709"/>
        <w:jc w:val="both"/>
        <w:rPr>
          <w:rFonts w:ascii="Arial" w:hAnsi="Arial"/>
          <w:sz w:val="20"/>
          <w:szCs w:val="20"/>
        </w:rPr>
      </w:pPr>
    </w:p>
    <w:p w:rsidR="009D60B7" w:rsidRDefault="00425C09">
      <w:pPr>
        <w:pStyle w:val="Ttulo2"/>
        <w:tabs>
          <w:tab w:val="left" w:pos="1566"/>
        </w:tabs>
        <w:spacing w:line="360" w:lineRule="auto"/>
        <w:ind w:left="0" w:right="159" w:firstLine="851"/>
        <w:jc w:val="both"/>
        <w:rPr>
          <w:rFonts w:ascii="Arial" w:hAnsi="Arial"/>
          <w:sz w:val="24"/>
          <w:szCs w:val="24"/>
        </w:rPr>
      </w:pPr>
      <w:r>
        <w:rPr>
          <w:rFonts w:ascii="Arial" w:hAnsi="Arial"/>
          <w:sz w:val="24"/>
          <w:szCs w:val="24"/>
        </w:rPr>
        <w:t xml:space="preserve">Nesse cenário, a internet permitiu que as pessoas deixassem de ser apenas receptoras de informações e passasem também a atuar como produtores de conteúdos. Como apontam Kohn e Moraes (2007), a tecnologia transformou o cidadão </w:t>
      </w:r>
      <w:r>
        <w:rPr>
          <w:rFonts w:ascii="Arial" w:hAnsi="Arial"/>
          <w:sz w:val="24"/>
          <w:szCs w:val="24"/>
        </w:rPr>
        <w:lastRenderedPageBreak/>
        <w:t>em um agente comunicador, sendo capaz de interagir de forma ativa nos fluxos de informações que circulam no ambiente virtual. Dessa forma, o acesso à informação se tornou mais palpável, permitindo que os acontecimentos sejam compartilhados e discutidos de forma praticamente instantânea de diferentes partes do mundo.</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Além das mudanças provocadas na sociedade por meio da tecnologia, o crescente uso das plataformas digitais também trouxe novas dinâmicas relacionadas à distribuição das informações circuladas na internet. Ao criar um perfil nas redes sociais, todos os usuários precisam preencher uma série de informações pessoais, bem como dados relacionados aos seus interesses, preferências de conteúdos e determinados comportamentos repetitivos dentro das plataformas ao buscar determiandos conteúdos. </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Esse conjunto de informações são registrados pelas plataformas, que ultilizam diferentes mecanismos, noemados como “cookies”, controlados por inteligencia artificial, </w:t>
      </w:r>
      <w:r>
        <w:rPr>
          <w:rFonts w:ascii="Arial" w:hAnsi="Arial"/>
          <w:i/>
          <w:iCs/>
          <w:sz w:val="24"/>
          <w:szCs w:val="24"/>
        </w:rPr>
        <w:t>machine learning</w:t>
      </w:r>
      <w:r>
        <w:rPr>
          <w:rFonts w:ascii="Arial" w:hAnsi="Arial"/>
          <w:sz w:val="24"/>
          <w:szCs w:val="24"/>
        </w:rPr>
        <w:t xml:space="preserve"> e algorítimos, responsáveis por coletar qualquer comportamento realizado pelo usuário no ambiente on-line. (Rodrigues, 2023)</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Esse processo de personalização de conteúdo ocorre principalmente por meio dos algorítimos das plataformas digitais, segundo  Elias (2017. p.01) os algorítimos “são apenas uma forma de representar matematicamente um processo estruturado para a realização de uma tarefa.”. De modo geral, os algorítimos são ultilizados para coletar o máximo de dados sobre o usuário e recomendar conteúdos e preferências baseados nos comportamentos on-line. </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A partir das informações coletadas dos usuários, esses mecanismos personalizam o conteúdo oferecido pelas plataformas que são aprimorados para serem direcionados ao usuário, tornando o consumo de informações mais “ninchado”. </w:t>
      </w:r>
    </w:p>
    <w:p w:rsidR="009D60B7" w:rsidRDefault="00425C09">
      <w:pPr>
        <w:pStyle w:val="Ttulo2"/>
        <w:tabs>
          <w:tab w:val="left" w:pos="1566"/>
        </w:tabs>
        <w:spacing w:line="360" w:lineRule="auto"/>
        <w:ind w:left="0" w:right="159" w:firstLine="851"/>
        <w:jc w:val="both"/>
        <w:rPr>
          <w:rFonts w:ascii="Arial" w:hAnsi="Arial"/>
          <w:sz w:val="24"/>
          <w:szCs w:val="24"/>
        </w:rPr>
      </w:pPr>
      <w:r>
        <w:rPr>
          <w:rFonts w:ascii="Arial" w:hAnsi="Arial"/>
          <w:sz w:val="24"/>
          <w:szCs w:val="24"/>
        </w:rPr>
        <w:t>Assim, é importante destacar que o usuário on-line possui uma certa aut</w:t>
      </w:r>
      <w:r>
        <w:rPr>
          <w:rFonts w:ascii="Arial" w:hAnsi="Arial"/>
          <w:sz w:val="24"/>
          <w:szCs w:val="24"/>
          <w:lang w:val="pt-BR"/>
        </w:rPr>
        <w:t>o</w:t>
      </w:r>
      <w:r>
        <w:rPr>
          <w:rFonts w:ascii="Arial" w:hAnsi="Arial"/>
          <w:sz w:val="24"/>
          <w:szCs w:val="24"/>
        </w:rPr>
        <w:t xml:space="preserve">nomia na forma como consome conteúdo, uma vez que seus próprios comportamentos on-line influenciam as recomendações recebidas. Nesse sentido, os algorítimos ajustam os conteúdos exibidos para o usuário pelo uso de </w:t>
      </w:r>
      <w:r>
        <w:rPr>
          <w:rFonts w:ascii="Arial" w:hAnsi="Arial"/>
          <w:i/>
          <w:iCs/>
          <w:sz w:val="24"/>
          <w:szCs w:val="24"/>
        </w:rPr>
        <w:t>machine learning</w:t>
      </w:r>
      <w:r>
        <w:rPr>
          <w:rFonts w:ascii="Arial" w:hAnsi="Arial"/>
          <w:sz w:val="24"/>
          <w:szCs w:val="24"/>
        </w:rPr>
        <w:t>, um mecanismo ultilizado que permite que as máquinas aprendam a entregar o conteúdo de preferência não apenas por sua programação inicial, mas com os dados coletados com  base no comportamento do próprio usuário ao longo do tempo. (Elias, 2017)</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A lógica dos algorítmos possui um papel fundamental no funcionamento das plataformas, especialmnte em relação a visibilidade dos conteúdos. As publicações que recebem o maior número de interações, chamadas de “engajamento”, como </w:t>
      </w:r>
      <w:r>
        <w:rPr>
          <w:rFonts w:ascii="Arial" w:hAnsi="Arial"/>
          <w:sz w:val="24"/>
          <w:szCs w:val="24"/>
        </w:rPr>
        <w:lastRenderedPageBreak/>
        <w:t>curtidas, comentários, maior compart</w:t>
      </w:r>
      <w:r>
        <w:rPr>
          <w:rFonts w:ascii="Arial" w:hAnsi="Arial"/>
          <w:sz w:val="24"/>
          <w:szCs w:val="24"/>
          <w:lang w:val="pt-BR"/>
        </w:rPr>
        <w:t>ilhamento</w:t>
      </w:r>
      <w:r>
        <w:rPr>
          <w:rFonts w:ascii="Arial" w:hAnsi="Arial"/>
          <w:sz w:val="24"/>
          <w:szCs w:val="24"/>
        </w:rPr>
        <w:t xml:space="preserve"> e visualização, tendem a ser recomendadas com mais frequência pelos sistemas algorítmicos, o que aumenta o seu alcance. Consequentemente, certos conteúdos passam a ganhar mais destaque dentro das plataformas.</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Nesse contexto, o engajamento, caracterizado pela maior atenção do público, passa a ter valor econômico, uma vez que o engajamento possui o potencial de gerar retorno financeiro, de acordo com Rodrigues (2023, p.10) “atualmente é possível observar os dados como um poderoso motor para novos negócios e para criação de valor”. Isso ocorre em razão do alto engajamento de determinados conteúdos, o que pode ser convertido em monetização nas plataformas digitais. Dessa forma, a quantidade de visibilidade e interações alcançadas nas plataformas passa a ser uma oportunidade de extrair lucro.</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Além disso, é importante destacar que grande parte das plataformas digitais funciona com base em modelos voltados à monetização da atenção dos usuários, quanto maior o tempo de permanência com os conteúdos recomendados, maior é o potencial de engajamento. Nesse contexto, os algoritmos são frequentemente programados para priorizar conteúdos que aumentem o engajamento dos usuários, incentivando sua permanência em determinados conteúdos.</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Apesar das vantagens econômicas em relação à monetização nas nas plataformas digitais, esse sistema também gera questionamentos sobre os impactos que pode gerar na circulação de conteúdos dentro das plataformas. Como o alcance das publicações costuma estar relacionado ao nível de engajamento que elas recebem, determinadas postagens acabam sendo mais impulsionadas por esses sistemas das redes sociais. Dessa forma, os conteúdos que geram um maior número de interações tendem a alcançar um público mais amplo e permanecer em maior evidência no ambiente digital (Rodrigues, 2023). </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 xml:space="preserve"> Nesse sentido, é possível observar que a lógica de monetização baseada no engajamento pode favorecer uma maior circulação de tipos específicos de conteúdo, uma vez que a visibilidade nas plataformas está diretamente relacionada com a capacidade de gerar interação e, consequentemente, gerar lucro.</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No entanto, percebe-se que essa configuração em relação à monetização pode trazer desafios, tendo em vista que certos conteúdos d</w:t>
      </w:r>
      <w:r>
        <w:rPr>
          <w:rFonts w:ascii="Arial" w:hAnsi="Arial"/>
          <w:sz w:val="24"/>
          <w:szCs w:val="24"/>
          <w:lang w:val="pt-BR"/>
        </w:rPr>
        <w:t>i</w:t>
      </w:r>
      <w:r>
        <w:rPr>
          <w:rFonts w:ascii="Arial" w:hAnsi="Arial"/>
          <w:sz w:val="24"/>
          <w:szCs w:val="24"/>
        </w:rPr>
        <w:t>scriminatórios costumam gerar maior capacidade de engajamento, ou seja, maior lucro. Consequentemente, conteúdos inapropriados recebem diariamente maior destaque pelos algorí</w:t>
      </w:r>
      <w:r>
        <w:rPr>
          <w:rFonts w:ascii="Arial" w:hAnsi="Arial"/>
          <w:sz w:val="24"/>
          <w:szCs w:val="24"/>
          <w:lang w:val="pt-BR"/>
        </w:rPr>
        <w:t>t</w:t>
      </w:r>
      <w:r>
        <w:rPr>
          <w:rFonts w:ascii="Arial" w:hAnsi="Arial"/>
          <w:sz w:val="24"/>
          <w:szCs w:val="24"/>
        </w:rPr>
        <w:t xml:space="preserve">mos. </w:t>
      </w:r>
      <w:r>
        <w:rPr>
          <w:rFonts w:ascii="Arial" w:hAnsi="Arial"/>
          <w:sz w:val="24"/>
          <w:szCs w:val="24"/>
        </w:rPr>
        <w:lastRenderedPageBreak/>
        <w:t>Sendo assim, considera-se que alguns desses conteúdos a receber ampla visibilidade no ambiente online são conteúdos direcionados a grupos vulneráveis específicos e manifestações de violências que já são parte de um pensamento est</w:t>
      </w:r>
      <w:r>
        <w:rPr>
          <w:rFonts w:ascii="Arial" w:hAnsi="Arial"/>
          <w:sz w:val="24"/>
          <w:szCs w:val="24"/>
          <w:lang w:val="pt-BR"/>
        </w:rPr>
        <w:t>r</w:t>
      </w:r>
      <w:r>
        <w:rPr>
          <w:rFonts w:ascii="Arial" w:hAnsi="Arial"/>
          <w:sz w:val="24"/>
          <w:szCs w:val="24"/>
        </w:rPr>
        <w:t>u</w:t>
      </w:r>
      <w:r>
        <w:rPr>
          <w:rFonts w:ascii="Arial" w:hAnsi="Arial"/>
          <w:sz w:val="24"/>
          <w:szCs w:val="24"/>
          <w:lang w:val="pt-BR"/>
        </w:rPr>
        <w:t>t</w:t>
      </w:r>
      <w:r>
        <w:rPr>
          <w:rFonts w:ascii="Arial" w:hAnsi="Arial"/>
          <w:sz w:val="24"/>
          <w:szCs w:val="24"/>
        </w:rPr>
        <w:t>ural coletivo direcionado muitas v</w:t>
      </w:r>
      <w:r>
        <w:rPr>
          <w:rFonts w:ascii="Arial" w:hAnsi="Arial"/>
          <w:sz w:val="24"/>
          <w:szCs w:val="24"/>
          <w:lang w:val="pt-BR"/>
        </w:rPr>
        <w:t>e</w:t>
      </w:r>
      <w:r>
        <w:rPr>
          <w:rFonts w:ascii="Arial" w:hAnsi="Arial"/>
          <w:sz w:val="24"/>
          <w:szCs w:val="24"/>
        </w:rPr>
        <w:t xml:space="preserve">zes às mulheres. </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Dessa forma, torna-se possível compreender que a lógica de funcionamento das plataformas digitais e seus algoritmos e a busca constante para extrair lucro, pode influenciar diretamente a circulação e a visibilidade de determinados conteúdos. Essa lógica de dist</w:t>
      </w:r>
      <w:r>
        <w:rPr>
          <w:rFonts w:ascii="Arial" w:hAnsi="Arial"/>
          <w:sz w:val="24"/>
          <w:szCs w:val="24"/>
          <w:lang w:val="pt-BR"/>
        </w:rPr>
        <w:t>r</w:t>
      </w:r>
      <w:r>
        <w:rPr>
          <w:rFonts w:ascii="Arial" w:hAnsi="Arial"/>
          <w:sz w:val="24"/>
          <w:szCs w:val="24"/>
        </w:rPr>
        <w:t>ibuição de conteúdos evidencia que o ambiente virtual não é um espaço neutro ou isolado das problemáticas sociais, mas sim um reflexo das relações de poder, valores culturais e conflitos presentes na própria sociedade.</w:t>
      </w:r>
    </w:p>
    <w:p w:rsidR="009D60B7" w:rsidRDefault="00425C09">
      <w:pPr>
        <w:pStyle w:val="Ttulo2"/>
        <w:tabs>
          <w:tab w:val="left" w:pos="1566"/>
        </w:tabs>
        <w:spacing w:line="360" w:lineRule="auto"/>
        <w:ind w:left="142" w:right="159" w:firstLine="851"/>
        <w:jc w:val="both"/>
        <w:rPr>
          <w:rFonts w:ascii="Arial" w:hAnsi="Arial"/>
          <w:sz w:val="24"/>
          <w:szCs w:val="24"/>
        </w:rPr>
      </w:pPr>
      <w:r>
        <w:rPr>
          <w:rFonts w:ascii="Arial" w:hAnsi="Arial"/>
          <w:sz w:val="24"/>
          <w:szCs w:val="24"/>
        </w:rPr>
        <w:t>Assim, ao analisar o funcionamento dos algoritmos, dos mecanismos de engajamento e dos modelos de monetização das plataformas digitais, torna-se possível compreender como determinadas práticas e discursos conseguem alcançar grande alcance nas redes sociais. Essa análise é fundamental para entender de que forma conteúdos discriminatórios, incluindo manifestações de misoginia e outras formas de violência de gênero, podem ser amplificados no ambiente virtual, contribuindo para a reprodução dessas práticas, ainda que na sociedade contemporânea.</w:t>
      </w:r>
    </w:p>
    <w:p w:rsidR="009D60B7" w:rsidRDefault="00425C09">
      <w:pPr>
        <w:pStyle w:val="NormalWeb"/>
        <w:spacing w:beforeAutospacing="0" w:afterAutospacing="0" w:line="360" w:lineRule="auto"/>
        <w:ind w:firstLine="851"/>
        <w:jc w:val="both"/>
        <w:rPr>
          <w:rFonts w:ascii="Arial" w:hAnsi="Arial"/>
        </w:rPr>
      </w:pPr>
      <w:r>
        <w:rPr>
          <w:rFonts w:ascii="Arial" w:hAnsi="Arial"/>
        </w:rPr>
        <w:t xml:space="preserve">Diante do exposto, é possível compreender de que forma a lógica do funcionamento dos algoritmos, do engajamento e da monetização nas plataformas digitais contribui para a amplificação da misoginia e práticas de violência. Nesse contexto, as manifestações de violência de gênero como o estupro virtual, passam a ser frequentemente impulsionadas e, de certa forma, normalizadas pelos próprios mecanismos de algoritmos utilizados nas plataformas, que proporcionarem o engajamento desses conteúdos, podendo inclusive gerar lucro em cima dessas práticas. </w:t>
      </w:r>
    </w:p>
    <w:p w:rsidR="009D60B7" w:rsidRDefault="00425C09">
      <w:pPr>
        <w:pStyle w:val="NormalWeb"/>
        <w:spacing w:beforeAutospacing="0" w:afterAutospacing="0" w:line="360" w:lineRule="auto"/>
        <w:ind w:firstLine="1134"/>
        <w:jc w:val="both"/>
        <w:rPr>
          <w:rFonts w:ascii="Arial" w:hAnsi="Arial"/>
        </w:rPr>
      </w:pPr>
      <w:r>
        <w:rPr>
          <w:rFonts w:ascii="Arial" w:hAnsi="Arial"/>
        </w:rPr>
        <w:t>Portanto, observa-se que o avanço das práticas de violência no ambiente digital exige não apenas adaptações legislativas, mas também mecanismos estatais capazes de garantir maior efetividade na proteção das vítimas e na responsabilização dos autores. Assim, torna-se relevante analisar de que forma o ordenamento jurídico brasileiro tem estruturado a atuação penal frente aos crimes relacionados à dignidade sexual no meio virtual.</w:t>
      </w:r>
    </w:p>
    <w:p w:rsidR="009D60B7" w:rsidRDefault="009D60B7">
      <w:pPr>
        <w:pStyle w:val="NormalWeb"/>
        <w:spacing w:beforeAutospacing="0" w:afterAutospacing="0"/>
        <w:ind w:firstLine="1134"/>
        <w:jc w:val="both"/>
        <w:rPr>
          <w:rFonts w:ascii="Arial" w:hAnsi="Arial"/>
        </w:rPr>
      </w:pPr>
    </w:p>
    <w:p w:rsidR="009D60B7" w:rsidRPr="00EB508A" w:rsidRDefault="00425C09" w:rsidP="00EB508A">
      <w:pPr>
        <w:pStyle w:val="Ttulo2"/>
        <w:numPr>
          <w:ilvl w:val="0"/>
          <w:numId w:val="6"/>
        </w:numPr>
        <w:tabs>
          <w:tab w:val="left" w:pos="0"/>
        </w:tabs>
        <w:spacing w:before="1" w:line="360" w:lineRule="auto"/>
        <w:jc w:val="both"/>
        <w:rPr>
          <w:rFonts w:ascii="Arial" w:hAnsi="Arial"/>
          <w:bCs/>
          <w:sz w:val="24"/>
          <w:szCs w:val="24"/>
        </w:rPr>
      </w:pPr>
      <w:r w:rsidRPr="00EB508A">
        <w:rPr>
          <w:rFonts w:ascii="Arial" w:hAnsi="Arial"/>
          <w:bCs/>
          <w:sz w:val="24"/>
          <w:szCs w:val="24"/>
        </w:rPr>
        <w:t xml:space="preserve">AÇÃO PENAL PÚBLICA INCONDICIONADA E </w:t>
      </w:r>
      <w:bookmarkStart w:id="28" w:name="_Hlk229472629"/>
      <w:r w:rsidRPr="00EB508A">
        <w:rPr>
          <w:rFonts w:ascii="Arial" w:hAnsi="Arial"/>
          <w:bCs/>
          <w:sz w:val="24"/>
          <w:szCs w:val="24"/>
        </w:rPr>
        <w:t>O ENFRENTAMENTO DA VIOLÊNCIA DE GÊNERO DIGITAL</w:t>
      </w:r>
      <w:bookmarkEnd w:id="28"/>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 xml:space="preserve">A ação penal pública incondicionada, prevista no art. 225 do Código Penal </w:t>
      </w:r>
      <w:r>
        <w:rPr>
          <w:rFonts w:ascii="Arial" w:hAnsi="Arial"/>
          <w:spacing w:val="-2"/>
          <w:sz w:val="24"/>
          <w:szCs w:val="24"/>
        </w:rPr>
        <w:lastRenderedPageBreak/>
        <w:t>brasileiro, em sua redação atual, não depende da representação da vítima para o início da persecução penal, sendo essa atribuição conferida ao Ministério Público. Trata-se de uma mudança relevante no ordenamento jurídico brasileiro, especialmente no âmbito dos crimes contra a dignidade sexual, pois reconhece que, em muitos casos, a vítima não se encontra em condições emocionais ou sociais de formalizar a denúncia. Medo, vergonha e receio de exposição ainda são fatores que dificultam a busca por justiça.</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Nesse sentido, conforme aponta Nucci (2021), a ação penal pública incondicionada contribui para o fortalecimento da atuação estatal, ao retirar da vítima o encargo de impulsionar o processo penal. De forma semelhante, Rogério Greco (2022) destaca que essa evolução legislativa demonstra uma preocupação crescente em assegurar a proteção da dignidade da vítima, sobretudo em contextos de vulnerabilidade e constrangimento.</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No cenário contemporâneo, marcado pelo uso intensivo das plataformas digitais, essa discussão ganha ainda mais relevância. As redes sociais e demais ambientes virtuais operam por meio de algoritmos que priorizam conteúdos com maior engajamento, como curtidas, comentários e compartilhamentos. Embora essa lógica tenha finalidade econômica e de retenção de usuários, ela também pode favorecer a circulação de conteúdos ofensivos, sensacionalistas e, em alguns casos, ilícitos.</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No que se refere ao papel da mídia e das plataformas digitais, é importante destacar que os algoritmos utilizados por essas empresas não são neutros. Ao priorizarem conteúdos com maior potencial de engajamento, como curtidas, comentários e compartilhamentos, acabam ainda que indiretamente, impulsionando a circulação de conteúdos sensacionalistas e, em muitos casos, ofensivos. Isso ocorre porque materiais que geram choque, curiosidade ou indignação tendem a receber maior interação, sendo, consequentemente, mais disseminados. Nesse contexto, práticas como a exposição indevida de imagens íntimas e outras formas de violência digital podem ganhar grande visibilidade em pouco tempo, ampliando significativamente os danos à vítima. Assim, percebe-se que a lógica algorítmica, orientada por interesses econômicos, pode contribuir para a amplificação da misoginia e de condutas que violam a dignidade sexual, o que reforça a necessidade de responsabilização e regulação das plataformas digitais.</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 xml:space="preserve">É nesse ambiente que se insere o chamado “estupro virtual”, expressão utilizada para descrever práticas que violam a dignidade sexual da vítima por meio digital, como a divulgação de imagens íntimas sem consentimento, ameaças, chantagens e exposições vexatórias. Ainda que não haja contato físico, os danos são concretos e, muitas vezes, </w:t>
      </w:r>
      <w:r>
        <w:rPr>
          <w:rFonts w:ascii="Arial" w:hAnsi="Arial"/>
          <w:spacing w:val="-2"/>
          <w:sz w:val="24"/>
          <w:szCs w:val="24"/>
        </w:rPr>
        <w:lastRenderedPageBreak/>
        <w:t>duradouros. Conforme observa Bitencourt (2022), a dignidade sexual constitui um desdobramento da dignidade da pessoa humana, devendo ser protegida pelo Estado em qualquer ambiente, inclusive no virtual.</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Além disso, o ambiente digital apresenta características que agravam esse tipo de violência. A rápida disseminação de conteúdo, a dificuldade de remoção e a possibilidade de reprodução indefinida tornam o dano mais amplo e persistente. Em muitos casos, a vítima perde completamente o controle sobre a própria imagem, o que intensifica o sofrimento psicológico e os impactos sociais.</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Diante dessa realidade, o enfrentamento da violência digital não pode se limitar à atuação repressiva do Direito Penal. É necessário adotar uma abordagem mais ampla, que envolva políticas públicas, educação digital e ações institucionais coordenadas. Nesse sentido, o Ministério dos Direitos Humanos e da Cidadania tem desenvolvido iniciativas voltadas à proteção de vítimas e ao combate à violência no ambiente virtual, incluindo a elaboração de diagnósticos, a organização de bancos de boas práticas e o incentivo à criação de estratégias de prevenção.</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De forma complementar, o Conselho Nacional dos Direitos da Criança e do Adolescente estabelece diretrizes voltadas à proteção de crianças e adolescentes no ambiente digital, reconhecendo a vulnerabilidade desse grupo frente aos riscos das redes sociais. Essas diretrizes reforçam a importância de uma atuação integrada entre Estado, sociedade e setor privado.</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No campo normativo, o Brasil também tem avançado na regulamentação de condutas praticadas no ambiente digital. A Lei nº 13.772 de 2018 tipifica a divulgação de conteúdo íntimo sem consentimento, enquanto a Lei nº 12.737 de 2012 trata dos crimes informáticos. Soma-se a essas normas a Lei nº 14.132 de 2021, que também se aplica a condutas praticadas online. Tais instrumentos evidenciam o esforço do legislador em acompanhar as transformações tecnológicas e responder às novas formas de violência.</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A realidade prática confirma a gravidade do problema. No estado de Goiás, especialmente na cidade de Anápolis, operações conduzidas pela Polícia Federal têm atuado no combate a crimes cibernéticos relacionados à exploração sexual e à divulgação não autorizada de imagens íntimas. Esses casos evidenciam os impactos diretos na vida das vítimas, que frequentemente enfrentam traumas psicológicos, ansiedade e isolamento social.</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 xml:space="preserve">A divulgação dessas ocorrências por veículos como o G1 costuma gerar forte reação social, marcada por indignação e cobrança por respostas mais eficazes. Esse </w:t>
      </w:r>
      <w:r>
        <w:rPr>
          <w:rFonts w:ascii="Arial" w:hAnsi="Arial"/>
          <w:spacing w:val="-2"/>
          <w:sz w:val="24"/>
          <w:szCs w:val="24"/>
        </w:rPr>
        <w:lastRenderedPageBreak/>
        <w:t>cenário demonstra que a violência digital, especialmente quando associada à misoginia, não pode ser tratada como algo secundário, mas sim como uma questão social relevante.</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Dados divulgados pela SaferNet Brasil apontam o crescimento dos casos de violência digital no país, o que reforça a necessidade de medidas mais estruturadas de prevenção e repressão. Da mesma forma, o Comitê Gestor da Internet no Brasil destaca que o aumento do uso das plataformas digitais traz consigo desafios significativos relacionados à segurança e à proteção de direitos fundamentais.</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De acordo com Fernando Capez (2023), o Direito Penal não exerce apenas função repressiva, mas também preventiva, atuando como mecanismo de desestímulo à prática criminosa. Nesse sentido, a responsabilização penal se mostra essencial para conter a expansão dessas condutas.</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Por outro lado, é importante reconhecer que o enfrentamento da misoginia digital envolve também fatores culturais e sociais. Conforme observa Zygmunt Bauman, as relações contemporâneas tendem a ser mais imediatistas e superficiais, o que pode favorecer comportamentos impulsivos e desrespeitosos no ambiente virtual.</w:t>
      </w:r>
    </w:p>
    <w:p w:rsidR="009D60B7" w:rsidRDefault="00425C09">
      <w:pPr>
        <w:pStyle w:val="Ttulo2"/>
        <w:spacing w:line="360" w:lineRule="auto"/>
        <w:ind w:left="142" w:firstLine="709"/>
        <w:jc w:val="both"/>
        <w:rPr>
          <w:rFonts w:ascii="Arial" w:hAnsi="Arial"/>
          <w:sz w:val="24"/>
          <w:szCs w:val="24"/>
        </w:rPr>
      </w:pPr>
      <w:r>
        <w:rPr>
          <w:rFonts w:ascii="Arial" w:hAnsi="Arial"/>
          <w:spacing w:val="-2"/>
          <w:sz w:val="24"/>
          <w:szCs w:val="24"/>
        </w:rPr>
        <w:t>Dessa forma, o combate a essas práticas exige uma atuação conjunta entre Estado, sociedade e plataformas digitais. Os algoritmos, ao priorizarem conteúdos com base em engajamento, desempenham papel central na amplificação da violência, o que reforça a necessidade de maior transparência e responsabilidade por parte dessas empresas.</w:t>
      </w:r>
    </w:p>
    <w:p w:rsidR="009D60B7" w:rsidRDefault="00425C09">
      <w:pPr>
        <w:pStyle w:val="Ttulo2"/>
        <w:spacing w:line="360" w:lineRule="auto"/>
        <w:ind w:left="0" w:firstLine="709"/>
        <w:jc w:val="both"/>
        <w:rPr>
          <w:rFonts w:ascii="Arial" w:hAnsi="Arial"/>
          <w:sz w:val="24"/>
          <w:szCs w:val="24"/>
        </w:rPr>
      </w:pPr>
      <w:r>
        <w:rPr>
          <w:rFonts w:ascii="Arial" w:hAnsi="Arial"/>
          <w:spacing w:val="-2"/>
          <w:sz w:val="24"/>
          <w:szCs w:val="24"/>
        </w:rPr>
        <w:t>Por fim, a ação penal pública incondicionada se consolida como um instrumento fundamental nesse contexto, pois garante a atuação estatal mesmo diante da ausência de manifestação da vítima. Aliada a políticas públicas, diretrizes institucionais e mecanismos de regulação tecnológica, ela contribui para a construção de um ambiente digital mais seguro, ético e compatível com os princípios da dignidade da pessoa humana.</w:t>
      </w:r>
    </w:p>
    <w:p w:rsidR="009D60B7" w:rsidRDefault="009D60B7">
      <w:pPr>
        <w:pStyle w:val="Ttulo2"/>
        <w:ind w:left="0"/>
        <w:jc w:val="both"/>
        <w:rPr>
          <w:rFonts w:ascii="Arial" w:hAnsi="Arial"/>
          <w:spacing w:val="-2"/>
          <w:sz w:val="24"/>
          <w:szCs w:val="24"/>
        </w:rPr>
      </w:pPr>
    </w:p>
    <w:p w:rsidR="009D60B7" w:rsidRPr="00EB508A" w:rsidRDefault="00425C09">
      <w:pPr>
        <w:pStyle w:val="Ttulo2"/>
        <w:spacing w:before="1"/>
        <w:ind w:left="0"/>
        <w:jc w:val="both"/>
        <w:rPr>
          <w:rFonts w:ascii="Arial" w:hAnsi="Arial"/>
          <w:bCs/>
          <w:sz w:val="24"/>
          <w:szCs w:val="24"/>
        </w:rPr>
      </w:pPr>
      <w:r w:rsidRPr="00EB508A">
        <w:rPr>
          <w:rFonts w:ascii="Arial" w:hAnsi="Arial"/>
          <w:bCs/>
          <w:spacing w:val="-2"/>
          <w:sz w:val="24"/>
          <w:szCs w:val="24"/>
        </w:rPr>
        <w:t xml:space="preserve">CONCLUSÃO </w:t>
      </w:r>
    </w:p>
    <w:p w:rsidR="009D60B7" w:rsidRDefault="009D60B7">
      <w:pPr>
        <w:pStyle w:val="Ttulo2"/>
        <w:spacing w:before="1"/>
        <w:ind w:left="0"/>
        <w:jc w:val="both"/>
        <w:rPr>
          <w:rFonts w:ascii="Arial" w:hAnsi="Arial"/>
          <w:spacing w:val="-2"/>
          <w:sz w:val="24"/>
          <w:szCs w:val="24"/>
        </w:rPr>
      </w:pPr>
    </w:p>
    <w:p w:rsidR="009D60B7" w:rsidRDefault="00425C09">
      <w:pPr>
        <w:pStyle w:val="Ttulo2"/>
        <w:spacing w:before="1" w:line="360" w:lineRule="auto"/>
        <w:ind w:left="142" w:firstLine="720"/>
        <w:jc w:val="both"/>
        <w:rPr>
          <w:rFonts w:ascii="Arial" w:hAnsi="Arial"/>
          <w:sz w:val="24"/>
          <w:szCs w:val="24"/>
        </w:rPr>
      </w:pPr>
      <w:r>
        <w:rPr>
          <w:rFonts w:ascii="Arial" w:hAnsi="Arial"/>
          <w:spacing w:val="-2"/>
          <w:sz w:val="24"/>
          <w:szCs w:val="24"/>
        </w:rPr>
        <w:t>A análise desenvolvida ao longo deste trabalho permitiu compreender que a misoginia não se configura como um fenômeno recente, mas como uma construção histórica, social e cultural profundamente enraizada nas relações de poder entre homens e mulheres. Conforme discutido no primeiro capítulo, tais padrões foram reproduzidos ao longo do tempo e, com o avanço das tecnologias digitais, passaram a se manifestar também no ambiente virtual, assumindo novas formas e ampliando seu alcance.</w:t>
      </w:r>
    </w:p>
    <w:p w:rsidR="009D60B7" w:rsidRDefault="00425C09">
      <w:pPr>
        <w:pStyle w:val="Ttulo2"/>
        <w:spacing w:before="1" w:line="360" w:lineRule="auto"/>
        <w:ind w:left="142" w:firstLine="720"/>
        <w:jc w:val="both"/>
        <w:rPr>
          <w:rFonts w:ascii="Arial" w:hAnsi="Arial"/>
          <w:sz w:val="24"/>
          <w:szCs w:val="24"/>
        </w:rPr>
      </w:pPr>
      <w:r>
        <w:rPr>
          <w:rFonts w:ascii="Arial" w:hAnsi="Arial"/>
          <w:spacing w:val="-2"/>
          <w:sz w:val="24"/>
          <w:szCs w:val="24"/>
        </w:rPr>
        <w:t xml:space="preserve">Nesse cenário, observa-se que a internet não apenas reproduz desigualdades já </w:t>
      </w:r>
      <w:r>
        <w:rPr>
          <w:rFonts w:ascii="Arial" w:hAnsi="Arial"/>
          <w:spacing w:val="-2"/>
          <w:sz w:val="24"/>
          <w:szCs w:val="24"/>
        </w:rPr>
        <w:lastRenderedPageBreak/>
        <w:t>existentes, mas também potencializa sua disseminação. Conforme aponta Zygmunt Bauman, as relações contemporâneas são marcadas pela imediatidade e fluidez, o que favorece comportamentos impulsivos e, muitas vezes, desprovidos de responsabilidade social, contribuindo para a circulação de discursos de ódio e práticas discriminatórias direcionadas, especialmente, às mulheres.</w:t>
      </w:r>
    </w:p>
    <w:p w:rsidR="009D60B7" w:rsidRDefault="00425C09">
      <w:pPr>
        <w:pStyle w:val="Ttulo2"/>
        <w:spacing w:before="1" w:line="360" w:lineRule="auto"/>
        <w:ind w:left="142" w:firstLine="720"/>
        <w:jc w:val="both"/>
        <w:rPr>
          <w:rFonts w:ascii="Arial" w:hAnsi="Arial"/>
          <w:sz w:val="24"/>
          <w:szCs w:val="24"/>
        </w:rPr>
      </w:pPr>
      <w:r>
        <w:rPr>
          <w:rFonts w:ascii="Arial" w:hAnsi="Arial"/>
          <w:spacing w:val="-2"/>
          <w:sz w:val="24"/>
          <w:szCs w:val="24"/>
        </w:rPr>
        <w:t>No que se refere ao funcionamento das plataformas digitais, analisado no segundo capítulo, verificou-se que os algoritmos exercem papel central na organização e distribuição dos conteúdos. Ao priorizarem publicações com maior engajamento — independentemente de seu teor, esses sistemas contribuem para a amplificação de conteúdos sensacionalistas e, em muitos casos, misóginos. Assim, a lógica baseada na monetização da atenção evidencia que o engajamento se converte em valor econômico, vinculando diretamente a circulação de conteúdos à geração de lucro.</w:t>
      </w:r>
    </w:p>
    <w:p w:rsidR="009D60B7" w:rsidRDefault="00425C09">
      <w:pPr>
        <w:pStyle w:val="Ttulo2"/>
        <w:spacing w:before="1" w:line="360" w:lineRule="auto"/>
        <w:ind w:left="142" w:firstLine="720"/>
        <w:jc w:val="both"/>
        <w:rPr>
          <w:rFonts w:ascii="Arial" w:hAnsi="Arial"/>
          <w:sz w:val="24"/>
          <w:szCs w:val="24"/>
        </w:rPr>
      </w:pPr>
      <w:r>
        <w:rPr>
          <w:rFonts w:ascii="Arial" w:hAnsi="Arial"/>
          <w:spacing w:val="-2"/>
          <w:sz w:val="24"/>
          <w:szCs w:val="24"/>
        </w:rPr>
        <w:t>Nesse contexto, práticas de violência de gênero, como o chamado estupro virtual, passam a ser não apenas reproduzidas, mas amplificadas no ambiente digital, reforçando padrões sociais já existentes e ampliando seus impactos sobre as vítimas.</w:t>
      </w:r>
    </w:p>
    <w:p w:rsidR="009D60B7" w:rsidRDefault="00425C09">
      <w:pPr>
        <w:pStyle w:val="Ttulo2"/>
        <w:spacing w:before="1" w:line="360" w:lineRule="auto"/>
        <w:ind w:left="142" w:firstLine="720"/>
        <w:jc w:val="both"/>
        <w:rPr>
          <w:rFonts w:ascii="Arial" w:hAnsi="Arial"/>
          <w:sz w:val="24"/>
          <w:szCs w:val="24"/>
        </w:rPr>
      </w:pPr>
      <w:r>
        <w:rPr>
          <w:rFonts w:ascii="Arial" w:hAnsi="Arial"/>
          <w:spacing w:val="-2"/>
          <w:sz w:val="24"/>
          <w:szCs w:val="24"/>
        </w:rPr>
        <w:t>No terceiro capítulo, ao analisar os desafios jurídicos relacionados ao estupro virtual, constatou-se que, embora o ordenamento jurídico brasileiro tenha avançado, ainda persistem obstáculos relevantes, especialmente quanto à produção de provas, à identificação dos autores e à efetiva responsabilização. Ainda assim, a evolução jurisprudencial demonstra que a ausência de contato físico não impede o reconhecimento da violência sexual, desde que haja grave ameaça ou coerção.</w:t>
      </w:r>
    </w:p>
    <w:p w:rsidR="009D60B7" w:rsidRDefault="00425C09">
      <w:pPr>
        <w:pStyle w:val="Ttulo2"/>
        <w:spacing w:before="1" w:line="360" w:lineRule="auto"/>
        <w:ind w:left="142" w:firstLine="720"/>
        <w:jc w:val="both"/>
        <w:rPr>
          <w:rFonts w:ascii="Arial" w:hAnsi="Arial"/>
          <w:sz w:val="24"/>
          <w:szCs w:val="24"/>
        </w:rPr>
      </w:pPr>
      <w:r>
        <w:rPr>
          <w:rFonts w:ascii="Arial" w:hAnsi="Arial"/>
          <w:spacing w:val="-2"/>
          <w:sz w:val="24"/>
          <w:szCs w:val="24"/>
        </w:rPr>
        <w:t>Contudo, o enfrentamento da misoginia digital e do estupro virtual não pode se limitar à esfera penal. A complexidade do problema exige uma atuação integrada, envolvendo políticas públicas, educação digital e maior responsabilização das plataformas. Nesse sentido, iniciativas do Ministério dos Direitos Humanos e da Cidadania e as diretrizes do Conselho Nacional dos Direitos da Criança e do Adolescente reforçam a importância de estratégias amplas de prevenção e proteção.</w:t>
      </w:r>
    </w:p>
    <w:p w:rsidR="009D60B7" w:rsidRDefault="00425C09">
      <w:pPr>
        <w:pStyle w:val="Ttulo2"/>
        <w:spacing w:before="1" w:line="360" w:lineRule="auto"/>
        <w:ind w:left="0" w:firstLine="720"/>
        <w:jc w:val="both"/>
        <w:rPr>
          <w:rFonts w:ascii="Arial" w:hAnsi="Arial"/>
          <w:sz w:val="24"/>
          <w:szCs w:val="24"/>
        </w:rPr>
      </w:pPr>
      <w:r>
        <w:rPr>
          <w:rFonts w:ascii="Arial" w:hAnsi="Arial"/>
          <w:spacing w:val="-2"/>
          <w:sz w:val="24"/>
          <w:szCs w:val="24"/>
        </w:rPr>
        <w:t>Por fim, conclui-se que, na lógica contemporânea das plataformas digitais, marcada pela busca por engajamento e lucro, conteúdos que violam direitos fundamentais podem ser impulsionados e naturalizados. Assim, “entre likes e lucros”, evidencia-se uma tensão entre os interesses econômicos das plataformas e a proteção da dignidade humana, tornando indispensável o fortalecimento de mecanismos de regulação, transparência e responsabilidade, a fim de promover um ambiente digital mais seguro, ético e compatível com os direitos fundamentais.</w:t>
      </w:r>
    </w:p>
    <w:p w:rsidR="009D60B7" w:rsidRDefault="009D60B7">
      <w:pPr>
        <w:pStyle w:val="Ttulo2"/>
        <w:spacing w:before="1"/>
        <w:ind w:left="0" w:firstLine="720"/>
        <w:jc w:val="both"/>
        <w:rPr>
          <w:rFonts w:ascii="Arial" w:hAnsi="Arial"/>
          <w:spacing w:val="-2"/>
          <w:sz w:val="24"/>
          <w:szCs w:val="24"/>
        </w:rPr>
      </w:pPr>
    </w:p>
    <w:p w:rsidR="009D60B7" w:rsidRPr="00EB508A" w:rsidRDefault="00425C09">
      <w:pPr>
        <w:pStyle w:val="Ttulo2"/>
        <w:spacing w:before="1"/>
        <w:ind w:left="0"/>
        <w:jc w:val="both"/>
        <w:rPr>
          <w:rFonts w:ascii="Arial" w:hAnsi="Arial"/>
          <w:bCs/>
          <w:sz w:val="24"/>
          <w:szCs w:val="24"/>
        </w:rPr>
      </w:pPr>
      <w:r w:rsidRPr="00EB508A">
        <w:rPr>
          <w:rFonts w:ascii="Arial" w:hAnsi="Arial"/>
          <w:bCs/>
          <w:spacing w:val="-2"/>
          <w:sz w:val="24"/>
          <w:szCs w:val="24"/>
        </w:rPr>
        <w:t>REFERÊNCIAS</w:t>
      </w:r>
    </w:p>
    <w:p w:rsidR="009D60B7" w:rsidRDefault="009D60B7">
      <w:pPr>
        <w:pStyle w:val="Ttulo2"/>
        <w:spacing w:before="1"/>
        <w:ind w:left="0"/>
        <w:jc w:val="both"/>
        <w:rPr>
          <w:rFonts w:ascii="Arial" w:hAnsi="Arial" w:cs="Arial"/>
          <w:spacing w:val="-2"/>
          <w:sz w:val="24"/>
          <w:szCs w:val="24"/>
        </w:rPr>
      </w:pPr>
    </w:p>
    <w:p w:rsidR="009D60B7" w:rsidRDefault="00425C09">
      <w:pPr>
        <w:rPr>
          <w:rFonts w:ascii="Arial" w:hAnsi="Arial"/>
          <w:sz w:val="24"/>
          <w:szCs w:val="24"/>
        </w:rPr>
      </w:pPr>
      <w:r>
        <w:rPr>
          <w:rFonts w:ascii="Arial" w:hAnsi="Arial"/>
          <w:sz w:val="24"/>
          <w:szCs w:val="24"/>
        </w:rPr>
        <w:t xml:space="preserve">AGUIAR, Rodrigo Queiroz de; PELÁ, Márcia Cristina Hizim. </w:t>
      </w:r>
      <w:r>
        <w:rPr>
          <w:rFonts w:ascii="Arial" w:hAnsi="Arial"/>
          <w:b/>
          <w:bCs/>
          <w:sz w:val="24"/>
          <w:szCs w:val="24"/>
        </w:rPr>
        <w:t>Misoginia e violência de gênero: origem, fatores e cotidiano</w:t>
      </w:r>
      <w:r>
        <w:rPr>
          <w:rFonts w:ascii="Arial" w:hAnsi="Arial"/>
          <w:sz w:val="24"/>
          <w:szCs w:val="24"/>
        </w:rPr>
        <w:t>. Revista Acadêmica da Faculdade Alfredo Nasser – UNIFAN, Aparecida de Goiânia, 2017.</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ALVES, Daiana Allessi Nicoletti.</w:t>
      </w:r>
      <w:r>
        <w:rPr>
          <w:rFonts w:ascii="Arial" w:hAnsi="Arial"/>
          <w:b/>
          <w:bCs/>
          <w:sz w:val="24"/>
          <w:szCs w:val="24"/>
        </w:rPr>
        <w:t xml:space="preserve"> Machismo tecnológico e a discriminação algorítmica de gênero. </w:t>
      </w:r>
      <w:r>
        <w:rPr>
          <w:rFonts w:ascii="Arial" w:hAnsi="Arial"/>
          <w:sz w:val="24"/>
          <w:szCs w:val="24"/>
        </w:rPr>
        <w:t>ESOCITE, 2023.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BICALHO, Elizabete. </w:t>
      </w:r>
      <w:r>
        <w:rPr>
          <w:rFonts w:ascii="Arial" w:hAnsi="Arial"/>
          <w:b/>
          <w:bCs/>
          <w:sz w:val="24"/>
          <w:szCs w:val="24"/>
        </w:rPr>
        <w:t>O pensamento misógino: a construção da inferioridade feminina</w:t>
      </w:r>
      <w:r>
        <w:rPr>
          <w:rFonts w:ascii="Arial" w:hAnsi="Arial"/>
          <w:sz w:val="24"/>
          <w:szCs w:val="24"/>
        </w:rPr>
        <w:t>. Goiânia: Universidade Católica de Goiás – Mestrado em Ciências da Religião, 2001.</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BITENCOURT, Cezar Roberto.</w:t>
      </w:r>
      <w:r>
        <w:rPr>
          <w:rFonts w:ascii="Arial" w:hAnsi="Arial"/>
          <w:b/>
          <w:bCs/>
          <w:sz w:val="24"/>
          <w:szCs w:val="24"/>
        </w:rPr>
        <w:t xml:space="preserve"> Tratado de direito penal: parte geral.</w:t>
      </w:r>
      <w:r>
        <w:rPr>
          <w:rFonts w:ascii="Arial" w:hAnsi="Arial"/>
          <w:sz w:val="24"/>
          <w:szCs w:val="24"/>
        </w:rPr>
        <w:t xml:space="preserve"> 27. ed. São Paulo: Saraiva, 2021.</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BITENCOURT, Cezar Roberto. </w:t>
      </w:r>
      <w:r>
        <w:rPr>
          <w:rFonts w:ascii="Arial" w:hAnsi="Arial"/>
          <w:b/>
          <w:bCs/>
          <w:sz w:val="24"/>
          <w:szCs w:val="24"/>
        </w:rPr>
        <w:t>Tratado de Direito Penal: Parte Especial</w:t>
      </w:r>
      <w:r>
        <w:rPr>
          <w:rFonts w:ascii="Arial" w:hAnsi="Arial"/>
          <w:sz w:val="24"/>
          <w:szCs w:val="24"/>
        </w:rPr>
        <w:t>. 27. ed. São Paulo: Saraiva,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Decreto-Lei nº 2.848, de 7 de dezembro de 1940. </w:t>
      </w:r>
      <w:r>
        <w:rPr>
          <w:rFonts w:ascii="Arial" w:hAnsi="Arial"/>
          <w:b/>
          <w:bCs/>
          <w:sz w:val="24"/>
          <w:szCs w:val="24"/>
        </w:rPr>
        <w:t>Código Penal.</w:t>
      </w:r>
      <w:r>
        <w:rPr>
          <w:rFonts w:ascii="Arial" w:hAnsi="Arial"/>
          <w:sz w:val="24"/>
          <w:szCs w:val="24"/>
        </w:rPr>
        <w:t xml:space="preserve"> Diário Oficial da União, Brasília, DF, 1940.</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Código Penal brasileiro. </w:t>
      </w:r>
      <w:r>
        <w:rPr>
          <w:rFonts w:ascii="Arial" w:hAnsi="Arial"/>
          <w:b/>
          <w:bCs/>
          <w:sz w:val="24"/>
          <w:szCs w:val="24"/>
        </w:rPr>
        <w:t>Decreto-Lei nº 2.848, de 7 de dezembro de 1940</w:t>
      </w:r>
      <w:r>
        <w:rPr>
          <w:rFonts w:ascii="Arial" w:hAnsi="Arial"/>
          <w:sz w:val="24"/>
          <w:szCs w:val="24"/>
        </w:rPr>
        <w:t>. Disponível em: http://www.planalto.gov.br.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Lei nº 12.737 de 2012. </w:t>
      </w:r>
      <w:r>
        <w:rPr>
          <w:rFonts w:ascii="Arial" w:hAnsi="Arial"/>
          <w:b/>
          <w:bCs/>
          <w:sz w:val="24"/>
          <w:szCs w:val="24"/>
        </w:rPr>
        <w:t>Dispõe sobre crimes informáticos</w:t>
      </w:r>
      <w:r>
        <w:rPr>
          <w:rFonts w:ascii="Arial" w:hAnsi="Arial"/>
          <w:sz w:val="24"/>
          <w:szCs w:val="24"/>
        </w:rPr>
        <w:t>. Disponível em: http://www.planalto.gov.br.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Lei nº 12.965, de 23 de abril de 2014. </w:t>
      </w:r>
      <w:r>
        <w:rPr>
          <w:rFonts w:ascii="Arial" w:hAnsi="Arial"/>
          <w:b/>
          <w:bCs/>
          <w:sz w:val="24"/>
          <w:szCs w:val="24"/>
        </w:rPr>
        <w:t>Marco Civil da Internet.</w:t>
      </w:r>
      <w:r>
        <w:rPr>
          <w:rFonts w:ascii="Arial" w:hAnsi="Arial"/>
          <w:sz w:val="24"/>
          <w:szCs w:val="24"/>
        </w:rPr>
        <w:t xml:space="preserve"> Diário Oficial da União: seção 1, Brasília, DF, 24 abr. 2014.</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Lei nº 13.709, de 14 de agosto de 2018. </w:t>
      </w:r>
      <w:r>
        <w:rPr>
          <w:rFonts w:ascii="Arial" w:hAnsi="Arial"/>
          <w:b/>
          <w:bCs/>
          <w:sz w:val="24"/>
          <w:szCs w:val="24"/>
        </w:rPr>
        <w:t>Lei Geral de Proteção de Dados Pessoais (LGPD).</w:t>
      </w:r>
      <w:r>
        <w:rPr>
          <w:rFonts w:ascii="Arial" w:hAnsi="Arial"/>
          <w:sz w:val="24"/>
          <w:szCs w:val="24"/>
        </w:rPr>
        <w:t xml:space="preserve"> Diário Oficial da União: seção 1, Brasília, DF, 15 ago. 2018.</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Lei nº 13.772 de 2018. </w:t>
      </w:r>
      <w:r>
        <w:rPr>
          <w:rFonts w:ascii="Arial" w:hAnsi="Arial"/>
          <w:b/>
          <w:bCs/>
          <w:sz w:val="24"/>
          <w:szCs w:val="24"/>
        </w:rPr>
        <w:t>Altera o Código Penal para tipificar o registro não autorizado da intimidade sexual.</w:t>
      </w:r>
      <w:r>
        <w:rPr>
          <w:rFonts w:ascii="Arial" w:hAnsi="Arial"/>
          <w:sz w:val="24"/>
          <w:szCs w:val="24"/>
        </w:rPr>
        <w:t xml:space="preserve"> Disponível em: http://www.planalto.gov.br</w:t>
      </w:r>
    </w:p>
    <w:p w:rsidR="009D60B7" w:rsidRDefault="00425C09">
      <w:pPr>
        <w:rPr>
          <w:rFonts w:ascii="Arial" w:hAnsi="Arial"/>
          <w:sz w:val="24"/>
          <w:szCs w:val="24"/>
        </w:rPr>
      </w:pPr>
      <w:r>
        <w:rPr>
          <w:rFonts w:ascii="Arial" w:hAnsi="Arial"/>
          <w:sz w:val="24"/>
          <w:szCs w:val="24"/>
        </w:rPr>
        <w:t>.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Lei nº 14.132 de 2021. </w:t>
      </w:r>
      <w:r>
        <w:rPr>
          <w:rFonts w:ascii="Arial" w:hAnsi="Arial"/>
          <w:b/>
          <w:bCs/>
          <w:sz w:val="24"/>
          <w:szCs w:val="24"/>
        </w:rPr>
        <w:t>Altera o Código Penal para incluir o crime de perseguição</w:t>
      </w:r>
      <w:r>
        <w:rPr>
          <w:rFonts w:ascii="Arial" w:hAnsi="Arial"/>
          <w:sz w:val="24"/>
          <w:szCs w:val="24"/>
        </w:rPr>
        <w:t>. Disponível em: http://www.planalto.gov.br</w:t>
      </w:r>
    </w:p>
    <w:p w:rsidR="009D60B7" w:rsidRDefault="00425C09">
      <w:pPr>
        <w:rPr>
          <w:rFonts w:ascii="Arial" w:hAnsi="Arial"/>
          <w:sz w:val="24"/>
          <w:szCs w:val="24"/>
        </w:rPr>
      </w:pPr>
      <w:r>
        <w:rPr>
          <w:rFonts w:ascii="Arial" w:hAnsi="Arial"/>
          <w:sz w:val="24"/>
          <w:szCs w:val="24"/>
        </w:rPr>
        <w:t>.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w:t>
      </w:r>
      <w:r>
        <w:rPr>
          <w:rFonts w:ascii="Arial" w:hAnsi="Arial"/>
          <w:b/>
          <w:bCs/>
          <w:sz w:val="24"/>
          <w:szCs w:val="24"/>
        </w:rPr>
        <w:t>Ministério dos Direitos Humanos e da Cidadania</w:t>
      </w:r>
      <w:r>
        <w:rPr>
          <w:rFonts w:ascii="Arial" w:hAnsi="Arial"/>
          <w:sz w:val="24"/>
          <w:szCs w:val="24"/>
        </w:rPr>
        <w:t>. 2024.</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CAPEZ, Fernando. </w:t>
      </w:r>
      <w:r>
        <w:rPr>
          <w:rFonts w:ascii="Arial" w:hAnsi="Arial"/>
          <w:b/>
          <w:bCs/>
          <w:sz w:val="24"/>
          <w:szCs w:val="24"/>
        </w:rPr>
        <w:t>Curso de direito penal: parte geral.</w:t>
      </w:r>
      <w:r>
        <w:rPr>
          <w:rFonts w:ascii="Arial" w:hAnsi="Arial"/>
          <w:sz w:val="24"/>
          <w:szCs w:val="24"/>
        </w:rPr>
        <w:t xml:space="preserve"> 25. ed. São Paulo: Saraiva,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CAPEZ, Fernando.</w:t>
      </w:r>
      <w:r>
        <w:rPr>
          <w:rFonts w:ascii="Arial" w:hAnsi="Arial"/>
          <w:b/>
          <w:bCs/>
          <w:sz w:val="24"/>
          <w:szCs w:val="24"/>
        </w:rPr>
        <w:t xml:space="preserve"> Curso de Direito Penal.</w:t>
      </w:r>
      <w:r>
        <w:rPr>
          <w:rFonts w:ascii="Arial" w:hAnsi="Arial"/>
          <w:sz w:val="24"/>
          <w:szCs w:val="24"/>
        </w:rPr>
        <w:t xml:space="preserve"> 20. ed. São Paulo: Saraiva, 2023.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COMITÊ GESTOR DA INTERNET NO BRASIL. </w:t>
      </w:r>
      <w:r>
        <w:rPr>
          <w:rFonts w:ascii="Arial" w:hAnsi="Arial"/>
          <w:b/>
          <w:bCs/>
          <w:sz w:val="24"/>
          <w:szCs w:val="24"/>
        </w:rPr>
        <w:t xml:space="preserve">Pesquisa sobre o uso da internet no </w:t>
      </w:r>
      <w:r>
        <w:rPr>
          <w:rFonts w:ascii="Arial" w:hAnsi="Arial"/>
          <w:b/>
          <w:bCs/>
          <w:sz w:val="24"/>
          <w:szCs w:val="24"/>
        </w:rPr>
        <w:lastRenderedPageBreak/>
        <w:t>Brasil</w:t>
      </w:r>
      <w:r>
        <w:rPr>
          <w:rFonts w:ascii="Arial" w:hAnsi="Arial"/>
          <w:sz w:val="24"/>
          <w:szCs w:val="24"/>
        </w:rPr>
        <w:t>. Disponível em: https://www.cgi.br</w:t>
      </w:r>
    </w:p>
    <w:p w:rsidR="009D60B7" w:rsidRDefault="00425C09">
      <w:pPr>
        <w:rPr>
          <w:rFonts w:ascii="Arial" w:hAnsi="Arial"/>
          <w:sz w:val="24"/>
          <w:szCs w:val="24"/>
        </w:rPr>
      </w:pPr>
      <w:r>
        <w:rPr>
          <w:rFonts w:ascii="Arial" w:hAnsi="Arial"/>
          <w:sz w:val="24"/>
          <w:szCs w:val="24"/>
        </w:rPr>
        <w:t>.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CONSELHO NACIONAL DOS DIREITOS DA CRIANÇA E DO ADOLESCENTE. </w:t>
      </w:r>
      <w:r>
        <w:rPr>
          <w:rFonts w:ascii="Arial" w:hAnsi="Arial"/>
          <w:b/>
          <w:bCs/>
          <w:sz w:val="24"/>
          <w:szCs w:val="24"/>
        </w:rPr>
        <w:t>Diretrizes para proteção de crianças e adolescentes no ambiente digital</w:t>
      </w:r>
      <w:r>
        <w:rPr>
          <w:rFonts w:ascii="Arial" w:hAnsi="Arial"/>
          <w:sz w:val="24"/>
          <w:szCs w:val="24"/>
        </w:rPr>
        <w:t>. Disponível em: https://www.gov.br/mdh/pt-br/acesso-a-informacao/participacao-social/conanda</w:t>
      </w:r>
    </w:p>
    <w:p w:rsidR="009D60B7" w:rsidRDefault="00425C09">
      <w:pPr>
        <w:rPr>
          <w:rFonts w:ascii="Arial" w:hAnsi="Arial"/>
          <w:sz w:val="24"/>
          <w:szCs w:val="24"/>
        </w:rPr>
      </w:pPr>
      <w:r>
        <w:rPr>
          <w:rFonts w:ascii="Arial" w:hAnsi="Arial"/>
          <w:sz w:val="24"/>
          <w:szCs w:val="24"/>
        </w:rPr>
        <w:t>.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CUNHA, Rogério Sanches. </w:t>
      </w:r>
      <w:r>
        <w:rPr>
          <w:rFonts w:ascii="Arial" w:hAnsi="Arial"/>
          <w:b/>
          <w:bCs/>
          <w:sz w:val="24"/>
          <w:szCs w:val="24"/>
        </w:rPr>
        <w:t>Manual de direito penal: parte geral</w:t>
      </w:r>
      <w:r>
        <w:rPr>
          <w:rFonts w:ascii="Arial" w:hAnsi="Arial"/>
          <w:sz w:val="24"/>
          <w:szCs w:val="24"/>
        </w:rPr>
        <w:t>. 10. ed. Salvador: JusPodivm,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DONEDA, Danilo. </w:t>
      </w:r>
      <w:r>
        <w:rPr>
          <w:rFonts w:ascii="Arial" w:hAnsi="Arial"/>
          <w:b/>
          <w:bCs/>
          <w:sz w:val="24"/>
          <w:szCs w:val="24"/>
        </w:rPr>
        <w:t>Da privacidade à proteção de dados pessoais</w:t>
      </w:r>
      <w:r>
        <w:rPr>
          <w:rFonts w:ascii="Arial" w:hAnsi="Arial"/>
          <w:sz w:val="24"/>
          <w:szCs w:val="24"/>
        </w:rPr>
        <w:t>. 2. ed. São Paulo: Revista dos Tribunais, 2020.</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ELIAS, Paulo Sá. </w:t>
      </w:r>
      <w:r>
        <w:rPr>
          <w:rFonts w:ascii="Arial" w:hAnsi="Arial"/>
          <w:b/>
          <w:bCs/>
          <w:sz w:val="24"/>
          <w:szCs w:val="24"/>
        </w:rPr>
        <w:t>Algoritmos, Inteligência Artificial e o Direito</w:t>
      </w:r>
      <w:r>
        <w:rPr>
          <w:rFonts w:ascii="Arial" w:hAnsi="Arial"/>
          <w:sz w:val="24"/>
          <w:szCs w:val="24"/>
        </w:rPr>
        <w:t>. 2017. Disponível em: https://www.conjur.com.br/dl/algoritmos-inteligencia-artificial.pdf</w:t>
      </w:r>
    </w:p>
    <w:p w:rsidR="009D60B7" w:rsidRDefault="00425C09">
      <w:pPr>
        <w:rPr>
          <w:rFonts w:ascii="Arial" w:hAnsi="Arial"/>
          <w:sz w:val="24"/>
          <w:szCs w:val="24"/>
        </w:rPr>
      </w:pPr>
      <w:r>
        <w:rPr>
          <w:rFonts w:ascii="Arial" w:hAnsi="Arial"/>
          <w:sz w:val="24"/>
          <w:szCs w:val="24"/>
        </w:rPr>
        <w:t>. Acesso em: 03 out. 2023.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FREUD, Sigmund. </w:t>
      </w:r>
      <w:r>
        <w:rPr>
          <w:rFonts w:ascii="Arial" w:hAnsi="Arial"/>
          <w:b/>
          <w:bCs/>
          <w:sz w:val="24"/>
          <w:szCs w:val="24"/>
        </w:rPr>
        <w:t>O ego e o id e outros trabalhos</w:t>
      </w:r>
      <w:r>
        <w:rPr>
          <w:rFonts w:ascii="Arial" w:hAnsi="Arial"/>
          <w:sz w:val="24"/>
          <w:szCs w:val="24"/>
        </w:rPr>
        <w:t xml:space="preserve"> (1923–1925). Rio de Janeiro: Imago.</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GOMES, Luiz Flávio. </w:t>
      </w:r>
      <w:r>
        <w:rPr>
          <w:rFonts w:ascii="Arial" w:hAnsi="Arial"/>
          <w:b/>
          <w:bCs/>
          <w:sz w:val="24"/>
          <w:szCs w:val="24"/>
        </w:rPr>
        <w:t>Crimes na era digital.</w:t>
      </w:r>
      <w:r>
        <w:rPr>
          <w:rFonts w:ascii="Arial" w:hAnsi="Arial"/>
          <w:sz w:val="24"/>
          <w:szCs w:val="24"/>
        </w:rPr>
        <w:t xml:space="preserve"> São Paulo: Revista dos Tribunais, 2020.</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GRECO, Rogério. </w:t>
      </w:r>
      <w:r>
        <w:rPr>
          <w:rFonts w:ascii="Arial" w:hAnsi="Arial"/>
          <w:b/>
          <w:bCs/>
          <w:sz w:val="24"/>
          <w:szCs w:val="24"/>
        </w:rPr>
        <w:t>Curso de direito penal: parte geral</w:t>
      </w:r>
      <w:r>
        <w:rPr>
          <w:rFonts w:ascii="Arial" w:hAnsi="Arial"/>
          <w:sz w:val="24"/>
          <w:szCs w:val="24"/>
        </w:rPr>
        <w:t>. 24. ed. Rio de Janeiro: Impetus,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GRECO, Rogério. </w:t>
      </w:r>
      <w:r>
        <w:rPr>
          <w:rFonts w:ascii="Arial" w:hAnsi="Arial"/>
          <w:b/>
          <w:bCs/>
          <w:sz w:val="24"/>
          <w:szCs w:val="24"/>
        </w:rPr>
        <w:t>Curso de Direito Penal: Parte Especial</w:t>
      </w:r>
      <w:r>
        <w:rPr>
          <w:rFonts w:ascii="Arial" w:hAnsi="Arial"/>
          <w:sz w:val="24"/>
          <w:szCs w:val="24"/>
        </w:rPr>
        <w:t>. 19. ed. Rio de Janeiro: Impetus,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KOHN, Karen; MORAES, Cláudia Herte de. </w:t>
      </w:r>
      <w:r>
        <w:rPr>
          <w:rFonts w:ascii="Arial" w:hAnsi="Arial"/>
          <w:b/>
          <w:bCs/>
          <w:sz w:val="24"/>
          <w:szCs w:val="24"/>
        </w:rPr>
        <w:t>O impacto das novas tecnologias na sociedade: conceitos e características da Sociedade da Informação e da Sociedade Digital</w:t>
      </w:r>
      <w:r>
        <w:rPr>
          <w:rFonts w:ascii="Arial" w:hAnsi="Arial"/>
          <w:sz w:val="24"/>
          <w:szCs w:val="24"/>
        </w:rPr>
        <w:t>. In: CONGRESSO BRASILEIRO DE CIÊNCIAS DA COMUNICAÇÃO, 30., 2007, Santos. Anais... São Paulo: Intercom, 2007.</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LIMA, Hélida Katharina de Sousa; GALVÃO, José Victor Tavares; SITCOVSKY, Rafaella Guimarães. </w:t>
      </w:r>
      <w:r>
        <w:rPr>
          <w:rFonts w:ascii="Arial" w:hAnsi="Arial"/>
          <w:b/>
          <w:bCs/>
          <w:sz w:val="24"/>
          <w:szCs w:val="24"/>
        </w:rPr>
        <w:t>Misoginia x crimes cibernéticos contra mulheres: breve reflexão jurídica e sociológica</w:t>
      </w:r>
      <w:r>
        <w:rPr>
          <w:rFonts w:ascii="Arial" w:hAnsi="Arial"/>
          <w:sz w:val="24"/>
          <w:szCs w:val="24"/>
        </w:rPr>
        <w:t>. Revista dos Estudantes de Direito da Universidade de Brasília, 26., 2025, p. 410–427.</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LIMA, Rafael. </w:t>
      </w:r>
      <w:r>
        <w:rPr>
          <w:rFonts w:ascii="Arial" w:hAnsi="Arial"/>
          <w:b/>
          <w:bCs/>
          <w:sz w:val="24"/>
          <w:szCs w:val="24"/>
        </w:rPr>
        <w:t>Crimes digitais e prova penal no ambiente virtual.</w:t>
      </w:r>
      <w:r>
        <w:rPr>
          <w:rFonts w:ascii="Arial" w:hAnsi="Arial"/>
          <w:sz w:val="24"/>
          <w:szCs w:val="24"/>
        </w:rPr>
        <w:t xml:space="preserve"> São Paulo: JusPodivm, 2023.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MARODIN, Tayla Schuster. </w:t>
      </w:r>
      <w:r>
        <w:rPr>
          <w:rFonts w:ascii="Arial" w:hAnsi="Arial"/>
          <w:b/>
          <w:bCs/>
          <w:sz w:val="24"/>
          <w:szCs w:val="24"/>
        </w:rPr>
        <w:t>O crime de estupro virtual: (des) necessidade de tipificação pelo ordenamento jurídico brasileiro</w:t>
      </w:r>
      <w:r>
        <w:rPr>
          <w:rFonts w:ascii="Arial" w:hAnsi="Arial"/>
          <w:sz w:val="24"/>
          <w:szCs w:val="24"/>
        </w:rPr>
        <w:t>. 2021. Dissertação (Mestrado em Ciências Criminais) – Pontifícia Universidade Católica do Rio Grande do Sul, Porto Alegre, 2021.</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MASSON, Cleber. </w:t>
      </w:r>
      <w:r>
        <w:rPr>
          <w:rFonts w:ascii="Arial" w:hAnsi="Arial"/>
          <w:b/>
          <w:bCs/>
          <w:sz w:val="24"/>
          <w:szCs w:val="24"/>
        </w:rPr>
        <w:t>Direito penal esquematizado: parte geral</w:t>
      </w:r>
      <w:r>
        <w:rPr>
          <w:rFonts w:ascii="Arial" w:hAnsi="Arial"/>
          <w:sz w:val="24"/>
          <w:szCs w:val="24"/>
        </w:rPr>
        <w:t>. 11. ed. São Paulo: Método,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lastRenderedPageBreak/>
        <w:t xml:space="preserve">MIGALHAS. </w:t>
      </w:r>
      <w:r>
        <w:rPr>
          <w:rFonts w:ascii="Arial" w:hAnsi="Arial"/>
          <w:b/>
          <w:bCs/>
          <w:sz w:val="24"/>
          <w:szCs w:val="24"/>
        </w:rPr>
        <w:t xml:space="preserve">Interfaces com o fenômeno incel e os crimes virtuais. </w:t>
      </w:r>
      <w:r>
        <w:rPr>
          <w:rFonts w:ascii="Arial" w:hAnsi="Arial"/>
          <w:sz w:val="24"/>
          <w:szCs w:val="24"/>
        </w:rPr>
        <w:t>2025. Disponível em: https://www.migalhas.com.br/arquivos/2025/5/96709F10DC9470_InterfacescomofenomenoInceleos.pdf</w:t>
      </w:r>
    </w:p>
    <w:p w:rsidR="009D60B7" w:rsidRDefault="00425C09">
      <w:pPr>
        <w:rPr>
          <w:rFonts w:ascii="Arial" w:hAnsi="Arial"/>
          <w:sz w:val="24"/>
          <w:szCs w:val="24"/>
        </w:rPr>
      </w:pPr>
      <w:r>
        <w:rPr>
          <w:rFonts w:ascii="Arial" w:hAnsi="Arial"/>
          <w:sz w:val="24"/>
          <w:szCs w:val="24"/>
        </w:rPr>
        <w:t>.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MINISTÉRIO DOS DIREITOS HUMANOS E DA CIDADANIA. </w:t>
      </w:r>
      <w:r>
        <w:rPr>
          <w:rFonts w:ascii="Arial" w:hAnsi="Arial"/>
          <w:b/>
          <w:bCs/>
          <w:sz w:val="24"/>
          <w:szCs w:val="24"/>
        </w:rPr>
        <w:t>Políticas públicas de enfrentamento à violência digital.</w:t>
      </w:r>
      <w:r>
        <w:rPr>
          <w:rFonts w:ascii="Arial" w:hAnsi="Arial"/>
          <w:sz w:val="24"/>
          <w:szCs w:val="24"/>
        </w:rPr>
        <w:t xml:space="preserve"> Disponível em: https://www.gov.br/mdh</w:t>
      </w:r>
    </w:p>
    <w:p w:rsidR="009D60B7" w:rsidRDefault="00425C09">
      <w:pPr>
        <w:rPr>
          <w:rFonts w:ascii="Arial" w:hAnsi="Arial"/>
          <w:sz w:val="24"/>
          <w:szCs w:val="24"/>
        </w:rPr>
      </w:pPr>
      <w:r>
        <w:rPr>
          <w:rFonts w:ascii="Arial" w:hAnsi="Arial"/>
          <w:sz w:val="24"/>
          <w:szCs w:val="24"/>
        </w:rPr>
        <w:t>.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MOTERANI, Geisa Maria Batista; CARVALHO, Felipe Mio de. </w:t>
      </w:r>
      <w:r>
        <w:rPr>
          <w:rFonts w:ascii="Arial" w:hAnsi="Arial"/>
          <w:b/>
          <w:bCs/>
          <w:sz w:val="24"/>
          <w:szCs w:val="24"/>
        </w:rPr>
        <w:t>Misoginia: a violência contra a mulher numa visão histórica e psicanalítica.</w:t>
      </w:r>
      <w:r>
        <w:rPr>
          <w:rFonts w:ascii="Arial" w:hAnsi="Arial"/>
          <w:sz w:val="24"/>
          <w:szCs w:val="24"/>
        </w:rPr>
        <w:t xml:space="preserve"> Avesso do Avesso, Araçatuba, v. 14, n. 14, p. 167-178, 2016.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NUCCI, Guilherme de Souza. </w:t>
      </w:r>
      <w:r>
        <w:rPr>
          <w:rFonts w:ascii="Arial" w:hAnsi="Arial"/>
          <w:b/>
          <w:bCs/>
          <w:sz w:val="24"/>
          <w:szCs w:val="24"/>
        </w:rPr>
        <w:t>Manual de Direito Penal</w:t>
      </w:r>
      <w:r>
        <w:rPr>
          <w:rFonts w:ascii="Arial" w:hAnsi="Arial"/>
          <w:sz w:val="24"/>
          <w:szCs w:val="24"/>
        </w:rPr>
        <w:t>. 18. ed. Rio de Janeiro: Forense, 2021.</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RODRIGUES, Inês Garcia Machado da Silveira. </w:t>
      </w:r>
      <w:r>
        <w:rPr>
          <w:rFonts w:ascii="Arial" w:hAnsi="Arial"/>
          <w:b/>
          <w:bCs/>
          <w:sz w:val="24"/>
          <w:szCs w:val="24"/>
        </w:rPr>
        <w:t>Estratégias das redes sociais para monetizar os dados dos utilizadores</w:t>
      </w:r>
      <w:r>
        <w:rPr>
          <w:rFonts w:ascii="Arial" w:hAnsi="Arial"/>
          <w:sz w:val="24"/>
          <w:szCs w:val="24"/>
        </w:rPr>
        <w:t>. 2023. Dissertação (Mestrado em Ciências Empresariais) – Instituto Superior de Economia e Gestão, Lisboa, 2023.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SAFERNET BRASIL. </w:t>
      </w:r>
      <w:r>
        <w:rPr>
          <w:rFonts w:ascii="Arial" w:hAnsi="Arial"/>
          <w:b/>
          <w:bCs/>
          <w:sz w:val="24"/>
          <w:szCs w:val="24"/>
        </w:rPr>
        <w:t>Indicadores de violência e crimes na internet.</w:t>
      </w:r>
      <w:r>
        <w:rPr>
          <w:rFonts w:ascii="Arial" w:hAnsi="Arial"/>
          <w:sz w:val="24"/>
          <w:szCs w:val="24"/>
        </w:rPr>
        <w:t xml:space="preserve"> Disponível em: https://new.safernet.org.br. Acesso em: 23 abr. 2026.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SANTOS, Jeová Rodrigues dos. </w:t>
      </w:r>
      <w:r>
        <w:rPr>
          <w:rFonts w:ascii="Arial" w:hAnsi="Arial"/>
          <w:b/>
          <w:bCs/>
          <w:sz w:val="24"/>
          <w:szCs w:val="24"/>
        </w:rPr>
        <w:t>O fenômeno da violência contra a mulher na sociedade brasileira e suas raízes histórico-religiosas.</w:t>
      </w:r>
      <w:r>
        <w:rPr>
          <w:rFonts w:ascii="Arial" w:hAnsi="Arial"/>
          <w:sz w:val="24"/>
          <w:szCs w:val="24"/>
        </w:rPr>
        <w:t xml:space="preserve"> Goiânia, 2014. Dissertação (Mestrado em Ciências da Religião) – Pontifícia Universidade Católica de Goiás.</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SILVA, Ana Carolina Weselovski da. </w:t>
      </w:r>
      <w:r>
        <w:rPr>
          <w:rFonts w:ascii="Arial" w:hAnsi="Arial"/>
          <w:b/>
          <w:bCs/>
          <w:sz w:val="24"/>
          <w:szCs w:val="24"/>
        </w:rPr>
        <w:t>Misoginia online: manosfera e a Red Pill no ambiente virtual brasileiro</w:t>
      </w:r>
      <w:r>
        <w:rPr>
          <w:rFonts w:ascii="Arial" w:hAnsi="Arial"/>
          <w:sz w:val="24"/>
          <w:szCs w:val="24"/>
        </w:rPr>
        <w:t>. Porto Alegre, 2022. Dissertação – Universidade Federal do Rio Grande do Sul.</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SUPERIOR TRIBUNAL DE JUSTIÇA. </w:t>
      </w:r>
      <w:r>
        <w:rPr>
          <w:rFonts w:ascii="Arial" w:hAnsi="Arial"/>
          <w:b/>
          <w:bCs/>
          <w:sz w:val="24"/>
          <w:szCs w:val="24"/>
        </w:rPr>
        <w:t>AREsp 2236123/DF.</w:t>
      </w:r>
      <w:r>
        <w:rPr>
          <w:rFonts w:ascii="Arial" w:hAnsi="Arial"/>
          <w:sz w:val="24"/>
          <w:szCs w:val="24"/>
        </w:rPr>
        <w:t xml:space="preserve"> Julgado em 2023.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SUPERIOR TRIBUNAL DE JUSTIÇA. </w:t>
      </w:r>
      <w:r>
        <w:rPr>
          <w:rFonts w:ascii="Arial" w:hAnsi="Arial"/>
          <w:b/>
          <w:bCs/>
          <w:sz w:val="24"/>
          <w:szCs w:val="24"/>
        </w:rPr>
        <w:t>AREsp 2639144</w:t>
      </w:r>
      <w:r>
        <w:rPr>
          <w:rFonts w:ascii="Arial" w:hAnsi="Arial"/>
          <w:sz w:val="24"/>
          <w:szCs w:val="24"/>
        </w:rPr>
        <w:t>. Relator: Ministro Ribeiro Dantas. Julgado em 2024.</w:t>
      </w:r>
    </w:p>
    <w:p w:rsidR="009D60B7" w:rsidRDefault="00425C09">
      <w:pPr>
        <w:rPr>
          <w:rFonts w:ascii="Arial" w:hAnsi="Arial"/>
          <w:sz w:val="24"/>
          <w:szCs w:val="24"/>
        </w:rPr>
      </w:pPr>
      <w:r>
        <w:rPr>
          <w:rFonts w:ascii="Arial" w:hAnsi="Arial"/>
          <w:sz w:val="24"/>
          <w:szCs w:val="24"/>
        </w:rPr>
        <w:t xml:space="preserve">SUPERIOR TRIBUNAL DE JUSTIÇA. </w:t>
      </w:r>
      <w:r>
        <w:rPr>
          <w:rFonts w:ascii="Arial" w:hAnsi="Arial"/>
          <w:b/>
          <w:bCs/>
          <w:sz w:val="24"/>
          <w:szCs w:val="24"/>
        </w:rPr>
        <w:t>HC 938596</w:t>
      </w:r>
      <w:r>
        <w:rPr>
          <w:rFonts w:ascii="Arial" w:hAnsi="Arial"/>
          <w:sz w:val="24"/>
          <w:szCs w:val="24"/>
        </w:rPr>
        <w:t>. Julgado em 2024.</w:t>
      </w:r>
    </w:p>
    <w:p w:rsidR="009D60B7" w:rsidRDefault="009D60B7">
      <w:pPr>
        <w:rPr>
          <w:rFonts w:ascii="Arial" w:hAnsi="Arial"/>
          <w:sz w:val="24"/>
          <w:szCs w:val="24"/>
        </w:rPr>
      </w:pPr>
    </w:p>
    <w:p w:rsidR="009D60B7" w:rsidRDefault="00425C09">
      <w:pPr>
        <w:ind w:right="142"/>
        <w:rPr>
          <w:rFonts w:ascii="Arial" w:hAnsi="Arial" w:cs="Times New Roman"/>
          <w:sz w:val="24"/>
          <w:szCs w:val="24"/>
        </w:rPr>
      </w:pPr>
      <w:r>
        <w:rPr>
          <w:rFonts w:ascii="Arial" w:hAnsi="Arial"/>
          <w:sz w:val="24"/>
          <w:szCs w:val="24"/>
        </w:rPr>
        <w:t xml:space="preserve">SUPERIOR TRIBUNAL DE JUSTIÇA. </w:t>
      </w:r>
      <w:r>
        <w:rPr>
          <w:rFonts w:ascii="Arial" w:hAnsi="Arial"/>
          <w:b/>
          <w:bCs/>
          <w:sz w:val="24"/>
          <w:szCs w:val="24"/>
        </w:rPr>
        <w:t>RHC 204230.</w:t>
      </w:r>
      <w:r>
        <w:rPr>
          <w:rFonts w:ascii="Arial" w:hAnsi="Arial"/>
          <w:sz w:val="24"/>
          <w:szCs w:val="24"/>
        </w:rPr>
        <w:t xml:space="preserve"> Julgado em 2024.</w:t>
      </w: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4"/>
          <w:szCs w:val="24"/>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rsidP="00297418">
      <w:pPr>
        <w:ind w:right="142"/>
        <w:rPr>
          <w:rFonts w:ascii="Arial" w:hAnsi="Arial" w:cs="Times New Roman"/>
          <w:sz w:val="20"/>
          <w:szCs w:val="20"/>
        </w:rPr>
      </w:pPr>
    </w:p>
    <w:p w:rsidR="009D60B7" w:rsidRDefault="009D60B7">
      <w:pPr>
        <w:ind w:left="142" w:right="142" w:hanging="10"/>
        <w:rPr>
          <w:rFonts w:ascii="Arial" w:hAnsi="Arial" w:cs="Times New Roman"/>
          <w:sz w:val="20"/>
          <w:szCs w:val="20"/>
        </w:rPr>
      </w:pPr>
    </w:p>
    <w:p w:rsidR="00C34DBA" w:rsidRDefault="00425C09" w:rsidP="00C34DBA">
      <w:pPr>
        <w:jc w:val="center"/>
        <w:rPr>
          <w:rFonts w:ascii="Arial" w:eastAsia="Times New Roman" w:hAnsi="Arial" w:cs="Times New Roman"/>
          <w:b/>
          <w:bCs/>
          <w:spacing w:val="-2"/>
          <w:sz w:val="28"/>
          <w:szCs w:val="28"/>
        </w:rPr>
      </w:pPr>
      <w:r w:rsidRPr="00C34DBA">
        <w:rPr>
          <w:rFonts w:ascii="Arial" w:eastAsia="Times New Roman" w:hAnsi="Arial" w:cs="Times New Roman"/>
          <w:b/>
          <w:bCs/>
          <w:spacing w:val="-2"/>
          <w:sz w:val="28"/>
          <w:szCs w:val="28"/>
        </w:rPr>
        <w:lastRenderedPageBreak/>
        <w:t>A FILIAÇÃO SOCIOAFETIVA E A MULTIPARENTALIDADE NO DIREITO DE FAMÍLIA: REFLEXOS NAS ESFERAS SUCESSÓRIA,</w:t>
      </w:r>
    </w:p>
    <w:p w:rsidR="009D60B7" w:rsidRPr="00C34DBA" w:rsidRDefault="00425C09" w:rsidP="00C34DBA">
      <w:pPr>
        <w:jc w:val="center"/>
        <w:rPr>
          <w:rFonts w:ascii="Arial" w:hAnsi="Arial"/>
          <w:sz w:val="28"/>
          <w:szCs w:val="28"/>
        </w:rPr>
      </w:pPr>
      <w:r w:rsidRPr="00C34DBA">
        <w:rPr>
          <w:rFonts w:ascii="Arial" w:eastAsia="Times New Roman" w:hAnsi="Arial" w:cs="Times New Roman"/>
          <w:b/>
          <w:bCs/>
          <w:spacing w:val="-2"/>
          <w:sz w:val="28"/>
          <w:szCs w:val="28"/>
        </w:rPr>
        <w:t xml:space="preserve"> ALIMENTAR E REGISTRAL</w:t>
      </w:r>
    </w:p>
    <w:p w:rsidR="009D60B7" w:rsidRDefault="009D60B7">
      <w:pPr>
        <w:pStyle w:val="Ttulo1"/>
        <w:spacing w:before="84" w:line="362" w:lineRule="auto"/>
        <w:ind w:left="0" w:right="1"/>
        <w:jc w:val="both"/>
        <w:rPr>
          <w:rFonts w:ascii="Arial" w:hAnsi="Arial" w:cs="Arial"/>
          <w:spacing w:val="-2"/>
          <w:sz w:val="24"/>
          <w:szCs w:val="24"/>
        </w:rPr>
      </w:pPr>
    </w:p>
    <w:p w:rsidR="009D60B7" w:rsidRDefault="00425C09">
      <w:pPr>
        <w:spacing w:after="17" w:line="276" w:lineRule="auto"/>
        <w:ind w:left="-5" w:hanging="10"/>
        <w:jc w:val="center"/>
        <w:rPr>
          <w:rFonts w:ascii="Arial" w:hAnsi="Arial"/>
          <w:sz w:val="24"/>
          <w:szCs w:val="24"/>
        </w:rPr>
      </w:pPr>
      <w:r>
        <w:rPr>
          <w:rFonts w:ascii="Arial" w:hAnsi="Arial" w:cs="Times New Roman"/>
          <w:sz w:val="24"/>
          <w:szCs w:val="24"/>
        </w:rPr>
        <w:t>Emanuelly Guerres de Aguiar</w:t>
      </w:r>
      <w:r>
        <w:rPr>
          <w:rStyle w:val="Refdenotaderodap"/>
          <w:rFonts w:ascii="Arial" w:hAnsi="Arial" w:cs="Times New Roman"/>
          <w:sz w:val="24"/>
          <w:szCs w:val="24"/>
        </w:rPr>
        <w:footnoteReference w:id="33"/>
      </w:r>
      <w:r>
        <w:rPr>
          <w:rFonts w:ascii="Arial" w:hAnsi="Arial" w:cs="Times New Roman"/>
          <w:sz w:val="24"/>
          <w:szCs w:val="24"/>
        </w:rPr>
        <w:t xml:space="preserve"> </w:t>
      </w:r>
    </w:p>
    <w:p w:rsidR="009D60B7" w:rsidRDefault="00425C09">
      <w:pPr>
        <w:spacing w:after="17" w:line="276" w:lineRule="auto"/>
        <w:ind w:left="-5" w:hanging="10"/>
        <w:jc w:val="center"/>
        <w:rPr>
          <w:rFonts w:ascii="Arial" w:hAnsi="Arial"/>
          <w:sz w:val="24"/>
          <w:szCs w:val="24"/>
        </w:rPr>
      </w:pPr>
      <w:r>
        <w:rPr>
          <w:rFonts w:ascii="Arial" w:hAnsi="Arial" w:cs="Times New Roman"/>
          <w:sz w:val="24"/>
          <w:szCs w:val="24"/>
        </w:rPr>
        <w:t>Laís Karla Abade Silva</w:t>
      </w:r>
      <w:r>
        <w:rPr>
          <w:rStyle w:val="Refdenotaderodap"/>
          <w:rFonts w:ascii="Arial" w:hAnsi="Arial" w:cs="Times New Roman"/>
          <w:sz w:val="24"/>
          <w:szCs w:val="24"/>
        </w:rPr>
        <w:footnoteReference w:id="34"/>
      </w:r>
      <w:r>
        <w:rPr>
          <w:rFonts w:ascii="Arial" w:hAnsi="Arial" w:cs="Times New Roman"/>
          <w:sz w:val="24"/>
          <w:szCs w:val="24"/>
        </w:rPr>
        <w:t xml:space="preserve"> </w:t>
      </w:r>
    </w:p>
    <w:p w:rsidR="009D60B7" w:rsidRDefault="00425C09">
      <w:pPr>
        <w:spacing w:after="17" w:line="276" w:lineRule="auto"/>
        <w:ind w:left="-5" w:hanging="10"/>
        <w:jc w:val="center"/>
        <w:rPr>
          <w:rFonts w:ascii="Arial" w:hAnsi="Arial" w:cs="Arial"/>
          <w:sz w:val="24"/>
          <w:szCs w:val="24"/>
        </w:rPr>
      </w:pPr>
      <w:r>
        <w:rPr>
          <w:rFonts w:ascii="Arial" w:hAnsi="Arial" w:cs="Times New Roman"/>
          <w:sz w:val="24"/>
          <w:szCs w:val="24"/>
        </w:rPr>
        <w:t>César Gratão de Oliveira</w:t>
      </w:r>
      <w:r>
        <w:rPr>
          <w:rStyle w:val="Refdenotaderodap"/>
          <w:rFonts w:ascii="Arial" w:hAnsi="Arial" w:cs="Times New Roman"/>
          <w:sz w:val="24"/>
          <w:szCs w:val="24"/>
        </w:rPr>
        <w:footnoteReference w:id="35"/>
      </w:r>
    </w:p>
    <w:p w:rsidR="009D60B7" w:rsidRDefault="00425C09">
      <w:pPr>
        <w:pStyle w:val="Corpodetexto"/>
        <w:ind w:left="142" w:right="136"/>
        <w:jc w:val="right"/>
        <w:rPr>
          <w:rFonts w:ascii="Arial" w:hAnsi="Arial"/>
          <w:sz w:val="24"/>
          <w:szCs w:val="24"/>
        </w:rPr>
      </w:pPr>
      <w:r>
        <w:rPr>
          <w:rFonts w:ascii="Arial" w:hAnsi="Arial" w:cs="Arial"/>
          <w:spacing w:val="-13"/>
          <w:sz w:val="24"/>
          <w:szCs w:val="24"/>
        </w:rPr>
        <w:t xml:space="preserve"> </w:t>
      </w:r>
    </w:p>
    <w:p w:rsidR="009D60B7" w:rsidRPr="00C34DBA" w:rsidRDefault="00425C09">
      <w:pPr>
        <w:pStyle w:val="Ttulo1"/>
        <w:rPr>
          <w:rFonts w:ascii="Arial" w:hAnsi="Arial"/>
          <w:bCs/>
          <w:sz w:val="24"/>
          <w:szCs w:val="24"/>
        </w:rPr>
      </w:pPr>
      <w:r w:rsidRPr="00C34DBA">
        <w:rPr>
          <w:rFonts w:ascii="Arial" w:hAnsi="Arial" w:cs="Arial"/>
          <w:bCs/>
          <w:spacing w:val="-2"/>
          <w:sz w:val="24"/>
          <w:szCs w:val="24"/>
        </w:rPr>
        <w:t>RESUMO</w:t>
      </w:r>
    </w:p>
    <w:p w:rsidR="009D60B7" w:rsidRDefault="009D60B7">
      <w:pPr>
        <w:rPr>
          <w:rFonts w:ascii="Arial" w:hAnsi="Arial"/>
          <w:sz w:val="20"/>
          <w:szCs w:val="20"/>
        </w:rPr>
      </w:pPr>
    </w:p>
    <w:p w:rsidR="009D60B7" w:rsidRDefault="00425C09">
      <w:pPr>
        <w:jc w:val="both"/>
        <w:rPr>
          <w:rFonts w:ascii="Arial" w:hAnsi="Arial"/>
          <w:sz w:val="20"/>
          <w:szCs w:val="20"/>
        </w:rPr>
      </w:pPr>
      <w:r>
        <w:rPr>
          <w:rFonts w:ascii="Arial" w:hAnsi="Arial" w:cs="Times New Roman"/>
          <w:sz w:val="20"/>
          <w:szCs w:val="20"/>
        </w:rPr>
        <w:t>O presente artigo analisa a filiação socioafetiva e a multiparentalidade no Direito de Família, evidenciando a transformação do conceito tradicional de família no ordenamento jurídico brasileiro após a Constituição Federal de 1988. O tema mostra-se relevante diante da valorização crescente dos vínculos afetivos como elementos constitutivos da parentalidade, superando a centralidade exclusiva da consanguinidade. O objetivo geral consiste em examinar os efeitos jurídicos do reconhecimento da filiação socioafetiva e da multiparentalidade, enquanto os objetivos específicos abrangem a análise da jurisprudência dos tribunais superiores, a identificação dos efeitos nas esferas alimentar, sucessória e registral, bem como a avaliação dos impactos da ausência de regulamentação normativa específica. A metodologia adotada é bibliográfica, de abordagem qualitativa e método dedutivo, com base na análise de doutrina, legislação e decisões judiciais. Os resultados demonstram que a jurisprudência, especialmente do Supremo Tribunal Federal e do Superior Tribunal de Justiça, tem desempenhado papel essencial na consolidação desses institutos, reconhecendo a possibilidade de coexistência entre vínculos biológicos e socioafetivos. Contudo, verificam-se desafios práticos e insegurança jurídica decorrentes da ausência de normatização sistematizada, o que pode gerar interpretações divergentes. Conclui-se que a multiparentalidade representa um avanço significativo na proteção das novas configurações familiares, sendo necessária a criação de diretrizes legislativas que assegurem maior segurança jurídica e efetividade na aplicação das normas.</w:t>
      </w:r>
    </w:p>
    <w:p w:rsidR="009D60B7" w:rsidRDefault="009D60B7">
      <w:pPr>
        <w:spacing w:line="247" w:lineRule="auto"/>
        <w:rPr>
          <w:rFonts w:ascii="Arial" w:hAnsi="Arial" w:cs="Times New Roman"/>
          <w:sz w:val="20"/>
          <w:szCs w:val="20"/>
        </w:rPr>
      </w:pPr>
    </w:p>
    <w:p w:rsidR="009D60B7" w:rsidRDefault="00425C09">
      <w:pPr>
        <w:rPr>
          <w:rFonts w:ascii="Arial" w:hAnsi="Arial"/>
          <w:sz w:val="20"/>
          <w:szCs w:val="20"/>
        </w:rPr>
      </w:pPr>
      <w:r>
        <w:rPr>
          <w:rFonts w:ascii="Arial" w:hAnsi="Arial" w:cs="Times New Roman"/>
          <w:b/>
          <w:sz w:val="20"/>
          <w:szCs w:val="20"/>
        </w:rPr>
        <w:t>PALAVRAS-CHAVE:</w:t>
      </w:r>
      <w:r>
        <w:rPr>
          <w:rFonts w:ascii="Arial" w:hAnsi="Arial" w:cs="Times New Roman"/>
          <w:sz w:val="20"/>
          <w:szCs w:val="20"/>
        </w:rPr>
        <w:t xml:space="preserve"> </w:t>
      </w:r>
      <w:r>
        <w:rPr>
          <w:rFonts w:ascii="Arial" w:hAnsi="Arial" w:cs="Times New Roman"/>
          <w:bCs/>
          <w:sz w:val="20"/>
          <w:szCs w:val="20"/>
        </w:rPr>
        <w:t>Afetividade. Direito de Família. Filiação Socioafetiva. Jurisprudência. Multiparentalidade.</w:t>
      </w:r>
    </w:p>
    <w:p w:rsidR="009D60B7" w:rsidRDefault="009D60B7">
      <w:pPr>
        <w:spacing w:after="18" w:line="259" w:lineRule="auto"/>
        <w:rPr>
          <w:rFonts w:ascii="Arial" w:hAnsi="Arial" w:cs="Times New Roman"/>
          <w:sz w:val="20"/>
          <w:szCs w:val="20"/>
        </w:rPr>
      </w:pPr>
    </w:p>
    <w:p w:rsidR="009D60B7" w:rsidRDefault="00425C09">
      <w:pPr>
        <w:pStyle w:val="Ttulo1"/>
        <w:spacing w:line="360" w:lineRule="auto"/>
        <w:ind w:left="-5" w:hanging="10"/>
        <w:jc w:val="both"/>
        <w:rPr>
          <w:rFonts w:ascii="Arial" w:hAnsi="Arial" w:cs="Times New Roman"/>
          <w:sz w:val="20"/>
          <w:szCs w:val="20"/>
        </w:rPr>
      </w:pPr>
      <w:r>
        <w:rPr>
          <w:rFonts w:ascii="Arial" w:hAnsi="Arial" w:cs="Times New Roman"/>
          <w:sz w:val="24"/>
          <w:szCs w:val="24"/>
        </w:rPr>
        <w:t xml:space="preserve">INTRODUÇÃO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 filiação socioafetiva e a multiparentalidade no Direito de Família contemporâneo refletem a profunda transformação do conceito tradicional de família no ordenamento jurídico brasileiro. A partir da Constituição Federal de 1988, especialmente do art. 226, a entidade familiar passou a ser compreendida sob uma perspectiva plural, fundada não apenas na consanguinidade, mas também nos laços de afeto e na dignidade da pessoa humana. Nesse contexto, a filiação socioafetiva consolida o afeto como elemento formador do vínculo parental. Por sua vez, a multiparentalidade admite juridicamente a coexistência de vínculos biológicos e socioafetivos, cujo reconhecimento e efeitos vêm </w:t>
      </w:r>
      <w:r>
        <w:rPr>
          <w:rFonts w:ascii="Arial" w:hAnsi="Arial" w:cs="Times New Roman"/>
          <w:sz w:val="24"/>
          <w:szCs w:val="24"/>
        </w:rPr>
        <w:lastRenderedPageBreak/>
        <w:t>sendo progressivamente construídos pela jurisprudência brasileira.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Considerando que não há regulamentação específica e sistematizada sobre a matéria, emerge o seguinte problema de pesquisa: de que forma o ordenamento jurídico brasileiro tem reconhecido a filiação socioafetiva e a multiparentalidade? Questiona-se, ainda, se a ausência de disciplina normativa expressa compromete a segurança jurídica e a efetivação do princípio do melhor interesse da criança. Nesse contexto, evidencia-se a necessidade de analisar a atuação da jurisprudência e a aplicação dos princípios constitucionais como mecanismos de integração das lacunas existentes.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relevância do tema justifica-se pela crescente consolidação das novas configurações familiares na sociedade brasileira e pela necessidade de o Direito acompanhar tais transformações. Nesse sentido, o reconhecimento da multiparentalidade pelo Recurso Extraordinário 898.060, pelo Supremo Tribunal Federal, evidencia a valorização do vínculo socioafetivo e a possibilidade de coexistência entre parentalidade biológica e afetiva. Apesar desses avanços, a ausência de sistematização normativa ainda favorece interpretações divergentes, especialmente quanto aos efeitos patrimoniais e registrais. Assim, a pesquisa contribui para o aprofundamento doutrinário e jurisprudencial, promovendo reflexões alinhadas aos princípios da dignidade da pessoa humana, da igualdade entre os filhos e da proteção integral da criança e do adolescente.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O objetivo geral deste estudo consiste em analisar os efeitos jurídicos do reconhecimento da filiação socioafetiva e da multiparentalidade no ordenamento jurídico brasileiro.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Como objetivos específicos, pretende-se: a) examinar o posicionamento jurisprudencial dos tribunais superiores acerca da multiparentalidade; b) analisar os principais efeitos jurídicos decorrentes do reconhecimento de múltiplos vínculos parentais, especialmente nas esferas sucessória, alimentar e registral; c) verificar em que medida a ausência de disciplina normativa sistematizada impacta a segurança jurídica; d) apontar diretrizes para uma eventual regulamentação legislativa, com vistas à proteção das relações familiares multiparentais.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 metodologia adotada será de natureza bibliográfica e qualitativa, utilizando o método dedutivo, com base na análise de doutrina especializada, legislação vigente e jurisprudência dos tribunais superiores. O trabalho está estruturado em três subtópicos: o primeiro aborda os fundamentos e a evolução do conceito de família no Direito brasileiro; o segundo examina a filiação socioafetiva e a multiparentalidade; e o terceiro discute os principais desafios jurídicos e perspectivas de regulamentação, à luz do </w:t>
      </w:r>
      <w:r>
        <w:rPr>
          <w:rFonts w:ascii="Arial" w:hAnsi="Arial" w:cs="Times New Roman"/>
          <w:sz w:val="24"/>
          <w:szCs w:val="24"/>
        </w:rPr>
        <w:lastRenderedPageBreak/>
        <w:t>princípio do melhor interesse da criança.</w:t>
      </w:r>
    </w:p>
    <w:p w:rsidR="009D60B7" w:rsidRPr="00105474" w:rsidRDefault="009D60B7">
      <w:pPr>
        <w:spacing w:line="259" w:lineRule="auto"/>
        <w:jc w:val="both"/>
        <w:rPr>
          <w:rFonts w:ascii="Arial" w:hAnsi="Arial" w:cs="Times New Roman"/>
          <w:sz w:val="24"/>
          <w:szCs w:val="24"/>
        </w:rPr>
      </w:pPr>
    </w:p>
    <w:p w:rsidR="009D60B7" w:rsidRPr="00105474" w:rsidRDefault="00425C09">
      <w:pPr>
        <w:spacing w:line="360" w:lineRule="auto"/>
        <w:jc w:val="both"/>
        <w:rPr>
          <w:rFonts w:ascii="Arial" w:hAnsi="Arial" w:cs="Times New Roman"/>
          <w:sz w:val="24"/>
          <w:szCs w:val="24"/>
        </w:rPr>
      </w:pPr>
      <w:r w:rsidRPr="00105474">
        <w:rPr>
          <w:rFonts w:ascii="Arial" w:hAnsi="Arial" w:cs="Times New Roman"/>
          <w:sz w:val="24"/>
          <w:szCs w:val="24"/>
        </w:rPr>
        <w:t>1. FUNDAMENTOS E EVOLUÇÃO DO CONCEITO DE FAMÍLIA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 Constituição Federal de 1988 representou um marco decisivo na transformação do Direito de Família brasileiro. A partir dela, ocorreu o conhecido como constitucionalização do Direito Civil, pelo qual os institutos privados passaram a ser interpretados à luz dos direitos e princípios fundamentais. No âmbito do Direito de Família, essa transformação foi ainda mais sensível, pois deslocou o foco do patrimônio, do casamento formal e da hierarquia familiar para a proteção da pessoa humana, da dignidade, da igualdade e da proteção integral da criança e do adolescente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Antes da Constituição de 1988, a família era concebida predominantemente sob uma ótica patrimonialista, matrimonializada e biologicista. A filiação estava fortemente atrelada ao vínculo sanguíneo e ao casamento, havendo significativa distinção entre filhos legítimos e ilegítimos. Com a promulgação da Constituição Federal de 1988, foi assegurada a igualdade entre os filhos, sendo vedadas quaisquer distinções, nos termos do art. 227, §6º, superando-se os modelos de família que excluíam determinados vínculos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Nesse sentido, Dias (2021) afirma que a constitucionalização do Direito de Família consolidou a família como base da sociedade, merecedora de especial proteção do Estado, não mais restrita ao modelo tradicional, mas abrangendo múltiplas formas de família. Essa mudança de paradigma possibilitou a valorização de elementos extrajurídicos relevantes, como o afeto, o cuidado e a convivência, que passaram a ser reconhecidos como fundamentos das relações familiares.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Portanto, o Poder Judiciário, sobretudo os tribunais superiores, desempenhou papel central na concretização desse novo modelo constitucional de família. A jurisprudência passou a interpretar os institutos familiares à luz dos princípios da dignidade da pessoa humana, da solidariedade, da igualdade entre os filhos e do melhor interesse da criança e do adolescente. Nesse contexto, destaca-se o entendimento firmado pelo Supremo Tribunal Federal no Recurso Extraordinário 898.060, que reconheceu a possibilidade de coexistência entre vínculos biológicos e socioafetivos. Assim, abre-se espaço para o reconhecimento da filiação socioafetiva e da multiparentalidade como expressões legítimas das novas configurações familiares no ordenamento jurídico brasileiro.</w:t>
      </w:r>
    </w:p>
    <w:p w:rsidR="009D60B7" w:rsidRDefault="009D60B7">
      <w:pPr>
        <w:spacing w:line="360" w:lineRule="auto"/>
        <w:ind w:firstLine="709"/>
        <w:jc w:val="both"/>
        <w:rPr>
          <w:rFonts w:ascii="Arial" w:hAnsi="Arial" w:cs="Times New Roman"/>
          <w:sz w:val="24"/>
          <w:szCs w:val="24"/>
        </w:rPr>
      </w:pPr>
    </w:p>
    <w:p w:rsidR="009D60B7" w:rsidRDefault="00425C09">
      <w:pPr>
        <w:spacing w:line="360" w:lineRule="auto"/>
        <w:jc w:val="both"/>
        <w:rPr>
          <w:rFonts w:ascii="Arial" w:hAnsi="Arial" w:cs="Times New Roman"/>
          <w:sz w:val="24"/>
          <w:szCs w:val="24"/>
        </w:rPr>
      </w:pPr>
      <w:r>
        <w:rPr>
          <w:rFonts w:ascii="Arial" w:hAnsi="Arial" w:cs="Times New Roman"/>
          <w:bCs/>
          <w:sz w:val="24"/>
          <w:szCs w:val="24"/>
        </w:rPr>
        <w:t>1.1 O afeto como valor jurídico</w:t>
      </w:r>
    </w:p>
    <w:p w:rsidR="009D60B7" w:rsidRDefault="00425C09">
      <w:pPr>
        <w:spacing w:line="360" w:lineRule="auto"/>
        <w:ind w:firstLine="709"/>
        <w:jc w:val="both"/>
        <w:rPr>
          <w:rFonts w:ascii="Arial" w:hAnsi="Arial"/>
          <w:sz w:val="24"/>
          <w:szCs w:val="24"/>
        </w:rPr>
      </w:pPr>
      <w:r>
        <w:rPr>
          <w:rFonts w:ascii="Arial" w:hAnsi="Arial" w:cs="Times New Roman"/>
          <w:sz w:val="24"/>
          <w:szCs w:val="24"/>
        </w:rPr>
        <w:lastRenderedPageBreak/>
        <w:t>A constitucionalização do Direito de Família promoveu profunda transformação nos fundamentos que regem as relações familiares no ordenamento jurídico brasileiro. A partir da Constituição Federal de 1988, a família deixou de ser compreendida exclusivamente sob uma perspectiva biológica, passando a ser reconhecida como espaço de realização da dignidade da pessoa humana, da solidariedade e da busca da felicidade. Nesse novo paradigma, o afeto passou a assumir relevância jurídica, sendo reconhecido como elemento estruturante das relações familiares. Conforme destaca Dias (2021), o afeto consolidou-se como valor jurídico apto a fundamentar vínculos parentais, superando a centralidade exclusiva da consanguinidade.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Embora o termo “afeto” não esteja expresso de forma literal no texto constitucional, sua força normativa decorre diretamente dos princípios da dignidade da pessoa humana no artigo 1º, III, da CF, da igualdade conforme o art. 5º, caput, da proteção integral da criança e do adolescente segundo o artigo. 227, caput e, especialmente, da igualdade entre os filhos do art. 227, § 6º, que veda qualquer forma de discriminação em razão da origem da filiação. A família passa, assim, a ser compreendida não apenas como uma entidade jurídica formal, mas como uma realidade baseada nos vínculos afetivos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a doutrina contemporânea reconhece que o princípio da afetividade se consolidou como verdadeiro vetor interpretativo do Direito de Família. Para Maria Berenice Dias (2021), o afeto representa o elemento estruturante da entidade familiar, conferindo legitimidade às relações parentais independentemente da origem biológica. Pablo Stolze Gagliano e Rodolfo Pamplona Filho (2022), também defendem que a afetividade constitui fundamento essencial da parentalidade contemporânea, sendo responsável pela construção dos vínculos familiares sob a ótica da convivência, do cuidado e do vínculo emocional.</w:t>
      </w:r>
    </w:p>
    <w:p w:rsidR="009D60B7" w:rsidRDefault="00425C09">
      <w:pPr>
        <w:spacing w:line="360" w:lineRule="auto"/>
        <w:ind w:firstLine="709"/>
        <w:jc w:val="both"/>
        <w:rPr>
          <w:rFonts w:ascii="Arial" w:hAnsi="Arial" w:cs="Times New Roman"/>
          <w:sz w:val="24"/>
          <w:szCs w:val="24"/>
        </w:rPr>
      </w:pPr>
      <w:r>
        <w:rPr>
          <w:rFonts w:ascii="Arial" w:hAnsi="Arial" w:cs="Times New Roman"/>
          <w:sz w:val="24"/>
          <w:szCs w:val="24"/>
        </w:rPr>
        <w:t>Esse entendimento vem sendo amplamente acolhido pela jurisprudência do Superior Tribunal de Justiça, especialmente nos casos que envolvem a filiação socioafetiva e a multiparentalidade. Em recente julgado</w:t>
      </w:r>
      <w:r>
        <w:rPr>
          <w:rFonts w:ascii="Arial" w:hAnsi="Arial"/>
          <w:sz w:val="24"/>
          <w:szCs w:val="24"/>
        </w:rPr>
        <w:t xml:space="preserve"> </w:t>
      </w:r>
      <w:r>
        <w:rPr>
          <w:rFonts w:ascii="Arial" w:hAnsi="Arial" w:cs="Times New Roman"/>
          <w:sz w:val="24"/>
          <w:szCs w:val="24"/>
        </w:rPr>
        <w:t>no Recurso Especial nº 1.487.596/MG, a Quarta Turma do STJ firmou o entendimento de que é vedado qualquer tratamento diferenciado entre o pai biológico e o pai socioafetivo, pois inexiste hierarquia entre as modalidades de paternidade no contexto da relação multiparental. Nesse sentido, destacou o Ministro relator:</w:t>
      </w:r>
    </w:p>
    <w:p w:rsidR="009D60B7" w:rsidRDefault="00425C09">
      <w:pPr>
        <w:ind w:left="2268"/>
        <w:jc w:val="both"/>
        <w:rPr>
          <w:rFonts w:ascii="Arial" w:hAnsi="Arial"/>
          <w:sz w:val="20"/>
          <w:szCs w:val="20"/>
        </w:rPr>
      </w:pPr>
      <w:r>
        <w:rPr>
          <w:rFonts w:ascii="Arial" w:hAnsi="Arial" w:cs="Times New Roman"/>
          <w:sz w:val="20"/>
          <w:szCs w:val="20"/>
        </w:rPr>
        <w:t xml:space="preserve">A possibilidade de cumulação da paternidade socioafetiva com a biológica contempla especialmente o princípio constitucional da igualdade dos filhos conforme o artigo 227, parágrafo 6º, da Constituição Federal. Isso porque conferir status diferenciado entre o genitor biológico e o socioafetivo é, por </w:t>
      </w:r>
      <w:r>
        <w:rPr>
          <w:rFonts w:ascii="Arial" w:hAnsi="Arial" w:cs="Times New Roman"/>
          <w:sz w:val="20"/>
          <w:szCs w:val="20"/>
        </w:rPr>
        <w:lastRenderedPageBreak/>
        <w:t>consequência, conceber um tratamento desigual entre os filhos. Min. Antônio Carlos Ferreira, STJ, Quarta Turma (Brasil, 2021</w:t>
      </w:r>
      <w:r>
        <w:rPr>
          <w:rFonts w:ascii="Arial" w:hAnsi="Arial" w:cs="Times New Roman"/>
          <w:sz w:val="20"/>
          <w:szCs w:val="20"/>
          <w:lang w:val="pt-BR"/>
        </w:rPr>
        <w:t>,</w:t>
      </w:r>
      <w:r>
        <w:rPr>
          <w:rFonts w:ascii="Arial" w:hAnsi="Arial" w:cs="Times New Roman"/>
          <w:i/>
          <w:iCs/>
          <w:sz w:val="20"/>
          <w:szCs w:val="20"/>
          <w:lang w:val="pt-BR"/>
        </w:rPr>
        <w:t>online</w:t>
      </w:r>
      <w:r>
        <w:rPr>
          <w:rFonts w:ascii="Arial" w:hAnsi="Arial" w:cs="Times New Roman"/>
          <w:sz w:val="20"/>
          <w:szCs w:val="20"/>
        </w:rPr>
        <w:t>).</w:t>
      </w:r>
    </w:p>
    <w:p w:rsidR="009D60B7" w:rsidRDefault="009D60B7">
      <w:pPr>
        <w:ind w:left="2268"/>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Com isso, no mesmo julgamento, o relator ainda afirmou que a inclusão do termo “pai socioafetivo” no registro civil com finalidade de distinção equivaleria a atribuir posição inferior em relação aos demais descendentes, o que afrontaria diretamente o princípio constitucional da igualdade. Além disso, ressaltou que a igualdade entre os pais biológico e socioafetivo deve produzir efeitos tanto na esfera registral quanto nos efeitos patrimoniais, como alimentos e sucessão (Brasil, 2021).</w:t>
      </w:r>
    </w:p>
    <w:p w:rsidR="009D60B7" w:rsidRDefault="00425C09">
      <w:pPr>
        <w:spacing w:line="360" w:lineRule="auto"/>
        <w:ind w:firstLine="709"/>
        <w:jc w:val="both"/>
        <w:rPr>
          <w:rFonts w:ascii="Arial" w:hAnsi="Arial"/>
          <w:sz w:val="24"/>
          <w:szCs w:val="24"/>
        </w:rPr>
      </w:pPr>
      <w:r>
        <w:rPr>
          <w:rFonts w:ascii="Arial" w:hAnsi="Arial" w:cs="Times New Roman"/>
          <w:sz w:val="24"/>
          <w:szCs w:val="24"/>
        </w:rPr>
        <w:t>Além disso, o STJ também fundamentou seu entendimento no Provimento nº 63/2017 do Conselho Nacional de Justiça (CNJ), que estabeleceu modelos únicos de certidões de nascimento, casamento e óbito, vedando qualquer distinção quanto à origem da filiação, seja ela biológica ou socioafetiva. Tal normativo reforça a consolidação do afeto como elemento jurídico legítimo, equiparado às demais formas de parentalidade (Brasil, 2017).</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 fim, o afeto deixa de ser apenas um valor moral ou social e passa a integrar o próprio conteúdo jurídico das relações familiares, produzindo efeitos concretos no reconhecimento da filiação, na fixação de alimentos, nos direitos sucessórios e no exercício do poder familiar. A afetividade, portanto, consolida-se como verdadeiro princípio estruturante do Direito de Família contemporâneo, orientando a atuação do Judiciário na proteção das novas configurações familiares.</w:t>
      </w:r>
    </w:p>
    <w:p w:rsidR="009D60B7" w:rsidRDefault="009D60B7">
      <w:pPr>
        <w:spacing w:line="360" w:lineRule="auto"/>
        <w:ind w:firstLine="709"/>
        <w:jc w:val="both"/>
        <w:rPr>
          <w:rFonts w:ascii="Arial" w:hAnsi="Arial" w:cs="Times New Roman"/>
          <w:sz w:val="24"/>
          <w:szCs w:val="24"/>
        </w:rPr>
      </w:pPr>
    </w:p>
    <w:p w:rsidR="009D60B7" w:rsidRDefault="00425C09">
      <w:pPr>
        <w:pStyle w:val="Corpodetexto"/>
        <w:spacing w:line="360" w:lineRule="auto"/>
        <w:jc w:val="both"/>
        <w:rPr>
          <w:rFonts w:ascii="Arial" w:hAnsi="Arial" w:cs="Times New Roman"/>
          <w:sz w:val="24"/>
          <w:szCs w:val="24"/>
        </w:rPr>
      </w:pPr>
      <w:r>
        <w:rPr>
          <w:rFonts w:ascii="Arial" w:hAnsi="Arial" w:cs="Times New Roman"/>
          <w:sz w:val="24"/>
          <w:szCs w:val="24"/>
        </w:rPr>
        <w:t>1.2 A ampliação do conceito de parentalidade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Tradicionalmente, a parentalidade no Direito brasileiro estava vinculada quase exclusivamente à origem biológica ou à adoção formal. A filiação era compreendida como resultado direto do vínculo genética ou do ato jurídico solene da adoção, sendo tais elementos praticamente os únicos aptos a gerar efeitos jurídicos plenos.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a evolução social e com o processo de constitucionalização do Direito de Família, essa concepção passou a ser gradualmente ampliada. A convivência familiar, o exercício das funções parentais e a construção de vínculos afetivos contínuos passaram a ser reconhecidos como elementos legítimos de constituição da parentalidade. Surge, assim, a filiação socioafetiva como categoria jurídica autônoma, apta a produzir efeitos independentemente da existência de vínculo biológico (Cademartori, 2018).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O marco jurisprudencial mais relevante dessa ampliação foi o julgamento do Recurso Extraordinário nº 898.060 pelo Supremo Tribunal Federal, que fixou a tese de que a paternidade socioafetiva, ainda que não registrada, não impede o reconhecimento </w:t>
      </w:r>
      <w:r>
        <w:rPr>
          <w:rFonts w:ascii="Arial" w:hAnsi="Arial" w:cs="Times New Roman"/>
          <w:sz w:val="24"/>
          <w:szCs w:val="24"/>
        </w:rPr>
        <w:lastRenderedPageBreak/>
        <w:t>concomitante da filiação biológica. A partir desse entendimento, consagrou-se no ordenamento jurídico brasileiro a possibilidade da multiparentalidade, ou seja, a coexistência de mais de um vínculo parental ao mesmo tempo (Brasil, 2018).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Segundo Goedert e Cardin (2019), a multiparentalidade representa verdadeira ruptura com o modelo tradicional de filiação exclusiva, reconhecendo juridicamente a complexidade das relações familiares contemporâneas. Seus efeitos são amplos, alcançando o registro civil, o dever de prestar alimentos, os direitos sucessórios e o exercício do poder familiar.</w:t>
      </w:r>
    </w:p>
    <w:p w:rsidR="009D60B7" w:rsidRDefault="00425C09">
      <w:pPr>
        <w:spacing w:line="360" w:lineRule="auto"/>
        <w:ind w:firstLine="709"/>
        <w:jc w:val="both"/>
        <w:rPr>
          <w:rFonts w:ascii="Arial" w:hAnsi="Arial"/>
          <w:sz w:val="24"/>
          <w:szCs w:val="24"/>
        </w:rPr>
      </w:pPr>
      <w:r>
        <w:rPr>
          <w:rFonts w:ascii="Arial" w:hAnsi="Arial" w:cs="Times New Roman"/>
          <w:sz w:val="24"/>
          <w:szCs w:val="24"/>
        </w:rPr>
        <w:t>Todavia, a jurisprudência do Superior Tribunal de Justiça tem enfatizado que o reconhecimento da multiparentalidade não é automático, devendo sempre observar o melhor interesse da criança e do adolescente. Assim, cada caso deve ser analisado concretamente, a fim de se verificar se a coexistência dos vínculos parentais efetivamente promove a proteção integral da pessoa em desenvolvimento (Brasil, 2018).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Em suma, a doutrina especializada, por sua vez, tem defendido de forma majoritária a consolidação da multiparentalidade, ressaltando que ela reflete com maior fidelidade a realidade social das famílias brasileiras. Autores e entidades dedicadas ao estudo do Direito de Família sustentam que a ampliação do conceito de parentalidade constitui avanço necessário na promoção da dignidade humana, da afetividade e da solidariedade familiar.</w:t>
      </w:r>
    </w:p>
    <w:p w:rsidR="009D60B7" w:rsidRDefault="009D60B7">
      <w:pPr>
        <w:pStyle w:val="Corpodetexto"/>
        <w:spacing w:line="360" w:lineRule="auto"/>
        <w:jc w:val="both"/>
        <w:rPr>
          <w:rFonts w:ascii="Arial" w:hAnsi="Arial" w:cs="Times New Roman"/>
          <w:b/>
          <w:bCs/>
          <w:sz w:val="24"/>
          <w:szCs w:val="24"/>
        </w:rPr>
      </w:pPr>
    </w:p>
    <w:p w:rsidR="009D60B7" w:rsidRPr="00105474" w:rsidRDefault="00425C09">
      <w:pPr>
        <w:spacing w:line="360" w:lineRule="auto"/>
        <w:jc w:val="both"/>
        <w:rPr>
          <w:rFonts w:ascii="Arial" w:hAnsi="Arial" w:cs="Times New Roman"/>
          <w:bCs/>
          <w:sz w:val="24"/>
          <w:szCs w:val="24"/>
        </w:rPr>
      </w:pPr>
      <w:r w:rsidRPr="00105474">
        <w:rPr>
          <w:rFonts w:ascii="Arial" w:hAnsi="Arial" w:cs="Times New Roman"/>
          <w:sz w:val="24"/>
          <w:szCs w:val="24"/>
        </w:rPr>
        <w:t>2. FILIAÇÃO SOCIOAFETIVA E MULTIPARENTALIDADE NO DIREITO BRASILEIRO</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A filiação socioafetiva constitui modalidade de parentesco fundada no afeto e na convivência familiar, independentemente de vínculo biológico. Trata-se de relação em que alguém assume, de forma voluntária e contínua, as funções inerentes à paternidade ou maternidade, exercendo direitos e deveres típicos da condição de pai ou mãe, configurando a denominada posse do estado de filho.</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Com isso, o fundamento jurídico dessa modalidade encontra respaldo no artigo 1.593 do Código Civil, ao dispor que o parentesco é natural ou civil, “conforme resulte de consanguinidade ou outra origem”. A expressão “outra origem” permitiu à doutrina e à jurisprudência reconhecerem a parentalidade socioafetiva como forma legítima de constituição do vínculo parental, ampliando a compreensão tradicional centrada exclusivamente na consanguinidade (Brasil, 2002).</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 xml:space="preserve">Dessa forma, a Constituição Federal de 1988 consolidou essa evolução ao estabelecer, no artigo 227 e em seu § 6º, a igualdade entre os filhos, vedando quaisquer </w:t>
      </w:r>
      <w:r>
        <w:rPr>
          <w:rFonts w:ascii="Arial" w:hAnsi="Arial" w:cs="Times New Roman"/>
          <w:bCs/>
          <w:sz w:val="24"/>
          <w:szCs w:val="24"/>
        </w:rPr>
        <w:lastRenderedPageBreak/>
        <w:t>designações discriminatórias relativas à filiação. Aliados aos princípios da dignidade da pessoa humana, da afetividade e do melhor interesse da criança e do adolescente, tais dispositivos conferem base axiológica sólida à filiação socioafetiva no ordenamento jurídico brasileiro (Brasil, 1988).</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Sob o enfoque doutrinário, Ismaeli Diniz (2024) define a filiação socioafetiva como o relacionamento entre adulto e criança ou adolescente que, sob o ponto de vista social e emocional, assemelha-se integralmente ao vínculo entre pai ou mãe e filho. Para o autor, mesmo ciente da ausência de vínculo genético, aquele que trata o menor como filho assume juridicamente essa condição, evidenciando que o elemento central é a manifestação concreta de afeto e cuidado.</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Na mesma linha, Araujo e Dantas (2024), sustenta que a entidade familiar deve ser compreendida como grupo social fundado essencialmente na afetividade, à luz do princípio da dignidade da pessoa humana previsto no artigo 1º, III, da Constituição. Assim, a parentalidade deixa de ser mero dado biológico para se afirmar como construção social e jurídica orientada pela realidade das relações familiares.</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Diante disso, o reconhecimento dessa forma de filiação foi reforçado pelos Enunciados nº 103 e nº 108 da I Jornada de Direito Civil do Conselho da Justiça Federal, que admitiram expressamente o parentesco civil decorrente da paternidade socioafetiva. Posteriormente, os Enunciados nº 519, nº 520, nº 521 e nº 339 do CJF consolidaram a compreensão de que o vínculo socioafetivo, quando caracterizada a posse do estado de filho, produz efeitos pessoais e patrimoniais equivalentes aos da filiação biológica (Araujo; Dantas, 2014).</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No plano administrativo, o Conselho Nacional de Justiça editou o Provimento nº 63/2017, posteriormente alterado pelo Provimento nº 83/2019, regulamentando o reconhecimento extrajudicial da paternidade e maternidade socioafetiva. A inovação permitiu que o procedimento fosse realizado diretamente perante o Oficial de Registro Civil, desde que observados requisitos como idade mínima de 12 anos do reconhecendo, diferença etária mínima de 16 anos e comprovação objetiva do vínculo afetivo estável e exteriorizado socialmente (Brasil, 2019).</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 xml:space="preserve">Conforme Nader (2019), o procedimento extrajudicial exige, ainda, declaração de inexistência de ação judicial discutindo a filiação, consentimento dos pais biológicos quando o filho for menor de 18 anos e manifestação do Ministério Público. Havendo dúvida quanto à configuração da posse do estado de filho ou suspeita de fraude, o registrador deverá remeter o caso ao Poder Judiciário, assegurando controle de </w:t>
      </w:r>
      <w:r>
        <w:rPr>
          <w:rFonts w:ascii="Arial" w:hAnsi="Arial" w:cs="Times New Roman"/>
          <w:bCs/>
          <w:sz w:val="24"/>
          <w:szCs w:val="24"/>
        </w:rPr>
        <w:lastRenderedPageBreak/>
        <w:t>legalidade e proteção ao melhor interesse do menor.</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Nesse contexto, verifica-se que a filiação socioafetiva representa a consolidação de uma concepção contemporânea de família, centrada na afetividade, na convivência e na responsabilidade assumida no cotidiano. Mais do que um vínculo formal, trata-se de uma relação construída pela presença, pelo cuidado e pelo reconhecimento social da condição de pai, mãe e filho (Nader, 2019).</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Por fim, a parentalidade socioafetiva revela-se expressão concreta da dignidade da pessoa humana e do melhor interesse da criança e do adolescente, reafirmando que o afeto possui relevância jurídica. Assim, a evolução doutrinária e jurisprudencial demonstra que o Direito de Família passou a privilegiar a realidade das relações vividas, reconhecendo que ser pai ou mãe ultrapassa a dimensão biológica e se concretiza, sobretudo, na experiência diária do amor e da responsabilidade.</w:t>
      </w:r>
    </w:p>
    <w:p w:rsidR="009D60B7" w:rsidRDefault="009D60B7">
      <w:pPr>
        <w:jc w:val="both"/>
        <w:rPr>
          <w:rFonts w:ascii="Arial" w:hAnsi="Arial" w:cs="Times New Roman"/>
          <w:b/>
          <w:sz w:val="24"/>
          <w:szCs w:val="24"/>
        </w:rPr>
      </w:pPr>
    </w:p>
    <w:p w:rsidR="009D60B7" w:rsidRDefault="00425C09">
      <w:pPr>
        <w:jc w:val="both"/>
        <w:rPr>
          <w:rFonts w:ascii="Arial" w:hAnsi="Arial"/>
          <w:sz w:val="24"/>
          <w:szCs w:val="24"/>
        </w:rPr>
      </w:pPr>
      <w:r>
        <w:rPr>
          <w:rFonts w:ascii="Arial" w:hAnsi="Arial" w:cs="Times New Roman"/>
          <w:bCs/>
          <w:sz w:val="24"/>
          <w:szCs w:val="24"/>
        </w:rPr>
        <w:t>2.1 A multiparentalidade e sua aceitação na jurisprudência</w:t>
      </w:r>
    </w:p>
    <w:p w:rsidR="009D60B7" w:rsidRDefault="009D60B7">
      <w:pPr>
        <w:jc w:val="both"/>
        <w:rPr>
          <w:rFonts w:ascii="Arial" w:hAnsi="Arial" w:cs="Times New Roman"/>
          <w:b/>
          <w:sz w:val="24"/>
          <w:szCs w:val="24"/>
        </w:rPr>
      </w:pP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A filiação, tradicionalmente alicerçada nos vínculos biológicos, foi progressivamente ressignificada pelo reconhecimento da socioafetividade como elemento estruturante das relações familiares contemporâneas. Nesse contexto, a multiparentalidade emerge como instituto jurídico apto a reconhecer a pluralidade de vínculos parentais efetivamente existentes na realidade social, assegurando ao indivíduo o direito de ver reconhecidas todas as figuras que contribuíram para sua formação integral, em consonância com a evolução do Direito de Família.</w:t>
      </w:r>
    </w:p>
    <w:p w:rsidR="009D60B7" w:rsidRDefault="009D60B7">
      <w:pPr>
        <w:spacing w:line="360" w:lineRule="auto"/>
        <w:ind w:firstLine="709"/>
        <w:jc w:val="both"/>
        <w:rPr>
          <w:rFonts w:ascii="Arial" w:hAnsi="Arial" w:cs="Times New Roman"/>
          <w:bCs/>
          <w:sz w:val="20"/>
          <w:szCs w:val="20"/>
        </w:rPr>
      </w:pPr>
    </w:p>
    <w:p w:rsidR="009D60B7" w:rsidRDefault="00425C09">
      <w:pPr>
        <w:ind w:left="2268"/>
        <w:jc w:val="both"/>
        <w:rPr>
          <w:rFonts w:ascii="Arial" w:hAnsi="Arial"/>
          <w:sz w:val="20"/>
          <w:szCs w:val="20"/>
        </w:rPr>
      </w:pPr>
      <w:r>
        <w:rPr>
          <w:rFonts w:ascii="Arial" w:hAnsi="Arial" w:cs="Times New Roman"/>
          <w:bCs/>
          <w:sz w:val="20"/>
          <w:szCs w:val="20"/>
        </w:rPr>
        <w:t>A multiparentalidade pode ser compreendida como a possibilidade de coexistência de múltiplos vínculos parentais com efeitos jurídicos plenos. Esse reconhecimento reflete a valorização da afetividade como elemento central da constituição familiar, rompendo com o modelo tradicional exclusivo e permitindo a ampliação do conceito jurídico de filiação (Ullrich; Pereira, 2024, p. 22).</w:t>
      </w:r>
    </w:p>
    <w:p w:rsidR="009D60B7" w:rsidRDefault="009D60B7">
      <w:pPr>
        <w:ind w:left="2268"/>
        <w:jc w:val="both"/>
        <w:rPr>
          <w:rFonts w:ascii="Arial" w:hAnsi="Arial" w:cs="Times New Roman"/>
          <w:bCs/>
          <w:sz w:val="20"/>
          <w:szCs w:val="20"/>
        </w:rPr>
      </w:pP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Segundo Ullrich e Pereira (2024), a consolidação desse instituto implica a redistribuição de direitos e deveres entre os genitores, sejam eles biológicos, adotivos ou socioafetivos. Tais responsabilidades abrangem aspectos como guarda, convivência e prestação de alimentos, assegurando a proteção integral do menor e seu desenvolvimento digno no ambiente familiar.</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 xml:space="preserve">Além disso, a caracterização da multiparentalidade exige a presença de requisitos que evidenciem a existência de vínculo afetivo consistente. Conforme destacam Ullrich e Pereira (2024), elementos como convivência contínua, intenção de exercer a parentalidade e reconhecimento social da relação são fundamentais para a legitimação </w:t>
      </w:r>
      <w:r>
        <w:rPr>
          <w:rFonts w:ascii="Arial" w:hAnsi="Arial" w:cs="Times New Roman"/>
          <w:bCs/>
          <w:sz w:val="24"/>
          <w:szCs w:val="24"/>
        </w:rPr>
        <w:lastRenderedPageBreak/>
        <w:t>jurídica desse vínculo.</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Nesse cenário, a base normativa que sustenta a multiparentalidade encontra respaldo na Constituição Federal de 1988 e no Estatuto da Criança e do Adolescente, os quais consagram princípios como a dignidade da pessoa humana e a proteção integral. De acordo com Franco e Júnior (2018), tais fundamentos são essenciais para justificar o reconhecimento jurídico da filiação socioafetiva e sua equiparação às demais formas de parentalidade.</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No âmbito jurisprudencial, a multiparentalidade foi consolidada a partir do entendimento firmado pelo Supremo Tribunal Federal no Tema 622 da repercussão geral. Esse posicionamento reconhece a possibilidade de coexistência entre vínculos biológicos e afetivos, ampliando a proteção jurídica das relações familiares (Franco; Júnior, 2018).</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Franco e Júnior (2018), afirma que a evolução do tema também se reflete na esfera administrativa, especialmente com a edição do Provimento nº 63/2017 do Conselho Nacional de Justiça, que regulamentou o reconhecimento extrajudicial da filiação socioafetiva. Esse avanço normativo facilitou o acesso ao reconhecimento da multiparentalidade, tornando-o mais célere e menos dependente da via judicial.</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Por fim, destaca-se que, embora o reconhecimento da multiparentalidade produza efeitos jurídicos relevantes, como direitos sucessórios e obrigações alimentares, sua formalização deve ocorrer com responsabilidade e cautela. Trata-se de um instituto que busca adequar o Direito às transformações sociais, garantindo a efetividade dos vínculos afetivos e a proteção da dignidade humana nas relações familiares.</w:t>
      </w:r>
    </w:p>
    <w:p w:rsidR="009D60B7" w:rsidRDefault="009D60B7">
      <w:pPr>
        <w:jc w:val="both"/>
        <w:rPr>
          <w:rFonts w:ascii="Arial" w:hAnsi="Arial" w:cs="Times New Roman"/>
          <w:b/>
          <w:sz w:val="24"/>
          <w:szCs w:val="24"/>
        </w:rPr>
      </w:pPr>
    </w:p>
    <w:p w:rsidR="009D60B7" w:rsidRPr="00105474" w:rsidRDefault="00425C09">
      <w:pPr>
        <w:spacing w:line="360" w:lineRule="auto"/>
        <w:jc w:val="both"/>
        <w:rPr>
          <w:rFonts w:ascii="Arial" w:hAnsi="Arial" w:cs="Times New Roman"/>
          <w:bCs/>
          <w:sz w:val="24"/>
          <w:szCs w:val="24"/>
        </w:rPr>
      </w:pPr>
      <w:r w:rsidRPr="00105474">
        <w:rPr>
          <w:rFonts w:ascii="Arial" w:hAnsi="Arial" w:cs="Times New Roman"/>
          <w:sz w:val="24"/>
          <w:szCs w:val="24"/>
        </w:rPr>
        <w:t>3. MULTIPARENTALIDADE SOCIOAFETIVA: PERSPECTIVAS, DESAFIOS</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A multiparentalidade socioafetiva insere-se no contexto de transformação do Direito de Família, sendo amplamente reconhecida pela doutrina e pela jurisprudência brasileira. A valorização do afeto como elemento estruturante das relações familiares rompe com a centralidade exclusiva do vínculo biológico. Nesse cenário, a parentalidade passa a ser compreendida também a partir da convivência, do cuidado e da responsabilidade.</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 xml:space="preserve">A evolução desse entendimento impôs ao Poder Judiciário o desafio de reinterpretar os vínculos familiares à luz dos princípios constitucionais. Nesse sentido, Araujo e Dantas (2024), destacam que o reconhecimento da paternidade socioafetiva representa importante avanço na efetivação da dignidade da pessoa humana. Assim, a filiação deixa de ser apenas um dado biológico e passa a incorporar elementos afetivos </w:t>
      </w:r>
      <w:r>
        <w:rPr>
          <w:rFonts w:ascii="Arial" w:hAnsi="Arial" w:cs="Times New Roman"/>
          <w:sz w:val="24"/>
          <w:szCs w:val="24"/>
        </w:rPr>
        <w:lastRenderedPageBreak/>
        <w:t>e sociais.</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Nesse contexto, consolida-se a possibilidade de coexistência entre vínculos biológicos e socioafetivos, configurando a multiparentalidade. Conforme Müller (2025), o reconhecimento da paternidade socioafetiva no âmbito jurídico demonstra a necessidade de adaptação das normas tradicionais às novas configurações familiares. Dessa forma, admite-se a presença simultânea de mais de um genitor, desde que comprovado o vínculo afetivo.</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Entretanto, a multiparentalidade suscita desafios relevantes, especialmente no que se refere aos seus efeitos jurídicos. Tartuce (2023), aponta que questões como alimentos, sucessão e exercício do poder familiar exigem interpretação cuidadosa das normas vigentes. A ausência de critérios uniformes pode gerar insegurança jurídica e decisões divergentes no âmbito dos tribunais.</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No campo sucessório, o reconhecimento da filiação socioafetiva assegura ao filho os mesmos direitos dos descendentes biológicos. Segundo Araujo e Dantas (2024), a equiparação entre os vínculos parentais garante a participação igualitária na herança, conforme previsto no Código Civil. Além disso, o reconhecimento pode ocorrer tanto pela via judicial quanto extrajudicial, desde que atendidos os requisitos legais.</w:t>
      </w:r>
    </w:p>
    <w:p w:rsidR="009D60B7" w:rsidRDefault="00425C09">
      <w:pPr>
        <w:pStyle w:val="Corpodetexto"/>
        <w:spacing w:line="360" w:lineRule="auto"/>
        <w:ind w:firstLine="709"/>
        <w:jc w:val="both"/>
        <w:rPr>
          <w:rFonts w:ascii="Arial" w:hAnsi="Arial"/>
          <w:sz w:val="24"/>
          <w:szCs w:val="24"/>
        </w:rPr>
      </w:pPr>
      <w:r>
        <w:rPr>
          <w:rFonts w:ascii="Arial" w:hAnsi="Arial" w:cs="Times New Roman"/>
          <w:sz w:val="24"/>
          <w:szCs w:val="24"/>
        </w:rPr>
        <w:t>Diante desse cenário, evidencia-se a necessidade de aprimoramento das práticas jurídicas voltadas à multiparentalidade. A adoção de mecanismos que assegurem maior segurança jurídica e evitem conflitos entre herdeiros mostra-se essencial. Assim, o instituto deve ser compreendido como instrumento de proteção das relações familiares, sempre orientado pelo princípio do melhor interesse da criança e do adolescente.</w:t>
      </w:r>
    </w:p>
    <w:p w:rsidR="009D60B7" w:rsidRDefault="009D60B7">
      <w:pPr>
        <w:pStyle w:val="Corpodetexto"/>
        <w:spacing w:line="360" w:lineRule="auto"/>
        <w:jc w:val="both"/>
        <w:rPr>
          <w:rFonts w:ascii="Arial" w:hAnsi="Arial" w:cs="Times New Roman"/>
          <w:sz w:val="24"/>
          <w:szCs w:val="24"/>
        </w:rPr>
      </w:pPr>
    </w:p>
    <w:p w:rsidR="009D60B7" w:rsidRDefault="00425C09">
      <w:pPr>
        <w:jc w:val="both"/>
        <w:rPr>
          <w:rFonts w:ascii="Arial" w:hAnsi="Arial"/>
          <w:sz w:val="24"/>
          <w:szCs w:val="24"/>
        </w:rPr>
      </w:pPr>
      <w:r>
        <w:rPr>
          <w:rFonts w:ascii="Arial" w:hAnsi="Arial" w:cs="Times New Roman"/>
          <w:bCs/>
          <w:sz w:val="24"/>
          <w:szCs w:val="24"/>
        </w:rPr>
        <w:t>3.1 Impactos e desafios práticos (alimentares, registrais e sucessórios)</w:t>
      </w:r>
    </w:p>
    <w:p w:rsidR="009D60B7" w:rsidRDefault="009D60B7">
      <w:pPr>
        <w:jc w:val="both"/>
        <w:rPr>
          <w:rFonts w:ascii="Arial" w:hAnsi="Arial" w:cs="Times New Roman"/>
          <w:b/>
          <w:sz w:val="24"/>
          <w:szCs w:val="24"/>
        </w:rPr>
      </w:pP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A evolução social contemporânea tem promovido significativas transformações no Direito, especialmente no âmbito do Direito das Famílias e das Sucessões, exigindo constante adaptação às novas formas de organização familiar. Nesse contexto, a superação do modelo patriarcal e biológico deu lugar ao reconhecimento de vínculos baseados no afeto, como a filiação socioafetiva e a multiparentalidade. Tal cenário evidencia a necessidade de o ordenamento jurídico acompanhar essas mudanças, garantindo uma prestação jurisdicional justa e eficaz.</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 xml:space="preserve">A Constituição Federal de 1988 estabeleceu a igualdade entre os filhos, independentemente de sua origem, influenciando diretamente a interpretação do Código Civil de 2002 quanto ao reconhecimento da filiação socioafetiva. A normatização civil </w:t>
      </w:r>
      <w:r>
        <w:rPr>
          <w:rFonts w:ascii="Arial" w:hAnsi="Arial" w:cs="Times New Roman"/>
          <w:bCs/>
          <w:sz w:val="24"/>
          <w:szCs w:val="24"/>
        </w:rPr>
        <w:lastRenderedPageBreak/>
        <w:t>deve ser interpretada à luz dos princípios constitucionais, especialmente o da igualdade, assegurando direitos e deveres equivalentes a todos os filhos. Assim, a socioafetividade passa a ser reconhecida como fundamento legítimo das relações parentais (Brasil, 2002).</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A doutrina contemporânea tem contribuído para a consolidação desse entendimento ao destacar a relevância do afeto como elemento formador da filiação. Nesse sentido, Xavier et al. (2025), apontam que o reconhecimento da filiação socioafetiva representa um avanço jurídico ao priorizar vínculos construídos na convivência e na responsabilidade parental. Dessa forma, a afetividade assume papel central na definição das relações familiares.</w:t>
      </w:r>
    </w:p>
    <w:p w:rsidR="009D60B7" w:rsidRDefault="00425C09">
      <w:pPr>
        <w:spacing w:line="360" w:lineRule="auto"/>
        <w:ind w:firstLine="709"/>
        <w:jc w:val="both"/>
        <w:rPr>
          <w:rFonts w:ascii="Arial" w:hAnsi="Arial" w:cs="Times New Roman"/>
          <w:bCs/>
          <w:sz w:val="20"/>
          <w:szCs w:val="20"/>
        </w:rPr>
      </w:pPr>
      <w:r>
        <w:rPr>
          <w:rFonts w:ascii="Arial" w:hAnsi="Arial" w:cs="Times New Roman"/>
          <w:bCs/>
          <w:sz w:val="24"/>
          <w:szCs w:val="24"/>
        </w:rPr>
        <w:t>A jurisprudência dos tribunais superiores também tem sido determinante para a consolidação da multiparentalidade no ordenamento jurídico brasileiro. Conforme Müller (2025), o reconhecimento simultâneo dos vínculos biológico e socioafetivo evidencia a evolução do Direito frente às novas configurações familiares. Tal entendimento reforça a possibilidade de coexistência de múltiplas parentalidades com efeitos jurídicos plenos.</w:t>
      </w:r>
    </w:p>
    <w:p w:rsidR="009D60B7" w:rsidRDefault="00425C09">
      <w:pPr>
        <w:ind w:left="2268"/>
        <w:jc w:val="both"/>
        <w:rPr>
          <w:rFonts w:ascii="Arial" w:hAnsi="Arial"/>
          <w:sz w:val="20"/>
          <w:szCs w:val="20"/>
        </w:rPr>
      </w:pPr>
      <w:r>
        <w:rPr>
          <w:rFonts w:ascii="Arial" w:hAnsi="Arial" w:cs="Times New Roman"/>
          <w:bCs/>
          <w:sz w:val="20"/>
          <w:szCs w:val="20"/>
        </w:rPr>
        <w:t>No campo sucessório, a filiação socioafetiva assegura ao filho reconhecido o direito à herança em igualdade de condições com os demais descendentes. Com base nesse entendimento, o filho socioafetivo passa a integrar o rol de herdeiros necessários, concorrendo na sucessão legítima conforme previsto na legislação civil. Ao final, observa-se que a equiparação sucessória entre os filhos decorre da aplicação do princípio da igualdade (Brasil, 2002, p. 52).</w:t>
      </w:r>
    </w:p>
    <w:p w:rsidR="009D60B7" w:rsidRDefault="009D60B7">
      <w:pPr>
        <w:ind w:left="2268"/>
        <w:jc w:val="both"/>
        <w:rPr>
          <w:rFonts w:ascii="Arial" w:hAnsi="Arial" w:cs="Times New Roman"/>
          <w:bCs/>
          <w:sz w:val="20"/>
          <w:szCs w:val="20"/>
        </w:rPr>
      </w:pP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Entretanto, apesar dos avanços, a ausência de regulamentação específica ainda gera insegurança jurídica, especialmente quanto à produção de provas da relação socioafetiva. Segundo Müller (2025), a subjetividade dos critérios utilizados pode dificultar o reconhecimento do vínculo e ocasionar decisões divergentes no Judiciário. Além disso, há o risco de utilização indevida do instituto com finalidade exclusivamente patrimonial.</w:t>
      </w:r>
    </w:p>
    <w:p w:rsidR="009D60B7" w:rsidRDefault="00425C09">
      <w:pPr>
        <w:spacing w:line="360" w:lineRule="auto"/>
        <w:ind w:firstLine="709"/>
        <w:jc w:val="both"/>
        <w:rPr>
          <w:rFonts w:ascii="Arial" w:hAnsi="Arial"/>
          <w:sz w:val="24"/>
          <w:szCs w:val="24"/>
        </w:rPr>
      </w:pPr>
      <w:r>
        <w:rPr>
          <w:rFonts w:ascii="Arial" w:hAnsi="Arial" w:cs="Times New Roman"/>
          <w:bCs/>
          <w:sz w:val="24"/>
          <w:szCs w:val="24"/>
        </w:rPr>
        <w:t>No âmbito prático da multiparentalidade, destacam-se desafios nas esferas alimentar, registral e sucessória. Conforme Tartuce (2023), a existência de múltiplos genitores implica a necessidade de divisão proporcional das obrigações, especialmente no dever alimentar, o que pode gerar conflitos entre as partes envolvidas. Ademais, questões registrais e sucessórias ainda demandam aprimoramento normativo e operacional para garantir segurança jurídica.</w:t>
      </w:r>
    </w:p>
    <w:p w:rsidR="009D60B7" w:rsidRDefault="00425C09">
      <w:pPr>
        <w:spacing w:line="360" w:lineRule="auto"/>
        <w:ind w:firstLine="709"/>
        <w:jc w:val="both"/>
        <w:rPr>
          <w:rFonts w:ascii="Arial" w:hAnsi="Arial" w:cs="Times New Roman"/>
          <w:sz w:val="24"/>
          <w:szCs w:val="24"/>
        </w:rPr>
      </w:pPr>
      <w:r>
        <w:rPr>
          <w:rFonts w:ascii="Arial" w:hAnsi="Arial" w:cs="Times New Roman"/>
          <w:bCs/>
          <w:sz w:val="24"/>
          <w:szCs w:val="24"/>
        </w:rPr>
        <w:t xml:space="preserve">Portanto, o planejamento sucessório surge como instrumento essencial para prevenir conflitos e assegurar a efetivação da vontade do autor da herança. A multiparentalidade socioafetiva representa um avanço significativo ao reconhecer a </w:t>
      </w:r>
      <w:r>
        <w:rPr>
          <w:rFonts w:ascii="Arial" w:hAnsi="Arial" w:cs="Times New Roman"/>
          <w:bCs/>
          <w:sz w:val="24"/>
          <w:szCs w:val="24"/>
        </w:rPr>
        <w:lastRenderedPageBreak/>
        <w:t>pluralidade das relações familiares, mas ainda exige desenvolvimento legislativo e interpretativo. Assim, torna-se imprescindível o aperfeiçoamento do ordenamento jurídico para garantir equilíbrio, segurança e justiça nas relações familiares contemporâneas.</w:t>
      </w:r>
    </w:p>
    <w:p w:rsidR="009D60B7" w:rsidRDefault="009D60B7">
      <w:pPr>
        <w:pStyle w:val="Corpodetexto"/>
        <w:spacing w:line="360" w:lineRule="auto"/>
        <w:ind w:firstLine="709"/>
        <w:jc w:val="both"/>
        <w:rPr>
          <w:rFonts w:ascii="Arial" w:hAnsi="Arial" w:cs="Times New Roman"/>
          <w:sz w:val="24"/>
          <w:szCs w:val="24"/>
        </w:rPr>
      </w:pPr>
    </w:p>
    <w:p w:rsidR="009D60B7" w:rsidRDefault="00425C09">
      <w:pPr>
        <w:pStyle w:val="Corpodetexto"/>
        <w:spacing w:line="360" w:lineRule="auto"/>
        <w:jc w:val="both"/>
        <w:rPr>
          <w:rFonts w:ascii="Arial" w:hAnsi="Arial" w:cs="Times New Roman"/>
          <w:bCs/>
          <w:sz w:val="24"/>
          <w:szCs w:val="24"/>
        </w:rPr>
      </w:pPr>
      <w:r>
        <w:rPr>
          <w:rFonts w:ascii="Arial" w:hAnsi="Arial" w:cs="Times New Roman"/>
          <w:bCs/>
          <w:sz w:val="24"/>
          <w:szCs w:val="24"/>
        </w:rPr>
        <w:t>3.2 Aplicação jurisprudencial em casos da multiparentalidade socioafetiva</w:t>
      </w:r>
    </w:p>
    <w:p w:rsidR="009D60B7" w:rsidRDefault="00425C09">
      <w:pPr>
        <w:pStyle w:val="Corpodetexto"/>
        <w:spacing w:line="360" w:lineRule="auto"/>
        <w:ind w:firstLine="709"/>
        <w:jc w:val="both"/>
        <w:rPr>
          <w:rFonts w:ascii="Arial" w:hAnsi="Arial"/>
          <w:sz w:val="24"/>
          <w:szCs w:val="24"/>
        </w:rPr>
      </w:pPr>
      <w:r>
        <w:rPr>
          <w:rFonts w:ascii="Arial" w:hAnsi="Arial" w:cs="Times New Roman"/>
          <w:bCs/>
          <w:sz w:val="24"/>
          <w:szCs w:val="24"/>
        </w:rPr>
        <w:t>A aplicação jurisprudencial da multiparentalidade socioafetiva no Direito brasileiro evidencia o papel fundamental do Poder Judiciário na adaptação das normas jurídicas às transformações sociais. Conforme demonstrado no desenvolvimento doutrinário e legislativo, a ausência de previsão expressa não impediu o reconhecimento dessa modalidade de filiação, sendo a jurisprudência responsável por consolidar sua admissibilidade no ordenamento jurídico.</w:t>
      </w:r>
    </w:p>
    <w:p w:rsidR="009D60B7" w:rsidRDefault="00425C09">
      <w:pPr>
        <w:pStyle w:val="Corpodetexto"/>
        <w:spacing w:line="360" w:lineRule="auto"/>
        <w:ind w:firstLine="709"/>
        <w:jc w:val="both"/>
        <w:rPr>
          <w:rFonts w:ascii="Arial" w:hAnsi="Arial"/>
        </w:rPr>
      </w:pPr>
      <w:r>
        <w:rPr>
          <w:rFonts w:ascii="Arial" w:hAnsi="Arial" w:cs="Times New Roman"/>
          <w:bCs/>
          <w:sz w:val="24"/>
          <w:szCs w:val="24"/>
        </w:rPr>
        <w:t>Nesse contexto, destaca-se o entendimento firmado pelo Supremo Tribunal Federal no Recurso Extraordinário 898.060, no qual se reconheceu a possibilidade de coexistência entre vínculos biológicos e socioafetivos, sem que haja hierarquia entre eles. A decisão estabeleceu que a paternidade socioafetiva não exclui a biológica, devendo ambas produzir efeitos jurídicos quando presentes os requisitos fáticos necessários (Brasil, 2016). Esse entendimento representou um marco na evolução jurisprudencial, consolidando a multiparentalidade como realidade jurídica.</w:t>
      </w:r>
    </w:p>
    <w:p w:rsidR="009D60B7" w:rsidRDefault="00425C09">
      <w:pPr>
        <w:pStyle w:val="Corpodetexto"/>
        <w:ind w:left="2268"/>
        <w:jc w:val="both"/>
        <w:rPr>
          <w:rFonts w:ascii="Arial" w:hAnsi="Arial"/>
        </w:rPr>
      </w:pPr>
      <w:r>
        <w:rPr>
          <w:rFonts w:ascii="Arial" w:hAnsi="Arial" w:cs="Times New Roman"/>
          <w:bCs/>
        </w:rPr>
        <w:t xml:space="preserve">Recurso Extraordinário. Repercussão Geral reconhecida. Direito Civil e Constitucional. Conflito entre paternidades socioafetiva e biológica. Paradigma do casamento. Superação pela Constituição de 1988. Eixo central do Direito de Família: deslocamento para o plano constitucional. Sobre princípio da dignidade humana (art . 1º, III, da CRFB). Superação de óbices legais ao pleno desenvolvimento das famílias. Direito à busca da felicidade. Princípio constitucional implícito. Indivíduo como centro do ordenamento jurídico-político. Impossibilidade de redução das realidades familiares a modelos pré-concebidos. Atipicidade constitucional do conceito de entidades familiares. União estável (art.. 226, § 3º, CRFB) e família monoparental (art. 226, § 4º, CRFB). Vedação à discriminação e hierarquização entre espécies de filiação (art. 227, § 6º, CRFB). Parentalidade presuntiva, biológica ou afetiva. Necessidade de tutela jurídica ampla. Multiplicidade de vínculos parentais. Reconhecimento concomitante. Possibilidade. Pluriparentalidade. Princípio da paternidade responsável (art. 226, § 7º, CRFB). Recurso a que se nega provimento. Fixação de tese para aplicação a casos semelhantes. 1. O prequestionamento revela-se autorizado quando as instâncias inferiores abordam a matéria jurídica invocada no Recurso Extraordinário na fundamentação do julgado recorrido, tanto mais que a Súmula n. 279 desta Egrégia Corte indica que o apelo extremo deve ser apreciado à luz das assertivas fáticas estabelecidas na origem. 2. A família, à luz dos preceitos constitucionais introduzidos pela Carta de 1988, apartou-se definitivamente da vetusta distinção entre filhos legítimos, legitimados e ilegítimos que informava o sistema do Código Civil de 1916, cujo paradigma em matéria de filiação, por adotar presunção baseada na centralidade do casamento, desconsiderava tanto o critério biológico quanto o afetivo. 3. A família, objeto do deslocamento do eixo central de seu regramento normativo para o plano constitucional, reclama a reformulação do tratamento jurídico dos vínculos parentais à luz do sobre </w:t>
      </w:r>
      <w:r>
        <w:rPr>
          <w:rFonts w:ascii="Arial" w:hAnsi="Arial" w:cs="Times New Roman"/>
          <w:bCs/>
        </w:rPr>
        <w:lastRenderedPageBreak/>
        <w:t>princípio da dignidade humana (art. 1º, III, da CRFB) e da busca da felicidade. 4. A dignidade humana compreende o ser humano como um ser intelectual e moral, capaz de determinar-se e desenvolver-se em liberdade, de modo que a eleição individual dos próprios objetivos de vida tem preferência absoluta em relação a eventuais formulações legais definidoras de modelos preconcebidos, destinados a resultados eleitos a priori pelo legislador. Jurisprudência do Tribunal Constitucional alemão (BVerfGE 45, 187). 5. A superação de óbices legais ao pleno desenvolvimento das famílias construídas pelas relações afetivas interpessoais dos próprios indivíduos é corolário do sobre princípio da dignidade humana. 6. O direito à busca da felicidade, implícito ao art. 1º, III, da Constituição, ao tempo que eleva o indivíduo à centralidade do ordenamento jurídico-político, reconhece as suas capacidades de autodeterminação, autossuficiência e liberdade de escolha dos próprios objetivos, proibindo que o governo se imiscua nos meios eleitos pelos cidadãos para a persecução das vontades particulares. Precedentes da Suprema Corte dos Estados Unidos da América e deste Egrégio Supremo Tribunal Federal: RE 477.554-AgR, Rel.. Min. Celso de Mello, DJe de 26/08/2011; ADPF 132, Rel. Min. Ayres Britto, DJe de 14/10/2011. 7. O indivíduo jamais pode ser reduzido a mero instrumento de consecução das vontades dos governantes, por isso que o direito à busca da felicidade protege o ser humano em face de tentativas do Estado de enquadrar a sua realidade familiar em modelos pré-concebidos pela lei. 8. A Constituição de 1988, em caráter meramente exemplificativo, reconhece como legítimos modelos de família independentes do casamento, como a união estável (art . 226, § 3º) e a comunidade formada por qualquer dos pais e seus descendentes, cognominada “família monoparental” (art. 226, § 4º), além de enfatizar que espécies de filiação dissociadas do matrimônio entre os pais merecem equivalente tutela diante da lei, sendo vedada discriminação e, portanto, qualquer tipo de hierarquia entre elas (art. 227, § 6º). 9. As uniões estáveis homoafetivas, consideradas pela jurisprudência desta Corte como entidade familiar, conduziram à imperiosidade da interpretação não-reducionista do conceito de família como instituição que também se forma por vias distintas do casamento civil (ADI nº. 4277, Relator (a): Min. AYRES BRITTO, Tribunal Pleno, julgado em 05/05/2011). 10. A compreensão jurídica cosmopolita das famílias exige a ampliação da tutela normativa a todas as formas pelas quais a parentalidade pode se manifestar, a saber: (i) pela presunção decorrente do casamento ou outras hipóteses legais, (ii) pela descendência biológica ou (iii) pela afetividade (Brasil, 2016, p. 2).</w:t>
      </w:r>
    </w:p>
    <w:p w:rsidR="009D60B7" w:rsidRDefault="009D60B7">
      <w:pPr>
        <w:pStyle w:val="Corpodetexto"/>
        <w:spacing w:line="360" w:lineRule="auto"/>
        <w:ind w:firstLine="709"/>
        <w:jc w:val="both"/>
        <w:rPr>
          <w:rFonts w:ascii="Arial" w:hAnsi="Arial" w:cs="Times New Roman"/>
          <w:bCs/>
        </w:rPr>
      </w:pPr>
    </w:p>
    <w:p w:rsidR="009D60B7" w:rsidRDefault="00425C09">
      <w:pPr>
        <w:pStyle w:val="Corpodetexto"/>
        <w:spacing w:line="360" w:lineRule="auto"/>
        <w:ind w:firstLine="709"/>
        <w:jc w:val="both"/>
        <w:rPr>
          <w:rFonts w:ascii="Arial" w:hAnsi="Arial"/>
          <w:sz w:val="24"/>
          <w:szCs w:val="24"/>
        </w:rPr>
      </w:pPr>
      <w:r>
        <w:rPr>
          <w:rFonts w:ascii="Arial" w:hAnsi="Arial" w:cs="Times New Roman"/>
          <w:bCs/>
          <w:sz w:val="24"/>
          <w:szCs w:val="24"/>
        </w:rPr>
        <w:t>A partir desse precedente, os tribunais passaram a admitir, em casos concretos, o reconhecimento simultâneo de mais de um vínculo parental, especialmente quando comprovada a posse de estado de filho. Nesses casos, observa-se que os julgadores consideram elementos como convivência contínua, vínculo afetivo e reconhecimento social da relação, como critérios determinantes para a configuração da parentalidade socioafetiva, em consonância com o princípio do melhor interesse da criança.</w:t>
      </w:r>
    </w:p>
    <w:p w:rsidR="009D60B7" w:rsidRDefault="00425C09">
      <w:pPr>
        <w:pStyle w:val="Corpodetexto"/>
        <w:spacing w:line="360" w:lineRule="auto"/>
        <w:ind w:firstLine="709"/>
        <w:jc w:val="both"/>
        <w:rPr>
          <w:rFonts w:ascii="Arial" w:hAnsi="Arial"/>
          <w:sz w:val="24"/>
          <w:szCs w:val="24"/>
        </w:rPr>
      </w:pPr>
      <w:r>
        <w:rPr>
          <w:rFonts w:ascii="Arial" w:hAnsi="Arial" w:cs="Times New Roman"/>
          <w:bCs/>
          <w:sz w:val="24"/>
          <w:szCs w:val="24"/>
        </w:rPr>
        <w:t>No âmbito do Superior Tribunal de Justiça, também se verifica a consolidação desse entendimento, com decisões que reconhecem a autonomia do vínculo socioafetivo e seus efeitos jurídicos. A Corte tem admitido, por exemplo, o registro civil com múltiplos genitores, bem como a incidência de efeitos nas esferas alimentar e sucessória, desde que comprovada a relação de afeto e responsabilidade parental (Brasil, 2016).</w:t>
      </w:r>
    </w:p>
    <w:p w:rsidR="009D60B7" w:rsidRDefault="00425C09">
      <w:pPr>
        <w:pStyle w:val="Corpodetexto"/>
        <w:spacing w:line="360" w:lineRule="auto"/>
        <w:ind w:firstLine="709"/>
        <w:jc w:val="both"/>
        <w:rPr>
          <w:rFonts w:ascii="Arial" w:hAnsi="Arial"/>
          <w:sz w:val="24"/>
          <w:szCs w:val="24"/>
        </w:rPr>
      </w:pPr>
      <w:r>
        <w:rPr>
          <w:rFonts w:ascii="Arial" w:hAnsi="Arial" w:cs="Times New Roman"/>
          <w:bCs/>
          <w:sz w:val="24"/>
          <w:szCs w:val="24"/>
        </w:rPr>
        <w:t xml:space="preserve">No plano prático, a jurisprudência demonstra que a multiparentalidade não se limita ao reconhecimento formal do vínculo, mas produz efeitos concretos nas relações jurídicas. Entre esses efeitos, destacam-se o direito à herança, a obrigação alimentar e </w:t>
      </w:r>
      <w:r>
        <w:rPr>
          <w:rFonts w:ascii="Arial" w:hAnsi="Arial" w:cs="Times New Roman"/>
          <w:bCs/>
          <w:sz w:val="24"/>
          <w:szCs w:val="24"/>
        </w:rPr>
        <w:lastRenderedPageBreak/>
        <w:t>a possibilidade de exercício do poder familiar por mais de um genitor. Tais consequências evidenciam a necessidade de interpretação sistemática das normas existentes, de modo a compatibilizar a estrutura tradicional do Direito de Família com as novas configurações familiares (Tartuce, 2023).</w:t>
      </w:r>
    </w:p>
    <w:p w:rsidR="009D60B7" w:rsidRDefault="00425C09">
      <w:pPr>
        <w:pStyle w:val="Corpodetexto"/>
        <w:spacing w:line="360" w:lineRule="auto"/>
        <w:ind w:firstLine="709"/>
        <w:jc w:val="both"/>
        <w:rPr>
          <w:rFonts w:ascii="Arial" w:hAnsi="Arial"/>
          <w:sz w:val="24"/>
          <w:szCs w:val="24"/>
        </w:rPr>
      </w:pPr>
      <w:r>
        <w:rPr>
          <w:rFonts w:ascii="Arial" w:hAnsi="Arial" w:cs="Times New Roman"/>
          <w:bCs/>
          <w:sz w:val="24"/>
          <w:szCs w:val="24"/>
        </w:rPr>
        <w:t>Entretanto, apesar dos avanços, a aplicação jurisprudencial da multiparentalidade ainda enfrenta desafios, especialmente quanto à uniformização dos entendimentos e à delimitação de seus efeitos jurídicos. A inexistência de critérios legais objetivos pode gerar insegurança jurídica e decisões divergentes, exigindo do intérprete maior cautela na análise dos casos concretos. Assim, embora a jurisprudência tenha desempenhado papel essencial na consolidação do instituto, evidencia-se a necessidade de maior sistematização normativa para garantir segurança e efetividade às relações familiares contemporâneas.</w:t>
      </w:r>
    </w:p>
    <w:p w:rsidR="009D60B7" w:rsidRDefault="009D60B7">
      <w:pPr>
        <w:spacing w:line="259" w:lineRule="auto"/>
        <w:jc w:val="both"/>
        <w:rPr>
          <w:rFonts w:ascii="Arial" w:hAnsi="Arial" w:cs="Times New Roman"/>
          <w:sz w:val="24"/>
          <w:szCs w:val="24"/>
        </w:rPr>
      </w:pPr>
    </w:p>
    <w:p w:rsidR="009D60B7" w:rsidRPr="00105474" w:rsidRDefault="00425C09">
      <w:pPr>
        <w:spacing w:line="259" w:lineRule="auto"/>
        <w:jc w:val="both"/>
        <w:rPr>
          <w:rFonts w:ascii="Arial" w:hAnsi="Arial"/>
          <w:sz w:val="24"/>
          <w:szCs w:val="24"/>
        </w:rPr>
      </w:pPr>
      <w:r w:rsidRPr="00105474">
        <w:rPr>
          <w:rFonts w:ascii="Arial" w:hAnsi="Arial" w:cs="Times New Roman"/>
          <w:sz w:val="24"/>
          <w:szCs w:val="24"/>
        </w:rPr>
        <w:t>CONCLUSÃO</w:t>
      </w:r>
    </w:p>
    <w:p w:rsidR="009D60B7" w:rsidRDefault="00425C09">
      <w:pPr>
        <w:spacing w:line="259" w:lineRule="auto"/>
        <w:jc w:val="both"/>
        <w:rPr>
          <w:rFonts w:ascii="Arial" w:hAnsi="Arial"/>
          <w:sz w:val="24"/>
          <w:szCs w:val="24"/>
        </w:rPr>
      </w:pPr>
      <w:r>
        <w:rPr>
          <w:rFonts w:ascii="Arial" w:hAnsi="Arial" w:cs="Times New Roman"/>
          <w:sz w:val="24"/>
          <w:szCs w:val="24"/>
        </w:rPr>
        <w:t xml:space="preserve">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O estudo evidencia que a pesquisa alcança seu objetivo ao analisar os efeitos jurídicos da filiação socioafetiva e da multiparentalidade no ordenamento jurídico brasileiro, demonstrando a relevância desses institutos diante das transformações sociais e da ampliação do conceito de família. Verifica-se que o Direito de Família contemporâneo passou a reconhecer o afeto como elemento estruturante das relações parentais, superando o modelo exclusivamente biológico e incorporando novas formas de constituição familiar.</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Constata-se que a atuação da jurisprudência, especialmente dos tribunais superiores, tem sido fundamental para a consolidação da filiação socioafetiva e da multiparentalidade, assegurando a coexistência entre vínculos biológicos e afetivos e garantindo a aplicação dos princípios da dignidade da pessoa humana, da igualdade entre os filhos e do melhor interesse da criança e do adolescente. Os resultados obtidos demonstram que tais reconhecimentos produzem efeitos relevantes nas esferas alimentar, sucessória e registral, contribuindo para a efetividade dos direitos familiares.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Entretanto, observa-se que a ausência de regulamentação normativa específica ainda representa um desafio significativo, gerando insegurança jurídica e decisões divergentes no âmbito judicial. Tal cenário evidencia a necessidade de sistematização legislativa que estabeleça critérios mais objetivos para o reconhecimento e a aplicação dos efeitos da multiparentalidade.</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Dessa forma, conclui-se que a pesquisa contribui para a compreensão do tema </w:t>
      </w:r>
      <w:r>
        <w:rPr>
          <w:rFonts w:ascii="Arial" w:hAnsi="Arial" w:cs="Times New Roman"/>
          <w:sz w:val="24"/>
          <w:szCs w:val="24"/>
        </w:rPr>
        <w:lastRenderedPageBreak/>
        <w:t>ao evidenciar os avanços e limitações do ordenamento jurídico atual, sugerindo o aprofundamento de estudos e a criação de normas específicas que promovam maior segurança jurídica e uniformidade na aplicação do Direito, garantindo a proteção integral das relações familiares.</w:t>
      </w:r>
    </w:p>
    <w:p w:rsidR="009D60B7" w:rsidRDefault="009D60B7">
      <w:pPr>
        <w:spacing w:line="259" w:lineRule="auto"/>
        <w:jc w:val="both"/>
        <w:rPr>
          <w:rFonts w:ascii="Arial" w:hAnsi="Arial" w:cs="Times New Roman"/>
          <w:sz w:val="24"/>
          <w:szCs w:val="24"/>
        </w:rPr>
      </w:pPr>
    </w:p>
    <w:p w:rsidR="009D60B7" w:rsidRDefault="009D60B7">
      <w:pPr>
        <w:spacing w:line="259" w:lineRule="auto"/>
        <w:jc w:val="both"/>
        <w:rPr>
          <w:rFonts w:ascii="Arial" w:hAnsi="Arial" w:cs="Times New Roman"/>
          <w:b/>
          <w:caps/>
          <w:sz w:val="24"/>
          <w:szCs w:val="24"/>
          <w:lang w:val="pt-BR"/>
        </w:rPr>
      </w:pPr>
    </w:p>
    <w:p w:rsidR="009D60B7" w:rsidRPr="00105474" w:rsidRDefault="00425C09">
      <w:pPr>
        <w:spacing w:line="259" w:lineRule="auto"/>
        <w:jc w:val="both"/>
        <w:rPr>
          <w:rFonts w:ascii="Arial" w:hAnsi="Arial"/>
          <w:sz w:val="24"/>
          <w:szCs w:val="24"/>
        </w:rPr>
      </w:pPr>
      <w:r w:rsidRPr="00105474">
        <w:rPr>
          <w:rFonts w:ascii="Arial" w:hAnsi="Arial" w:cs="Times New Roman"/>
          <w:sz w:val="24"/>
          <w:szCs w:val="24"/>
        </w:rPr>
        <w:t xml:space="preserve">REFERÊNCIAS </w:t>
      </w:r>
    </w:p>
    <w:p w:rsidR="009D60B7" w:rsidRDefault="009D60B7">
      <w:pPr>
        <w:jc w:val="both"/>
        <w:rPr>
          <w:rFonts w:ascii="Arial" w:hAnsi="Arial" w:cs="Times New Roman"/>
          <w:b/>
          <w:sz w:val="24"/>
          <w:szCs w:val="24"/>
        </w:rPr>
      </w:pPr>
    </w:p>
    <w:p w:rsidR="009D60B7" w:rsidRDefault="00425C09">
      <w:pPr>
        <w:rPr>
          <w:rFonts w:ascii="Arial" w:hAnsi="Arial"/>
          <w:sz w:val="24"/>
          <w:szCs w:val="24"/>
        </w:rPr>
      </w:pPr>
      <w:r>
        <w:rPr>
          <w:rFonts w:ascii="Arial" w:hAnsi="Arial" w:cs="Times New Roman"/>
          <w:sz w:val="24"/>
          <w:szCs w:val="24"/>
        </w:rPr>
        <w:t>ARAUJO, Sâmilla Estrela de; DANTAS, Wellson Rosário Santos. Paternidade socioafetiva: do reconhecimento e suas consequências jurídicas. </w:t>
      </w:r>
      <w:r>
        <w:rPr>
          <w:rFonts w:ascii="Arial" w:hAnsi="Arial" w:cs="Times New Roman"/>
          <w:b/>
          <w:bCs/>
          <w:sz w:val="24"/>
          <w:szCs w:val="24"/>
        </w:rPr>
        <w:t>Revista Ibero-Americana de Humanidades, Ciências e Educação</w:t>
      </w:r>
      <w:r>
        <w:rPr>
          <w:rFonts w:ascii="Arial" w:hAnsi="Arial" w:cs="Times New Roman"/>
          <w:sz w:val="24"/>
          <w:szCs w:val="24"/>
        </w:rPr>
        <w:t>, </w:t>
      </w:r>
      <w:r>
        <w:rPr>
          <w:rFonts w:ascii="Arial" w:hAnsi="Arial" w:cs="Times New Roman"/>
          <w:i/>
          <w:iCs/>
          <w:sz w:val="24"/>
          <w:szCs w:val="24"/>
        </w:rPr>
        <w:t>[S. l.]</w:t>
      </w:r>
      <w:r>
        <w:rPr>
          <w:rFonts w:ascii="Arial" w:hAnsi="Arial" w:cs="Times New Roman"/>
          <w:sz w:val="24"/>
          <w:szCs w:val="24"/>
        </w:rPr>
        <w:t>, v. 10, n. 11, p. 2101–2114, 2024. DOI: 10.51891/rease.v10i11.16781. Disponível em: https://periodicorease.pro.br/rease/article/view/16781. Acesso em: 18 fev.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eastAsia="Times New Roman" w:hAnsi="Arial" w:cs="Times New Roman"/>
          <w:b/>
          <w:bCs/>
          <w:sz w:val="24"/>
          <w:szCs w:val="24"/>
        </w:rPr>
        <w:t>Conselho Nacional de Justiça</w:t>
      </w:r>
      <w:r>
        <w:rPr>
          <w:rFonts w:ascii="Arial" w:hAnsi="Arial" w:cs="Times New Roman"/>
          <w:sz w:val="24"/>
          <w:szCs w:val="24"/>
        </w:rPr>
        <w:t xml:space="preserve">. </w:t>
      </w:r>
      <w:r>
        <w:rPr>
          <w:rFonts w:ascii="Arial" w:eastAsia="Times New Roman" w:hAnsi="Arial" w:cs="Times New Roman"/>
          <w:sz w:val="24"/>
          <w:szCs w:val="24"/>
        </w:rPr>
        <w:t>Provimento nº 63, de 14 de novembro de 2017</w:t>
      </w:r>
      <w:r>
        <w:rPr>
          <w:rFonts w:ascii="Arial" w:hAnsi="Arial" w:cs="Times New Roman"/>
          <w:sz w:val="24"/>
          <w:szCs w:val="24"/>
        </w:rPr>
        <w:t xml:space="preserve">. Institui modelos únicos de certidão de nascimento, de casamento e de óbito e dispõe sobre o reconhecimento voluntário e a averbação da paternidade e maternidade socioafetiva no registro civil das pessoas naturais. Brasília, DF: CNJ, 2017. Disponível em: </w:t>
      </w:r>
      <w:hyperlink r:id="rId188" w:tgtFrame="_new">
        <w:r>
          <w:rPr>
            <w:rStyle w:val="Hyperlink1"/>
            <w:rFonts w:ascii="Arial" w:eastAsia="Times New Roman" w:hAnsi="Arial" w:cs="Times New Roman"/>
            <w:color w:val="auto"/>
            <w:sz w:val="24"/>
            <w:szCs w:val="24"/>
            <w:u w:val="none"/>
          </w:rPr>
          <w:t>https://atos.cnj.jus.br/atos/detalhar/2525</w:t>
        </w:r>
      </w:hyperlink>
      <w:r>
        <w:rPr>
          <w:rFonts w:ascii="Arial" w:hAnsi="Arial" w:cs="Times New Roman"/>
          <w:sz w:val="24"/>
          <w:szCs w:val="24"/>
        </w:rPr>
        <w:t>. Acesso em: 18 fev. 2026.</w:t>
      </w:r>
    </w:p>
    <w:p w:rsidR="009D60B7" w:rsidRDefault="009D60B7">
      <w:pPr>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Conselho Nacional de Justiça</w:t>
      </w:r>
      <w:r>
        <w:rPr>
          <w:rFonts w:ascii="Arial" w:hAnsi="Arial" w:cs="Times New Roman"/>
          <w:sz w:val="24"/>
          <w:szCs w:val="24"/>
        </w:rPr>
        <w:t xml:space="preserve">. Provimento nº 83, de 14 de agosto de 2019. Altera o Provimento nº 63/2017, que dispõe sobre o reconhecimento voluntário e a averbação da paternidade e maternidade socioafetiva no registro civil das pessoas naturais. Brasília, DF: CNJ, 2019. Disponível em: </w:t>
      </w:r>
      <w:hyperlink r:id="rId189" w:tgtFrame="_new">
        <w:r>
          <w:rPr>
            <w:rStyle w:val="Hyperlink1"/>
            <w:rFonts w:ascii="Arial" w:hAnsi="Arial" w:cs="Times New Roman"/>
            <w:color w:val="auto"/>
            <w:sz w:val="24"/>
            <w:szCs w:val="24"/>
            <w:u w:val="none"/>
          </w:rPr>
          <w:t>https://atos.cnj.jus.br/atos/detalhar/2975</w:t>
        </w:r>
      </w:hyperlink>
      <w:r>
        <w:rPr>
          <w:rFonts w:ascii="Arial" w:hAnsi="Arial" w:cs="Times New Roman"/>
          <w:sz w:val="24"/>
          <w:szCs w:val="24"/>
        </w:rPr>
        <w:t>. Acesso em: 18 fev. 2026.</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hyperlink r:id="rId190">
        <w:r>
          <w:rPr>
            <w:rStyle w:val="Hyperlink1"/>
            <w:rFonts w:ascii="Arial" w:hAnsi="Arial" w:cs="Times New Roman"/>
            <w:b/>
            <w:bCs/>
            <w:color w:val="auto"/>
            <w:sz w:val="24"/>
            <w:szCs w:val="24"/>
            <w:u w:val="none"/>
          </w:rPr>
          <w:t>Constituição da república federativa do brasil de 1988</w:t>
        </w:r>
      </w:hyperlink>
      <w:r>
        <w:rPr>
          <w:rFonts w:ascii="Arial" w:hAnsi="Arial" w:cs="Times New Roman"/>
          <w:sz w:val="24"/>
          <w:szCs w:val="24"/>
        </w:rPr>
        <w:t>.</w:t>
      </w:r>
      <w:r>
        <w:rPr>
          <w:rFonts w:ascii="Arial" w:hAnsi="Arial" w:cs="Times New Roman"/>
          <w:sz w:val="24"/>
          <w:szCs w:val="24"/>
          <w:shd w:val="clear" w:color="auto" w:fill="FFFFFF"/>
        </w:rPr>
        <w:t xml:space="preserve"> </w:t>
      </w:r>
      <w:hyperlink r:id="rId191">
        <w:r>
          <w:rPr>
            <w:rStyle w:val="Hyperlink1"/>
            <w:rFonts w:ascii="Arial" w:hAnsi="Arial" w:cs="Times New Roman"/>
            <w:color w:val="auto"/>
            <w:sz w:val="24"/>
            <w:szCs w:val="24"/>
            <w:u w:val="none"/>
          </w:rPr>
          <w:t>Emendas Constitucionais de Revisão</w:t>
        </w:r>
      </w:hyperlink>
      <w:r>
        <w:rPr>
          <w:rFonts w:ascii="Arial" w:hAnsi="Arial" w:cs="Times New Roman"/>
          <w:sz w:val="24"/>
          <w:szCs w:val="24"/>
        </w:rPr>
        <w:t>. Brasília: Planalto, 1988. Disponível em:   https://www.planalto.gov.br/ccivil_03/constituicao/constituicao.htm. Acesso em: 02 fev. 2026.</w:t>
      </w:r>
    </w:p>
    <w:p w:rsidR="009D60B7" w:rsidRDefault="009D60B7">
      <w:pPr>
        <w:pStyle w:val="Recuodecorpodetexto"/>
        <w:spacing w:after="0" w:line="240" w:lineRule="auto"/>
        <w:ind w:left="0"/>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r>
        <w:rPr>
          <w:rFonts w:ascii="Arial" w:hAnsi="Arial" w:cs="Times New Roman"/>
          <w:b/>
          <w:bCs/>
          <w:sz w:val="24"/>
          <w:szCs w:val="24"/>
        </w:rPr>
        <w:t>Lei nº 10.406, de 10 de janeiro de 2002</w:t>
      </w:r>
      <w:r>
        <w:rPr>
          <w:rFonts w:ascii="Arial" w:hAnsi="Arial" w:cs="Times New Roman"/>
          <w:sz w:val="24"/>
          <w:szCs w:val="24"/>
        </w:rPr>
        <w:t>.</w:t>
      </w:r>
      <w:r>
        <w:rPr>
          <w:rFonts w:ascii="Arial" w:hAnsi="Arial" w:cs="Times New Roman"/>
          <w:sz w:val="24"/>
          <w:szCs w:val="24"/>
          <w:shd w:val="clear" w:color="auto" w:fill="FFFFFF"/>
        </w:rPr>
        <w:t xml:space="preserve"> </w:t>
      </w:r>
      <w:r>
        <w:rPr>
          <w:rFonts w:ascii="Arial" w:hAnsi="Arial" w:cs="Times New Roman"/>
          <w:sz w:val="24"/>
          <w:szCs w:val="24"/>
        </w:rPr>
        <w:t xml:space="preserve">Institui o Código Civil. Brasília: Planalto, 2002. Disponível em:   </w:t>
      </w:r>
      <w:hyperlink r:id="rId192">
        <w:r>
          <w:rPr>
            <w:rStyle w:val="Hyperlink1"/>
            <w:rFonts w:ascii="Arial" w:hAnsi="Arial" w:cs="Times New Roman"/>
            <w:color w:val="auto"/>
            <w:sz w:val="24"/>
            <w:szCs w:val="24"/>
            <w:u w:val="none"/>
          </w:rPr>
          <w:t>https://www.planalto.gov.br/ccivil_03/_ato2007-2010/2010/lei/l12318.htm</w:t>
        </w:r>
      </w:hyperlink>
      <w:r>
        <w:rPr>
          <w:rFonts w:ascii="Arial" w:hAnsi="Arial" w:cs="Times New Roman"/>
          <w:sz w:val="24"/>
          <w:szCs w:val="24"/>
        </w:rPr>
        <w:t>. Acesso em: 18 fev. 2026.</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BRASIL. </w:t>
      </w:r>
      <w:r>
        <w:rPr>
          <w:rFonts w:ascii="Arial" w:hAnsi="Arial" w:cs="Times New Roman"/>
          <w:b/>
          <w:bCs/>
          <w:sz w:val="24"/>
          <w:szCs w:val="24"/>
        </w:rPr>
        <w:t>Superior Tribunal de Justiça</w:t>
      </w:r>
      <w:r>
        <w:rPr>
          <w:rFonts w:ascii="Arial" w:hAnsi="Arial" w:cs="Times New Roman"/>
          <w:sz w:val="24"/>
          <w:szCs w:val="24"/>
        </w:rPr>
        <w:t>. Recurso Especial nº 1.487.596/MG. Relator: Min. Antônio Carlos Ferreira. Quarta Turma. Julgado em 21 set. 2021. Brasília, DF: STJ, 2021. Disponível em: https://www.stj.jus.br/sites/portalp/Paginas/Comunicacao/Noticias/04102021-Quarta-Turma-veda-tratamento-diferente-entre-pais-biologico-e-socioafetivo-no-registro-civil-multiparental.aspx. Acesso em: 18 fev. 2026.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BRASIL. </w:t>
      </w:r>
      <w:r>
        <w:rPr>
          <w:rFonts w:ascii="Arial" w:eastAsia="Times New Roman" w:hAnsi="Arial" w:cs="Times New Roman"/>
          <w:b/>
          <w:bCs/>
          <w:sz w:val="24"/>
          <w:szCs w:val="24"/>
        </w:rPr>
        <w:t>Supremo Tribunal Federal</w:t>
      </w:r>
      <w:r>
        <w:rPr>
          <w:rFonts w:ascii="Arial" w:hAnsi="Arial" w:cs="Times New Roman"/>
          <w:sz w:val="24"/>
          <w:szCs w:val="24"/>
        </w:rPr>
        <w:t xml:space="preserve">. </w:t>
      </w:r>
      <w:r>
        <w:rPr>
          <w:rFonts w:ascii="Arial" w:eastAsia="Times New Roman" w:hAnsi="Arial" w:cs="Times New Roman"/>
          <w:sz w:val="24"/>
          <w:szCs w:val="24"/>
        </w:rPr>
        <w:t>Recurso Extraordinário nº 898.060/SC</w:t>
      </w:r>
      <w:r>
        <w:rPr>
          <w:rFonts w:ascii="Arial" w:hAnsi="Arial" w:cs="Times New Roman"/>
          <w:sz w:val="24"/>
          <w:szCs w:val="24"/>
        </w:rPr>
        <w:t>. Relator: Min. Luiz Fux. Julgado em 21 set. 2016. Tribunal Pleno. Brasília, DF: STF, 2016. (Tema 622 da Repercussão Geral). Disponível em: https://portal.stf.jus.br/processos/detalhe.asp?incidente=4575673. Acesso em: 18 fev. 2026.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CADEMARTORI, Daniela Mesquita Leutchuk. </w:t>
      </w:r>
      <w:r>
        <w:rPr>
          <w:rFonts w:ascii="Arial" w:hAnsi="Arial" w:cs="Times New Roman"/>
          <w:b/>
          <w:bCs/>
          <w:sz w:val="24"/>
          <w:szCs w:val="24"/>
        </w:rPr>
        <w:t xml:space="preserve">A constitucionalização do direito de </w:t>
      </w:r>
      <w:r>
        <w:rPr>
          <w:rFonts w:ascii="Arial" w:hAnsi="Arial" w:cs="Times New Roman"/>
          <w:b/>
          <w:bCs/>
          <w:sz w:val="24"/>
          <w:szCs w:val="24"/>
        </w:rPr>
        <w:lastRenderedPageBreak/>
        <w:t>família</w:t>
      </w:r>
      <w:r>
        <w:rPr>
          <w:rFonts w:ascii="Arial" w:hAnsi="Arial" w:cs="Times New Roman"/>
          <w:sz w:val="24"/>
          <w:szCs w:val="24"/>
        </w:rPr>
        <w:t>. São Paulo: Editora Revista Jurídica, 2018.</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rFonts w:ascii="Arial" w:hAnsi="Arial"/>
          <w:sz w:val="24"/>
          <w:szCs w:val="24"/>
        </w:rPr>
      </w:pPr>
      <w:r>
        <w:rPr>
          <w:rFonts w:ascii="Arial" w:hAnsi="Arial" w:cs="Times New Roman"/>
          <w:sz w:val="24"/>
          <w:szCs w:val="24"/>
        </w:rPr>
        <w:t xml:space="preserve">DIAS, Maria Berenice. </w:t>
      </w:r>
      <w:r>
        <w:rPr>
          <w:rFonts w:ascii="Arial" w:hAnsi="Arial" w:cs="Times New Roman"/>
          <w:b/>
          <w:bCs/>
          <w:sz w:val="24"/>
          <w:szCs w:val="24"/>
        </w:rPr>
        <w:t>Manual de direito das famílias</w:t>
      </w:r>
      <w:r>
        <w:rPr>
          <w:rFonts w:ascii="Arial" w:hAnsi="Arial" w:cs="Times New Roman"/>
          <w:sz w:val="24"/>
          <w:szCs w:val="24"/>
        </w:rPr>
        <w:t>. São Paulo: Thomson Reuters Brasil, 2021.</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DINIZ, Ismaeli Thainá da Silva. O reconhecimento da paternidade socioafetiva no ordenamento jurídico brasileiro. </w:t>
      </w:r>
      <w:r>
        <w:rPr>
          <w:rFonts w:ascii="Arial" w:hAnsi="Arial" w:cs="Times New Roman"/>
          <w:b/>
          <w:bCs/>
          <w:sz w:val="24"/>
          <w:szCs w:val="24"/>
        </w:rPr>
        <w:t>Revista Ibero-Americana de Humanidades, Ciências e Educação</w:t>
      </w:r>
      <w:r>
        <w:rPr>
          <w:rFonts w:ascii="Arial" w:hAnsi="Arial" w:cs="Times New Roman"/>
          <w:sz w:val="24"/>
          <w:szCs w:val="24"/>
        </w:rPr>
        <w:t>, </w:t>
      </w:r>
      <w:r>
        <w:rPr>
          <w:rFonts w:ascii="Arial" w:hAnsi="Arial" w:cs="Times New Roman"/>
          <w:i/>
          <w:iCs/>
          <w:sz w:val="24"/>
          <w:szCs w:val="24"/>
        </w:rPr>
        <w:t>[S. l.]</w:t>
      </w:r>
      <w:r>
        <w:rPr>
          <w:rFonts w:ascii="Arial" w:hAnsi="Arial" w:cs="Times New Roman"/>
          <w:sz w:val="24"/>
          <w:szCs w:val="24"/>
        </w:rPr>
        <w:t>, v. 10, n. 6, p. 1338–1357, 2024. DOI: 10.51891/rease.v10i6.14533. Disponível em: https://periodicorease.pro.br/rease/article/view/14533. Acesso em: 18 fev. 2026.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bCs/>
          <w:sz w:val="24"/>
          <w:szCs w:val="24"/>
        </w:rPr>
        <w:t>FRANCO, Karina; JÚNIOR, Marcos. Reconhecimento extrajudicial da filiação socioafetiva e multiparentalidade: comentários ao Provimento no 63, de 14.11.17, do CNJ. </w:t>
      </w:r>
      <w:r>
        <w:rPr>
          <w:rFonts w:ascii="Arial" w:hAnsi="Arial" w:cs="Times New Roman"/>
          <w:b/>
          <w:sz w:val="24"/>
          <w:szCs w:val="24"/>
        </w:rPr>
        <w:t>Revista Brasileira de Direito Civil</w:t>
      </w:r>
      <w:r>
        <w:rPr>
          <w:rFonts w:ascii="Arial" w:hAnsi="Arial" w:cs="Times New Roman"/>
          <w:bCs/>
          <w:sz w:val="24"/>
          <w:szCs w:val="24"/>
        </w:rPr>
        <w:t>, </w:t>
      </w:r>
      <w:r>
        <w:rPr>
          <w:rFonts w:ascii="Arial" w:hAnsi="Arial" w:cs="Times New Roman"/>
          <w:bCs/>
          <w:i/>
          <w:iCs/>
          <w:sz w:val="24"/>
          <w:szCs w:val="24"/>
        </w:rPr>
        <w:t>[S. l.]</w:t>
      </w:r>
      <w:r>
        <w:rPr>
          <w:rFonts w:ascii="Arial" w:hAnsi="Arial" w:cs="Times New Roman"/>
          <w:bCs/>
          <w:sz w:val="24"/>
          <w:szCs w:val="24"/>
        </w:rPr>
        <w:t>, v. 17, p. 223, 2018. Disponível em: https://rbdcivil.ibdcivil.org.br/rbdc/article/view/279. Acesso em: 19 mar. 2026.</w:t>
      </w:r>
    </w:p>
    <w:p w:rsidR="009D60B7" w:rsidRDefault="009D60B7">
      <w:pPr>
        <w:rPr>
          <w:rFonts w:ascii="Arial" w:hAnsi="Arial" w:cs="Times New Roman"/>
          <w:bCs/>
          <w:sz w:val="24"/>
          <w:szCs w:val="24"/>
        </w:rPr>
      </w:pPr>
    </w:p>
    <w:p w:rsidR="009D60B7" w:rsidRDefault="00425C09">
      <w:pPr>
        <w:rPr>
          <w:rFonts w:ascii="Arial" w:hAnsi="Arial"/>
          <w:sz w:val="24"/>
          <w:szCs w:val="24"/>
        </w:rPr>
      </w:pPr>
      <w:r>
        <w:rPr>
          <w:rFonts w:ascii="Arial" w:hAnsi="Arial" w:cs="Times New Roman"/>
          <w:sz w:val="24"/>
          <w:szCs w:val="24"/>
        </w:rPr>
        <w:t xml:space="preserve">GAGLIANO, Pablo Stolze; PAMPLONA FILHO, Rodolfo. </w:t>
      </w:r>
      <w:r>
        <w:rPr>
          <w:rFonts w:ascii="Arial" w:hAnsi="Arial" w:cs="Times New Roman"/>
          <w:b/>
          <w:bCs/>
          <w:sz w:val="24"/>
          <w:szCs w:val="24"/>
        </w:rPr>
        <w:t>Novo curso de direito civil</w:t>
      </w:r>
      <w:r>
        <w:rPr>
          <w:rFonts w:ascii="Arial" w:hAnsi="Arial" w:cs="Times New Roman"/>
          <w:sz w:val="24"/>
          <w:szCs w:val="24"/>
        </w:rPr>
        <w:t xml:space="preserve">: </w:t>
      </w:r>
      <w:r>
        <w:rPr>
          <w:rFonts w:ascii="Arial" w:hAnsi="Arial" w:cs="Times New Roman"/>
          <w:b/>
          <w:bCs/>
          <w:sz w:val="24"/>
          <w:szCs w:val="24"/>
        </w:rPr>
        <w:t>direito de família</w:t>
      </w:r>
      <w:r>
        <w:rPr>
          <w:rFonts w:ascii="Arial" w:hAnsi="Arial" w:cs="Times New Roman"/>
          <w:sz w:val="24"/>
          <w:szCs w:val="24"/>
        </w:rPr>
        <w:t>. São Paulo: Saraiva, 2022.</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GOEDERT, Daniella Machado Ribeiro; CARDIN, Valéria Silva Galdino. </w:t>
      </w:r>
      <w:r>
        <w:rPr>
          <w:rFonts w:ascii="Arial" w:eastAsia="Times New Roman" w:hAnsi="Arial" w:cs="Times New Roman"/>
          <w:b/>
          <w:bCs/>
          <w:sz w:val="24"/>
          <w:szCs w:val="24"/>
        </w:rPr>
        <w:t>Da importância do afeto nas relações familiares</w:t>
      </w:r>
      <w:r>
        <w:rPr>
          <w:rFonts w:ascii="Arial" w:hAnsi="Arial" w:cs="Times New Roman"/>
          <w:sz w:val="24"/>
          <w:szCs w:val="24"/>
        </w:rPr>
        <w:t>. 2019. Artigo apresentado no VII Encontro Internacional de Produção Científica (EPCC), Universidade Cesumar – UNICESUMAR, Maringá, 2019.</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rFonts w:ascii="Arial" w:hAnsi="Arial"/>
          <w:sz w:val="24"/>
          <w:szCs w:val="24"/>
        </w:rPr>
      </w:pPr>
      <w:r>
        <w:rPr>
          <w:rFonts w:ascii="Arial" w:hAnsi="Arial" w:cs="Times New Roman"/>
          <w:sz w:val="24"/>
          <w:szCs w:val="24"/>
        </w:rPr>
        <w:t xml:space="preserve">MÜLLER, Thaís Gomes. </w:t>
      </w:r>
      <w:r>
        <w:rPr>
          <w:rFonts w:ascii="Arial" w:hAnsi="Arial" w:cs="Times New Roman"/>
          <w:b/>
          <w:bCs/>
          <w:sz w:val="24"/>
          <w:szCs w:val="24"/>
        </w:rPr>
        <w:t>O reconhecimento da paternidade socioafetiva no processo de inventário</w:t>
      </w:r>
      <w:r>
        <w:rPr>
          <w:rFonts w:ascii="Arial" w:hAnsi="Arial" w:cs="Times New Roman"/>
          <w:sz w:val="24"/>
          <w:szCs w:val="24"/>
        </w:rPr>
        <w:t>. 2025. Trabalho de Conclusão de Curso apresentado à Pontifícia Universidade Católica de Goiás – PUC Goiás, Escola de Direito, Negócios e Comunicação, Goiânia, 2025.</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NADER, Paulo. </w:t>
      </w:r>
      <w:r>
        <w:rPr>
          <w:rFonts w:ascii="Arial" w:hAnsi="Arial" w:cs="Times New Roman"/>
          <w:b/>
          <w:bCs/>
          <w:sz w:val="24"/>
          <w:szCs w:val="24"/>
        </w:rPr>
        <w:t>Curso de direito civil - Obrigações</w:t>
      </w:r>
      <w:r>
        <w:rPr>
          <w:rFonts w:ascii="Arial" w:hAnsi="Arial" w:cs="Times New Roman"/>
          <w:sz w:val="24"/>
          <w:szCs w:val="24"/>
        </w:rPr>
        <w:t>. Rio de Janeiro: Editora Forense, 2019.</w:t>
      </w:r>
    </w:p>
    <w:p w:rsidR="009D60B7" w:rsidRDefault="009D60B7">
      <w:pPr>
        <w:rPr>
          <w:rFonts w:ascii="Arial" w:hAnsi="Arial" w:cs="Times New Roman"/>
          <w:sz w:val="24"/>
          <w:szCs w:val="24"/>
        </w:rPr>
      </w:pPr>
    </w:p>
    <w:p w:rsidR="009D60B7" w:rsidRDefault="00425C09">
      <w:pPr>
        <w:pStyle w:val="Recuodecorpodetexto"/>
        <w:spacing w:after="0" w:line="240" w:lineRule="auto"/>
        <w:ind w:left="0"/>
        <w:rPr>
          <w:rFonts w:ascii="Arial" w:hAnsi="Arial"/>
          <w:sz w:val="24"/>
          <w:szCs w:val="24"/>
        </w:rPr>
      </w:pPr>
      <w:r>
        <w:rPr>
          <w:rFonts w:ascii="Arial" w:hAnsi="Arial" w:cs="Times New Roman"/>
          <w:sz w:val="24"/>
          <w:szCs w:val="24"/>
        </w:rPr>
        <w:t xml:space="preserve">TARTUCE, Flávio. </w:t>
      </w:r>
      <w:r>
        <w:rPr>
          <w:rFonts w:ascii="Arial" w:hAnsi="Arial" w:cs="Times New Roman"/>
          <w:b/>
          <w:bCs/>
          <w:sz w:val="24"/>
          <w:szCs w:val="24"/>
        </w:rPr>
        <w:t>Direito Civil: Direito de Família</w:t>
      </w:r>
      <w:r>
        <w:rPr>
          <w:rFonts w:ascii="Arial" w:hAnsi="Arial" w:cs="Times New Roman"/>
          <w:sz w:val="24"/>
          <w:szCs w:val="24"/>
        </w:rPr>
        <w:t>. Rio de Janeiro: Forense, 2023.</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rFonts w:ascii="Arial" w:hAnsi="Arial"/>
          <w:sz w:val="24"/>
          <w:szCs w:val="24"/>
        </w:rPr>
      </w:pPr>
      <w:r>
        <w:rPr>
          <w:rFonts w:ascii="Arial" w:hAnsi="Arial" w:cs="Times New Roman"/>
          <w:bCs/>
          <w:sz w:val="24"/>
          <w:szCs w:val="24"/>
        </w:rPr>
        <w:t>TRINDADE, Douglas Antônio da Silva; RODRIGUES, Rubens Antônio. Multiparentalidade entre filiação socioafetiva e os reflexos no direito sucessório. </w:t>
      </w:r>
      <w:r>
        <w:rPr>
          <w:rFonts w:ascii="Arial" w:hAnsi="Arial" w:cs="Times New Roman"/>
          <w:b/>
          <w:sz w:val="24"/>
          <w:szCs w:val="24"/>
        </w:rPr>
        <w:t>Revista Ibero-Americana de Humanidades, Ciências e Educação</w:t>
      </w:r>
      <w:r>
        <w:rPr>
          <w:rFonts w:ascii="Arial" w:hAnsi="Arial" w:cs="Times New Roman"/>
          <w:bCs/>
          <w:sz w:val="24"/>
          <w:szCs w:val="24"/>
        </w:rPr>
        <w:t>, </w:t>
      </w:r>
      <w:r>
        <w:rPr>
          <w:rFonts w:ascii="Arial" w:hAnsi="Arial" w:cs="Times New Roman"/>
          <w:bCs/>
          <w:i/>
          <w:iCs/>
          <w:sz w:val="24"/>
          <w:szCs w:val="24"/>
        </w:rPr>
        <w:t>[S. l.]</w:t>
      </w:r>
      <w:r>
        <w:rPr>
          <w:rFonts w:ascii="Arial" w:hAnsi="Arial" w:cs="Times New Roman"/>
          <w:bCs/>
          <w:sz w:val="24"/>
          <w:szCs w:val="24"/>
        </w:rPr>
        <w:t>, v. 8, n. 3, p. 2158–2178, 2022. DOI: 10.51891/rease.v8i3.5384. Disponível em: https://periodicorease.pro.br/rease/article/view/5384. Acesso em: 19 mar. 2026.</w:t>
      </w:r>
    </w:p>
    <w:p w:rsidR="009D60B7" w:rsidRDefault="009D60B7">
      <w:pPr>
        <w:rPr>
          <w:rFonts w:ascii="Arial" w:hAnsi="Arial" w:cs="Times New Roman"/>
          <w:bCs/>
          <w:sz w:val="24"/>
          <w:szCs w:val="24"/>
        </w:rPr>
      </w:pPr>
    </w:p>
    <w:p w:rsidR="009D60B7" w:rsidRDefault="00425C09">
      <w:pPr>
        <w:rPr>
          <w:rFonts w:ascii="Arial" w:hAnsi="Arial"/>
          <w:sz w:val="24"/>
          <w:szCs w:val="24"/>
        </w:rPr>
      </w:pPr>
      <w:r>
        <w:rPr>
          <w:rFonts w:ascii="Arial" w:hAnsi="Arial" w:cs="Times New Roman"/>
          <w:bCs/>
          <w:sz w:val="24"/>
          <w:szCs w:val="24"/>
        </w:rPr>
        <w:t xml:space="preserve">ULLRICH, Thainá Sabriny Fiuza; PEREIRA, Thais de Souza. </w:t>
      </w:r>
      <w:r>
        <w:rPr>
          <w:rFonts w:ascii="Arial" w:hAnsi="Arial" w:cs="Times New Roman"/>
          <w:b/>
          <w:sz w:val="24"/>
          <w:szCs w:val="24"/>
        </w:rPr>
        <w:t>Multiparentalidade socioafetiva</w:t>
      </w:r>
      <w:r>
        <w:rPr>
          <w:rFonts w:ascii="Arial" w:hAnsi="Arial" w:cs="Times New Roman"/>
          <w:bCs/>
          <w:sz w:val="24"/>
          <w:szCs w:val="24"/>
        </w:rPr>
        <w:t>. 2024. Trabalho de Conclusão de Curso apresentado à Faculdade FacMais – FACMAIS, Unidade de Ituiutaba, Ituiutaba, 2024.</w:t>
      </w:r>
    </w:p>
    <w:p w:rsidR="009D60B7" w:rsidRDefault="009D60B7">
      <w:pPr>
        <w:rPr>
          <w:rFonts w:ascii="Arial" w:hAnsi="Arial" w:cs="Times New Roman"/>
          <w:bCs/>
          <w:sz w:val="24"/>
          <w:szCs w:val="24"/>
        </w:rPr>
      </w:pPr>
    </w:p>
    <w:p w:rsidR="009D60B7" w:rsidRDefault="00425C09">
      <w:pPr>
        <w:pStyle w:val="Recuodecorpodetexto"/>
        <w:spacing w:after="0" w:line="240" w:lineRule="auto"/>
        <w:ind w:left="0"/>
        <w:rPr>
          <w:rFonts w:ascii="Arial" w:hAnsi="Arial"/>
          <w:sz w:val="20"/>
          <w:szCs w:val="20"/>
        </w:rPr>
      </w:pPr>
      <w:r>
        <w:rPr>
          <w:rFonts w:ascii="Arial" w:hAnsi="Arial" w:cs="Times New Roman"/>
          <w:sz w:val="24"/>
          <w:szCs w:val="24"/>
        </w:rPr>
        <w:t xml:space="preserve">XAVIER, Eduarda Barbosa; OLIVEIRA, Jean Alex de; RIBEIRO, Mellyssa de Souza; SANTOS, Maressa de Melo. </w:t>
      </w:r>
      <w:r>
        <w:rPr>
          <w:rFonts w:ascii="Arial" w:hAnsi="Arial" w:cs="Times New Roman"/>
          <w:b/>
          <w:bCs/>
          <w:sz w:val="24"/>
          <w:szCs w:val="24"/>
        </w:rPr>
        <w:t>Impactos e desafios do reconhecimento da filiação socioafetiva no direito brasileiro</w:t>
      </w:r>
      <w:r>
        <w:rPr>
          <w:rFonts w:ascii="Arial" w:hAnsi="Arial" w:cs="Times New Roman"/>
          <w:sz w:val="24"/>
          <w:szCs w:val="24"/>
        </w:rPr>
        <w:t>. 2025. Trabalho de Conclusão de Curso apresentado à Faculdade FacMais – FACMAIS, Ituiutaba, 2025</w:t>
      </w:r>
      <w:r>
        <w:rPr>
          <w:rFonts w:ascii="Arial" w:hAnsi="Arial" w:cs="Times New Roman"/>
          <w:sz w:val="20"/>
          <w:szCs w:val="20"/>
        </w:rPr>
        <w:t>.</w:t>
      </w:r>
    </w:p>
    <w:p w:rsidR="009D60B7" w:rsidRDefault="009D60B7">
      <w:pPr>
        <w:rPr>
          <w:rFonts w:ascii="Arial" w:hAnsi="Arial" w:cs="Times New Roman"/>
          <w:sz w:val="20"/>
          <w:szCs w:val="20"/>
        </w:rPr>
      </w:pPr>
    </w:p>
    <w:p w:rsidR="009D60B7" w:rsidRDefault="009D60B7">
      <w:pPr>
        <w:rPr>
          <w:rFonts w:ascii="Arial" w:eastAsia="Times New Roman" w:hAnsi="Arial" w:cs="Times New Roman"/>
          <w:color w:val="1155CC"/>
          <w:sz w:val="20"/>
          <w:szCs w:val="20"/>
          <w:u w:val="single"/>
        </w:rPr>
      </w:pPr>
    </w:p>
    <w:p w:rsidR="009D60B7" w:rsidRDefault="009D60B7">
      <w:pPr>
        <w:ind w:right="136"/>
        <w:rPr>
          <w:rFonts w:ascii="Arial" w:eastAsia="Times New Roman" w:hAnsi="Arial" w:cs="Times New Roman"/>
          <w:color w:val="1155CC"/>
          <w:sz w:val="20"/>
          <w:szCs w:val="20"/>
          <w:u w:val="single"/>
        </w:rPr>
      </w:pPr>
    </w:p>
    <w:p w:rsidR="009D60B7" w:rsidRPr="00105474" w:rsidRDefault="00425C09" w:rsidP="00B44A52">
      <w:pPr>
        <w:jc w:val="center"/>
        <w:rPr>
          <w:rFonts w:ascii="Arial" w:hAnsi="Arial"/>
          <w:sz w:val="28"/>
          <w:szCs w:val="28"/>
        </w:rPr>
      </w:pPr>
      <w:bookmarkStart w:id="29" w:name="_GoBack_Copia_10"/>
      <w:bookmarkEnd w:id="29"/>
      <w:r w:rsidRPr="00105474">
        <w:rPr>
          <w:rFonts w:ascii="Arial" w:eastAsia="Times New Roman" w:hAnsi="Arial" w:cs="Times New Roman"/>
          <w:b/>
          <w:bCs/>
          <w:sz w:val="28"/>
          <w:szCs w:val="28"/>
        </w:rPr>
        <w:t xml:space="preserve">HERANÇA DIGITAL NO BRASIL: DESAFIOS ENTRE O DIREITO </w:t>
      </w:r>
      <w:r w:rsidRPr="00105474">
        <w:rPr>
          <w:rFonts w:ascii="Arial" w:eastAsia="Times New Roman" w:hAnsi="Arial" w:cs="Times New Roman"/>
          <w:b/>
          <w:bCs/>
          <w:sz w:val="28"/>
          <w:szCs w:val="28"/>
        </w:rPr>
        <w:lastRenderedPageBreak/>
        <w:t>SUCESSÓRIO E A PROTEÇÃO DA PERSONALIDADE APÓS A MORTE</w:t>
      </w:r>
    </w:p>
    <w:p w:rsidR="009D60B7" w:rsidRDefault="009D60B7" w:rsidP="00B44A52">
      <w:pPr>
        <w:pStyle w:val="Ttulo1"/>
        <w:spacing w:before="60"/>
        <w:ind w:left="0"/>
        <w:jc w:val="both"/>
        <w:rPr>
          <w:rFonts w:ascii="Arial" w:hAnsi="Arial" w:cs="Arial"/>
          <w:spacing w:val="-2"/>
          <w:sz w:val="24"/>
          <w:szCs w:val="24"/>
        </w:rPr>
      </w:pPr>
    </w:p>
    <w:p w:rsidR="009D60B7" w:rsidRDefault="009D60B7" w:rsidP="00B44A52">
      <w:pPr>
        <w:pStyle w:val="Corpodetexto"/>
        <w:spacing w:before="24"/>
        <w:jc w:val="center"/>
        <w:rPr>
          <w:rFonts w:ascii="Arial" w:hAnsi="Arial" w:cs="Arial"/>
          <w:b/>
          <w:sz w:val="24"/>
          <w:szCs w:val="24"/>
        </w:rPr>
      </w:pPr>
    </w:p>
    <w:p w:rsidR="009D60B7" w:rsidRDefault="00425C09" w:rsidP="00B44A52">
      <w:pPr>
        <w:jc w:val="center"/>
        <w:rPr>
          <w:rFonts w:ascii="Arial" w:hAnsi="Arial"/>
          <w:sz w:val="24"/>
          <w:szCs w:val="24"/>
        </w:rPr>
      </w:pPr>
      <w:r>
        <w:rPr>
          <w:rFonts w:ascii="Arial" w:eastAsia="Times New Roman" w:hAnsi="Arial" w:cs="Times New Roman"/>
          <w:sz w:val="24"/>
          <w:szCs w:val="24"/>
        </w:rPr>
        <w:t xml:space="preserve">Osiel Rodrigues </w:t>
      </w:r>
      <w:r w:rsidR="00687A94">
        <w:rPr>
          <w:rFonts w:ascii="Arial" w:eastAsia="Times New Roman" w:hAnsi="Arial" w:cs="Times New Roman"/>
          <w:sz w:val="24"/>
          <w:szCs w:val="24"/>
        </w:rPr>
        <w:t xml:space="preserve">dos </w:t>
      </w:r>
      <w:r>
        <w:rPr>
          <w:rFonts w:ascii="Arial" w:eastAsia="Times New Roman" w:hAnsi="Arial" w:cs="Times New Roman"/>
          <w:sz w:val="24"/>
          <w:szCs w:val="24"/>
        </w:rPr>
        <w:t>Santos</w:t>
      </w:r>
      <w:r>
        <w:rPr>
          <w:rStyle w:val="Refdenotaderodap"/>
          <w:rFonts w:ascii="Arial" w:eastAsia="Times New Roman" w:hAnsi="Arial" w:cs="Times New Roman"/>
          <w:sz w:val="24"/>
          <w:szCs w:val="24"/>
        </w:rPr>
        <w:footnoteReference w:id="36"/>
      </w:r>
    </w:p>
    <w:p w:rsidR="009D60B7" w:rsidRDefault="00425C09" w:rsidP="00B44A52">
      <w:pPr>
        <w:jc w:val="center"/>
        <w:rPr>
          <w:rFonts w:ascii="Arial" w:hAnsi="Arial"/>
          <w:sz w:val="24"/>
          <w:szCs w:val="24"/>
        </w:rPr>
      </w:pPr>
      <w:r>
        <w:rPr>
          <w:rFonts w:ascii="Arial" w:eastAsia="Times New Roman" w:hAnsi="Arial" w:cs="Times New Roman"/>
          <w:sz w:val="24"/>
          <w:szCs w:val="24"/>
        </w:rPr>
        <w:t>Sérgio Gabriel Simões Figueiredo</w:t>
      </w:r>
      <w:r>
        <w:rPr>
          <w:rStyle w:val="Refdenotaderodap"/>
          <w:rFonts w:ascii="Arial" w:eastAsia="Times New Roman" w:hAnsi="Arial" w:cs="Times New Roman"/>
          <w:sz w:val="24"/>
          <w:szCs w:val="24"/>
        </w:rPr>
        <w:footnoteReference w:id="37"/>
      </w:r>
    </w:p>
    <w:p w:rsidR="009D60B7" w:rsidRDefault="00425C09" w:rsidP="00B44A52">
      <w:pPr>
        <w:jc w:val="center"/>
        <w:rPr>
          <w:rFonts w:ascii="Arial" w:eastAsia="Times New Roman" w:hAnsi="Arial" w:cs="Times New Roman"/>
          <w:sz w:val="24"/>
          <w:szCs w:val="24"/>
        </w:rPr>
      </w:pPr>
      <w:r>
        <w:rPr>
          <w:rFonts w:ascii="Arial" w:eastAsia="Times New Roman" w:hAnsi="Arial" w:cs="Times New Roman"/>
          <w:sz w:val="24"/>
          <w:szCs w:val="24"/>
        </w:rPr>
        <w:t>Lucas Santana de Lima</w:t>
      </w:r>
      <w:r>
        <w:rPr>
          <w:rStyle w:val="Refdenotaderodap"/>
          <w:rFonts w:ascii="Arial" w:eastAsia="Times New Roman" w:hAnsi="Arial" w:cs="Times New Roman"/>
          <w:sz w:val="24"/>
          <w:szCs w:val="24"/>
        </w:rPr>
        <w:footnoteReference w:id="38"/>
      </w:r>
    </w:p>
    <w:p w:rsidR="009D60B7" w:rsidRDefault="009D60B7" w:rsidP="00B44A52">
      <w:pPr>
        <w:jc w:val="center"/>
        <w:rPr>
          <w:rFonts w:ascii="Arial" w:eastAsia="Times New Roman" w:hAnsi="Arial" w:cs="Times New Roman"/>
          <w:sz w:val="24"/>
          <w:szCs w:val="24"/>
        </w:rPr>
      </w:pPr>
    </w:p>
    <w:p w:rsidR="00FE170C" w:rsidRDefault="00FE170C" w:rsidP="00B44A52">
      <w:pPr>
        <w:jc w:val="center"/>
        <w:rPr>
          <w:rFonts w:ascii="Arial" w:eastAsia="Times New Roman" w:hAnsi="Arial" w:cs="Times New Roman"/>
          <w:sz w:val="24"/>
          <w:szCs w:val="24"/>
        </w:rPr>
      </w:pPr>
    </w:p>
    <w:p w:rsidR="009D60B7" w:rsidRPr="00FE170C" w:rsidRDefault="00425C09" w:rsidP="00B44A52">
      <w:pPr>
        <w:pStyle w:val="Ttulo1"/>
        <w:ind w:left="0"/>
        <w:rPr>
          <w:rFonts w:ascii="Arial" w:hAnsi="Arial" w:cs="Arial"/>
          <w:bCs/>
          <w:spacing w:val="-2"/>
          <w:sz w:val="24"/>
          <w:szCs w:val="24"/>
        </w:rPr>
      </w:pPr>
      <w:r w:rsidRPr="00FE170C">
        <w:rPr>
          <w:rFonts w:ascii="Arial" w:hAnsi="Arial" w:cs="Arial"/>
          <w:bCs/>
          <w:spacing w:val="-2"/>
          <w:sz w:val="24"/>
          <w:szCs w:val="24"/>
        </w:rPr>
        <w:t>RESUMO</w:t>
      </w:r>
    </w:p>
    <w:p w:rsidR="009D60B7" w:rsidRDefault="00425C09" w:rsidP="00B44A52">
      <w:pPr>
        <w:jc w:val="both"/>
        <w:rPr>
          <w:rFonts w:ascii="Arial" w:hAnsi="Arial"/>
          <w:sz w:val="20"/>
          <w:szCs w:val="20"/>
        </w:rPr>
      </w:pPr>
      <w:r>
        <w:rPr>
          <w:rFonts w:ascii="Arial" w:eastAsia="Times New Roman" w:hAnsi="Arial" w:cs="Times New Roman"/>
          <w:sz w:val="20"/>
          <w:szCs w:val="20"/>
        </w:rPr>
        <w:t>O presente estudo investiga o emergente instituto da herança digital no cenário jurídico brasileiro, analisando a viabilidade de transmissão de ativos virtuais após a morte do titular, pois em que medida é juridicamente possível a transmissão de bens digitais após a morte, sem violar os direitos da personalidade do titular? O objetivo geral é analisar a possibilidade, os limites e as implicações jurídicas da herança digital no Brasil, à luz da doutrina, da legislação vigente e da jurisprudência em formação, buscando conciliar o direito sucessório com a proteção dos direitos da personalidade. Os objetivos específicos consistem em investigar o conceito de herança digital e sua classificação entre bens patrimoniais e personalíssimos, examinar o tratamento jurídico atual do tema no Brasil, especialmente nas decisões do STJ, Avaliar a compatibilidade da herança digital com os princípios constitucionais da dignidade da pessoa humana, intimidade e privacidade e comparar soluções legislativas e jurisprudenciais estrangeiras, sugerindo diretrizes para uma futura regulamentação no ordenamento brasileiro. A pesquisa adota a metodologia baseada em estudos doutrinários, legislativos e principalmente jurisprudenciais, além de abordar a transição da sociedade para o ambiente digital, onde a informação tornou-se a matéria-prima fundamental e o patrimônio pessoal desmaterializou-se em dados e mídias armazenadas em rede. A pesquisa conclui pela imperatividade do planejamento sucessório digital como meio de harmonizar os interesses patrimoniais dos herdeiros com a dignidade da pessoa humana. Por fim, indica que a herança digital deve ser complementada por normas regulamentadoras e definidoras da extensão de seu tema.</w:t>
      </w:r>
    </w:p>
    <w:p w:rsidR="009D60B7" w:rsidRDefault="009D60B7" w:rsidP="00B44A52">
      <w:pPr>
        <w:jc w:val="both"/>
        <w:rPr>
          <w:rFonts w:ascii="Arial" w:hAnsi="Arial"/>
          <w:sz w:val="20"/>
          <w:szCs w:val="20"/>
        </w:rPr>
      </w:pPr>
    </w:p>
    <w:p w:rsidR="009D60B7" w:rsidRDefault="00425C09" w:rsidP="00B44A52">
      <w:pPr>
        <w:jc w:val="both"/>
        <w:rPr>
          <w:rFonts w:ascii="Arial" w:hAnsi="Arial"/>
          <w:sz w:val="20"/>
          <w:szCs w:val="20"/>
        </w:rPr>
      </w:pPr>
      <w:r>
        <w:rPr>
          <w:rFonts w:ascii="Arial" w:eastAsia="Times New Roman" w:hAnsi="Arial" w:cs="Times New Roman"/>
          <w:b/>
          <w:bCs/>
          <w:sz w:val="20"/>
          <w:szCs w:val="20"/>
        </w:rPr>
        <w:t>PALAVRAS-CHAVE:</w:t>
      </w:r>
      <w:r>
        <w:rPr>
          <w:rFonts w:ascii="Arial" w:eastAsia="Times New Roman" w:hAnsi="Arial" w:cs="Times New Roman"/>
          <w:sz w:val="20"/>
          <w:szCs w:val="20"/>
        </w:rPr>
        <w:t xml:space="preserve"> Sucessão, bens, digital, patrimônio, personalidade. </w:t>
      </w:r>
    </w:p>
    <w:p w:rsidR="009D60B7" w:rsidRDefault="009D60B7" w:rsidP="00B44A52">
      <w:pPr>
        <w:rPr>
          <w:rFonts w:ascii="Arial" w:eastAsia="Times New Roman" w:hAnsi="Arial" w:cs="Times New Roman"/>
          <w:b/>
          <w:bCs/>
          <w:sz w:val="20"/>
          <w:szCs w:val="20"/>
        </w:rPr>
      </w:pPr>
    </w:p>
    <w:p w:rsidR="009D60B7" w:rsidRDefault="00425C09" w:rsidP="00B44A52">
      <w:pPr>
        <w:spacing w:line="360" w:lineRule="auto"/>
        <w:rPr>
          <w:rFonts w:ascii="Arial" w:hAnsi="Arial"/>
          <w:sz w:val="24"/>
          <w:szCs w:val="24"/>
        </w:rPr>
      </w:pPr>
      <w:r>
        <w:rPr>
          <w:rFonts w:ascii="Arial" w:eastAsia="Times New Roman" w:hAnsi="Arial" w:cs="Times New Roman"/>
          <w:sz w:val="24"/>
          <w:szCs w:val="24"/>
        </w:rPr>
        <w:t>INTRODUÇÃO</w:t>
      </w:r>
    </w:p>
    <w:p w:rsidR="009D60B7" w:rsidRDefault="00425C09" w:rsidP="00B44A52">
      <w:pPr>
        <w:spacing w:line="360" w:lineRule="auto"/>
        <w:ind w:left="142" w:firstLineChars="365" w:firstLine="876"/>
        <w:jc w:val="both"/>
        <w:rPr>
          <w:rFonts w:ascii="Arial" w:hAnsi="Arial"/>
          <w:sz w:val="24"/>
          <w:szCs w:val="24"/>
        </w:rPr>
      </w:pPr>
      <w:r>
        <w:rPr>
          <w:rFonts w:ascii="Arial" w:eastAsia="Times New Roman" w:hAnsi="Arial" w:cs="Times New Roman"/>
          <w:sz w:val="24"/>
          <w:szCs w:val="24"/>
        </w:rPr>
        <w:t xml:space="preserve">A contemporaneidade assiste a um processo de transição sem precedentes, no qual a fronteira entre a realidade tangível e o ciberespaço se torna cada vez mais tênue, alçando a informação ao status de ativo central da era pós-moderna. Sob a égide da digitalização onipresente, emerge um impasse jurídico de contornos complexos: o destino do acervo de dados e bens virtuais (digitais) após o falecimento de seu titular. </w:t>
      </w:r>
    </w:p>
    <w:p w:rsidR="009D60B7" w:rsidRDefault="00425C09" w:rsidP="00B44A52">
      <w:pPr>
        <w:spacing w:line="360" w:lineRule="auto"/>
        <w:ind w:left="142" w:firstLineChars="365" w:firstLine="876"/>
        <w:jc w:val="both"/>
        <w:rPr>
          <w:rFonts w:ascii="Arial" w:hAnsi="Arial"/>
          <w:sz w:val="24"/>
          <w:szCs w:val="24"/>
        </w:rPr>
      </w:pPr>
      <w:r>
        <w:rPr>
          <w:rFonts w:ascii="Arial" w:eastAsia="Times New Roman" w:hAnsi="Arial" w:cs="Times New Roman"/>
          <w:sz w:val="24"/>
          <w:szCs w:val="24"/>
        </w:rPr>
        <w:t>Dessa forma a problemática cinge na dúvida de como é possível a transmissão de bens digitais após a morte do titular, especialmente considerando a ausência de regulamentação específica no ordenamento jurídico brasileiro e a necessidade de conciliar o direito sucessório com a proteção dos direitos da personalidade, como a intimidade, a privacidade e a dignidade da pessoa humana.</w:t>
      </w:r>
    </w:p>
    <w:p w:rsidR="009D60B7" w:rsidRDefault="00425C09" w:rsidP="00B44A52">
      <w:pPr>
        <w:spacing w:line="360" w:lineRule="auto"/>
        <w:ind w:left="142" w:firstLineChars="365" w:firstLine="876"/>
        <w:jc w:val="both"/>
        <w:rPr>
          <w:rFonts w:ascii="Arial" w:hAnsi="Arial" w:cs="Arial"/>
          <w:spacing w:val="-2"/>
          <w:sz w:val="24"/>
          <w:szCs w:val="24"/>
          <w:lang w:val="pt-BR"/>
        </w:rPr>
        <w:sectPr w:rsidR="009D60B7">
          <w:headerReference w:type="even" r:id="rId193"/>
          <w:headerReference w:type="default" r:id="rId194"/>
          <w:footerReference w:type="even" r:id="rId195"/>
          <w:footerReference w:type="default" r:id="rId196"/>
          <w:headerReference w:type="first" r:id="rId197"/>
          <w:footerReference w:type="first" r:id="rId198"/>
          <w:pgSz w:w="11906" w:h="16838"/>
          <w:pgMar w:top="1460" w:right="1275" w:bottom="1080" w:left="1275" w:header="725" w:footer="896" w:gutter="0"/>
          <w:pgNumType w:start="1"/>
          <w:cols w:space="720"/>
          <w:formProt w:val="0"/>
          <w:docGrid w:linePitch="312" w:charSpace="-2254"/>
        </w:sectPr>
      </w:pPr>
      <w:r>
        <w:rPr>
          <w:rFonts w:ascii="Arial" w:eastAsia="Times New Roman" w:hAnsi="Arial" w:cs="Times New Roman"/>
          <w:sz w:val="24"/>
          <w:szCs w:val="24"/>
        </w:rPr>
        <w:t xml:space="preserve">Diante da crescente digitalização das relações sociais e patrimoniais, questiona-se em que medida é juridicamente possível tal sucessão, haja vista que o </w:t>
      </w:r>
      <w:r>
        <w:rPr>
          <w:rFonts w:ascii="Arial" w:eastAsia="Times New Roman" w:hAnsi="Arial" w:cs="Times New Roman"/>
          <w:sz w:val="24"/>
          <w:szCs w:val="24"/>
        </w:rPr>
        <w:lastRenderedPageBreak/>
        <w:t>direito à herança é garantido constitucionalmente, ao passo em que a proteção da personalidade encontra guarida tanto constitucional, quanto infraconstitucional, no Código Civil vigente</w:t>
      </w:r>
      <w:r>
        <w:rPr>
          <w:rFonts w:ascii="Arial" w:eastAsia="Times New Roman" w:hAnsi="Arial" w:cs="Times New Roman"/>
          <w:sz w:val="24"/>
          <w:szCs w:val="24"/>
          <w:lang w:val="pt-BR"/>
        </w:rPr>
        <w:t>.</w:t>
      </w:r>
    </w:p>
    <w:p w:rsidR="009D60B7" w:rsidRDefault="00425C09" w:rsidP="00B44A52">
      <w:pPr>
        <w:spacing w:line="360" w:lineRule="auto"/>
        <w:ind w:left="-142" w:firstLineChars="365" w:firstLine="876"/>
        <w:jc w:val="both"/>
        <w:rPr>
          <w:rFonts w:ascii="Arial" w:hAnsi="Arial"/>
          <w:sz w:val="24"/>
          <w:szCs w:val="24"/>
        </w:rPr>
      </w:pPr>
      <w:bookmarkStart w:id="30" w:name="_GoBack_Copia_11"/>
      <w:bookmarkEnd w:id="30"/>
      <w:r>
        <w:rPr>
          <w:rFonts w:ascii="Arial" w:eastAsia="Times New Roman" w:hAnsi="Arial" w:cs="Times New Roman"/>
          <w:sz w:val="24"/>
          <w:szCs w:val="24"/>
        </w:rPr>
        <w:t>Neste cenário, a presente pesquisa propõe-se a analisar o instituto da herança digital</w:t>
      </w:r>
      <w:r>
        <w:rPr>
          <w:rFonts w:ascii="Arial" w:eastAsia="Times New Roman" w:hAnsi="Arial" w:cs="Times New Roman"/>
          <w:b/>
          <w:bCs/>
          <w:sz w:val="24"/>
          <w:szCs w:val="24"/>
        </w:rPr>
        <w:t xml:space="preserve"> </w:t>
      </w:r>
      <w:r>
        <w:rPr>
          <w:rFonts w:ascii="Arial" w:eastAsia="Times New Roman" w:hAnsi="Arial" w:cs="Times New Roman"/>
          <w:sz w:val="24"/>
          <w:szCs w:val="24"/>
        </w:rPr>
        <w:t>e seus desdobramentos, perscrutando a viabilidade e os contornos da transmissibilidade desses ativos à luz do Direito das Sucessões e dos Direitos da Personalidade. O cerne do problema reside na manifesta assincronia entre a celeridade das inovações tecnológicas e a inércia do ordenamento jurídico positivado, cuja lacuna normativa precipita um estado de insegurança jurídica tanto para os sucessores quanto para os operadores do Direito.</w:t>
      </w:r>
    </w:p>
    <w:p w:rsidR="009D60B7" w:rsidRDefault="00425C09" w:rsidP="00B44A52">
      <w:pPr>
        <w:spacing w:line="360" w:lineRule="auto"/>
        <w:ind w:firstLineChars="365" w:firstLine="876"/>
        <w:jc w:val="both"/>
        <w:rPr>
          <w:rFonts w:ascii="Arial" w:hAnsi="Arial"/>
          <w:sz w:val="24"/>
          <w:szCs w:val="24"/>
        </w:rPr>
      </w:pPr>
      <w:r>
        <w:rPr>
          <w:rFonts w:ascii="Arial" w:eastAsia="Times New Roman" w:hAnsi="Arial" w:cs="Times New Roman"/>
          <w:sz w:val="24"/>
          <w:szCs w:val="24"/>
        </w:rPr>
        <w:t xml:space="preserve">O tema objeto da pesquisa possui intensa relevância acadêmica, haja vista do ineditismo do tema, ainda não ser altamente estudado pelas faculdades de direito, nem haver grandes estudos acadêmicos no sentido da matéria. A relevância social é ímpar, pois à medida que a sociedade evolui, os bens digitais aumentam em quantidade e em uma escala exponencial, ao ponto de as normas positivadas não o abarcarem de manto jurídico. </w:t>
      </w:r>
    </w:p>
    <w:p w:rsidR="009D60B7" w:rsidRDefault="00425C09" w:rsidP="00B44A52">
      <w:pPr>
        <w:spacing w:line="360" w:lineRule="auto"/>
        <w:ind w:firstLineChars="365" w:firstLine="876"/>
        <w:jc w:val="both"/>
        <w:rPr>
          <w:rFonts w:ascii="Arial" w:hAnsi="Arial"/>
          <w:sz w:val="24"/>
          <w:szCs w:val="24"/>
        </w:rPr>
      </w:pPr>
      <w:r>
        <w:rPr>
          <w:rFonts w:ascii="Arial" w:eastAsia="Times New Roman" w:hAnsi="Arial" w:cs="Times New Roman"/>
          <w:sz w:val="24"/>
          <w:szCs w:val="24"/>
        </w:rPr>
        <w:t>O objetivo geral é analisar a possibilidade, os limites e as implicações jurídicas da herança digital no Brasil, à luz da doutrina, da legislação vigente e da jurisprudência em formação, buscando conciliar o direito sucessório com a proteção dos direitos da personalidade, no que tange os bens digitais, que culminam na herança digital.</w:t>
      </w:r>
    </w:p>
    <w:p w:rsidR="00B44A52" w:rsidRDefault="00425C09" w:rsidP="00B44A52">
      <w:pPr>
        <w:spacing w:line="360" w:lineRule="auto"/>
        <w:ind w:firstLineChars="365" w:firstLine="876"/>
        <w:jc w:val="both"/>
        <w:rPr>
          <w:rFonts w:ascii="Arial" w:hAnsi="Arial"/>
          <w:sz w:val="24"/>
          <w:szCs w:val="24"/>
        </w:rPr>
      </w:pPr>
      <w:r>
        <w:rPr>
          <w:rFonts w:ascii="Arial" w:eastAsia="Times New Roman" w:hAnsi="Arial" w:cs="Times New Roman"/>
          <w:sz w:val="24"/>
          <w:szCs w:val="24"/>
        </w:rPr>
        <w:t>Sequencialmente, os objetivos específicos da pesquisa são: a) investigar o conceito de herança digital e sua classificação entre bens patrimoniais e personalíssimos, b) examinar o tratamento jurídico atual do tema no Brasil, especialmente na decisão do STJ, e c) avaliar a compatibilidade da herança digital com os princípios constitucionais da dignidade da pessoa humana, intimidade e privacidade, comparar soluções legislativas e jurisprudenciais estrangeiras, sugerindo diretrizes para uma futura regulamentação no ordenamento brasileiro.</w:t>
      </w:r>
    </w:p>
    <w:p w:rsidR="009D60B7" w:rsidRDefault="00425C09" w:rsidP="00B44A52">
      <w:pPr>
        <w:spacing w:line="360" w:lineRule="auto"/>
        <w:ind w:firstLineChars="365" w:firstLine="876"/>
        <w:jc w:val="both"/>
        <w:rPr>
          <w:rFonts w:ascii="Arial" w:hAnsi="Arial"/>
          <w:sz w:val="24"/>
          <w:szCs w:val="24"/>
        </w:rPr>
      </w:pPr>
      <w:r>
        <w:rPr>
          <w:rFonts w:ascii="Arial" w:eastAsia="Times New Roman" w:hAnsi="Arial" w:cs="Times New Roman"/>
          <w:color w:val="000000"/>
          <w:sz w:val="24"/>
          <w:szCs w:val="24"/>
        </w:rPr>
        <w:t xml:space="preserve">A abordagem metodológica adotada neste estudo foi baseada em uma pesquisa que envolveu a análise doutrinária e </w:t>
      </w:r>
      <w:r>
        <w:rPr>
          <w:rFonts w:ascii="Arial" w:eastAsia="Times New Roman" w:hAnsi="Arial" w:cs="Times New Roman"/>
          <w:sz w:val="24"/>
          <w:szCs w:val="24"/>
        </w:rPr>
        <w:t>principalmente</w:t>
      </w:r>
      <w:r>
        <w:rPr>
          <w:rFonts w:ascii="Arial" w:eastAsia="Times New Roman" w:hAnsi="Arial" w:cs="Times New Roman"/>
          <w:color w:val="000000"/>
          <w:sz w:val="24"/>
          <w:szCs w:val="24"/>
        </w:rPr>
        <w:t xml:space="preserve"> jurisprudencial, pois no ordenamento jurídico brasileiro não há </w:t>
      </w:r>
      <w:r>
        <w:rPr>
          <w:rFonts w:ascii="Arial" w:eastAsia="Times New Roman" w:hAnsi="Arial" w:cs="Times New Roman"/>
          <w:sz w:val="24"/>
          <w:szCs w:val="24"/>
        </w:rPr>
        <w:t xml:space="preserve">norma </w:t>
      </w:r>
      <w:r>
        <w:rPr>
          <w:rFonts w:ascii="Arial" w:eastAsia="Times New Roman" w:hAnsi="Arial" w:cs="Times New Roman"/>
          <w:color w:val="000000"/>
          <w:sz w:val="24"/>
          <w:szCs w:val="24"/>
        </w:rPr>
        <w:t xml:space="preserve">que discipline de modo específico a herança digital. Para sustentar a pesquisa, adotou-se julgado do STJ sobre o tema, além das mais relevantes e recentes doutrinas acerca da herança digital e seu modo de </w:t>
      </w:r>
      <w:r>
        <w:rPr>
          <w:rFonts w:ascii="Arial" w:eastAsia="Times New Roman" w:hAnsi="Arial" w:cs="Times New Roman"/>
          <w:sz w:val="24"/>
          <w:szCs w:val="24"/>
        </w:rPr>
        <w:t>sucessão</w:t>
      </w:r>
      <w:r>
        <w:rPr>
          <w:rFonts w:ascii="Arial" w:eastAsia="Times New Roman" w:hAnsi="Arial" w:cs="Times New Roman"/>
          <w:color w:val="000000"/>
          <w:sz w:val="24"/>
          <w:szCs w:val="24"/>
        </w:rPr>
        <w:t xml:space="preserve">. </w:t>
      </w:r>
    </w:p>
    <w:p w:rsidR="009D60B7" w:rsidRDefault="00425C09" w:rsidP="00B44A52">
      <w:pPr>
        <w:spacing w:line="360" w:lineRule="auto"/>
        <w:ind w:right="146" w:firstLineChars="365" w:firstLine="876"/>
        <w:jc w:val="both"/>
        <w:rPr>
          <w:rFonts w:ascii="Arial" w:hAnsi="Arial"/>
          <w:sz w:val="24"/>
          <w:szCs w:val="24"/>
        </w:rPr>
      </w:pPr>
      <w:r>
        <w:rPr>
          <w:rFonts w:ascii="Arial" w:eastAsia="Times New Roman" w:hAnsi="Arial" w:cs="Times New Roman"/>
          <w:color w:val="000000"/>
          <w:sz w:val="24"/>
          <w:szCs w:val="24"/>
        </w:rPr>
        <w:t xml:space="preserve">O estudo está organizado em três tópicos, que de modo cronológico explanam o tema da pesquisa, inicialmente entabulando seus conceitos originários, </w:t>
      </w:r>
      <w:r>
        <w:rPr>
          <w:rFonts w:ascii="Arial" w:eastAsia="Times New Roman" w:hAnsi="Arial" w:cs="Times New Roman"/>
          <w:color w:val="000000"/>
          <w:sz w:val="24"/>
          <w:szCs w:val="24"/>
        </w:rPr>
        <w:lastRenderedPageBreak/>
        <w:t>fundamentando-os de acordo com a sistemática civilista brasileira. Em sequência, o segundo tópico aborda o que se tem da herança digital no ordenamento jurídico pátrio, o desenvolvimento finda no tópico terceiro, cujas perspectivas e os desafios da sucessão digital são postos em análise acadêmica, examinando seus impactos na sociedade, e futuras respostas que, quando da evolução do tema, surgirão para a comunidade.</w:t>
      </w:r>
    </w:p>
    <w:p w:rsidR="009D60B7" w:rsidRDefault="009D60B7" w:rsidP="00B44A52">
      <w:pPr>
        <w:spacing w:line="360" w:lineRule="auto"/>
        <w:jc w:val="both"/>
        <w:rPr>
          <w:rFonts w:ascii="Arial" w:eastAsia="Times New Roman" w:hAnsi="Arial" w:cs="Times New Roman"/>
          <w:sz w:val="24"/>
          <w:szCs w:val="24"/>
        </w:rPr>
      </w:pPr>
    </w:p>
    <w:p w:rsidR="009D60B7" w:rsidRPr="00654F65" w:rsidRDefault="00425C09" w:rsidP="00B44A52">
      <w:pPr>
        <w:spacing w:line="360" w:lineRule="auto"/>
        <w:jc w:val="both"/>
        <w:rPr>
          <w:rFonts w:ascii="Arial" w:hAnsi="Arial"/>
          <w:bCs/>
          <w:sz w:val="24"/>
          <w:szCs w:val="24"/>
        </w:rPr>
      </w:pPr>
      <w:r w:rsidRPr="00654F65">
        <w:rPr>
          <w:rFonts w:ascii="Arial" w:eastAsia="Times New Roman" w:hAnsi="Arial" w:cs="Times New Roman"/>
          <w:bCs/>
          <w:sz w:val="24"/>
          <w:szCs w:val="24"/>
        </w:rPr>
        <w:t>1 O DIREITO DAS SUCESSÕES E OS DIREITOS DA PERSONALIDADE</w:t>
      </w:r>
    </w:p>
    <w:p w:rsidR="009D60B7"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 xml:space="preserve">A pesquisa objetiva aclarar a herança digital e apresentar os desafios de sua sucessão. Como etapa inicial é indispensável destacar os fundamentos do direito sucessório do Código Civil (2002) vigente, bem como a perda da personalidade com a morte, os seus efeitos </w:t>
      </w:r>
      <w:r>
        <w:rPr>
          <w:rFonts w:ascii="Arial" w:eastAsia="Times New Roman" w:hAnsi="Arial" w:cs="Times New Roman"/>
          <w:i/>
          <w:iCs/>
          <w:sz w:val="24"/>
          <w:szCs w:val="24"/>
        </w:rPr>
        <w:t>post mortem</w:t>
      </w:r>
      <w:r>
        <w:rPr>
          <w:rFonts w:ascii="Arial" w:eastAsia="Times New Roman" w:hAnsi="Arial" w:cs="Times New Roman"/>
          <w:sz w:val="24"/>
          <w:szCs w:val="24"/>
        </w:rPr>
        <w:t xml:space="preserve">, os quais originam a sua transmissão, e na sucessão dos bens, a sua distinção entre material e imaterial. </w:t>
      </w:r>
    </w:p>
    <w:p w:rsidR="009D60B7"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 xml:space="preserve">A palavra sucessão tem origem latina e remete a ideia de algo ou alguém que será o seu próximo titular, exercendo sobre aquela coisa as mesmas obrigações e direitos que o seu anterior dono. A palavra tem por objetivo no direito sucessório brasileiro, esculpir a ideia de que o herdeiro tem o direito de adquirir o bem do falecido. </w:t>
      </w:r>
    </w:p>
    <w:p w:rsidR="009D60B7"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De acordo com Gonçalves (2022), o fenômeno sucessório constitui uma relação jurídica multifacetada, composta por etapas cronológicas que vão desde a abertura da sucessão pela morte do autor até a aceitação final pelo herdeiro. Esse processo garante que, apesar da alteração subjetiva em um dos polos da relação, o objeto jurídico permaneça intacto. Assim, a substituição dos sujeitos não compromete a integridade da relação originária, que mantém sua substância inalterada.</w:t>
      </w:r>
    </w:p>
    <w:p w:rsidR="009D60B7"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 xml:space="preserve">Nas raízes que fundamentam o direito das sucessões, o Brasil adotou o princípio de </w:t>
      </w:r>
      <w:r>
        <w:rPr>
          <w:rFonts w:ascii="Arial" w:eastAsia="Times New Roman" w:hAnsi="Arial" w:cs="Times New Roman"/>
          <w:i/>
          <w:iCs/>
          <w:sz w:val="24"/>
          <w:szCs w:val="24"/>
        </w:rPr>
        <w:t>saisine</w:t>
      </w:r>
      <w:r>
        <w:rPr>
          <w:rFonts w:ascii="Arial" w:eastAsia="Times New Roman" w:hAnsi="Arial" w:cs="Times New Roman"/>
          <w:sz w:val="24"/>
          <w:szCs w:val="24"/>
        </w:rPr>
        <w:t xml:space="preserve">, oriundo do civilismo francês, cujo tratamento está explícito no art. 1.784 do CC: </w:t>
      </w:r>
      <w:r>
        <w:rPr>
          <w:rFonts w:ascii="Arial" w:eastAsia="Times New Roman" w:hAnsi="Arial" w:cs="Times New Roman"/>
          <w:i/>
          <w:iCs/>
          <w:sz w:val="24"/>
          <w:szCs w:val="24"/>
        </w:rPr>
        <w:t>“</w:t>
      </w:r>
      <w:r>
        <w:rPr>
          <w:rFonts w:ascii="Arial" w:eastAsia="Times New Roman" w:hAnsi="Arial" w:cs="Times New Roman"/>
          <w:sz w:val="24"/>
          <w:szCs w:val="24"/>
        </w:rPr>
        <w:t>Aberta a sucessão, a herança transmite-se, desde logo, aos herdeiros legítimos e testamentários</w:t>
      </w:r>
      <w:r>
        <w:rPr>
          <w:rFonts w:ascii="Arial" w:eastAsia="Times New Roman" w:hAnsi="Arial" w:cs="Times New Roman"/>
          <w:i/>
          <w:iCs/>
          <w:sz w:val="24"/>
          <w:szCs w:val="24"/>
        </w:rPr>
        <w:t>” (</w:t>
      </w:r>
      <w:r>
        <w:rPr>
          <w:rFonts w:ascii="Arial" w:eastAsia="Times New Roman" w:hAnsi="Arial" w:cs="Times New Roman"/>
          <w:sz w:val="24"/>
          <w:szCs w:val="24"/>
        </w:rPr>
        <w:t>2002,</w:t>
      </w:r>
      <w:r>
        <w:rPr>
          <w:rFonts w:ascii="Arial" w:eastAsia="Times New Roman" w:hAnsi="Arial" w:cs="Times New Roman"/>
          <w:i/>
          <w:iCs/>
          <w:sz w:val="24"/>
          <w:szCs w:val="24"/>
        </w:rPr>
        <w:t xml:space="preserve"> online)</w:t>
      </w:r>
      <w:r>
        <w:rPr>
          <w:rFonts w:ascii="Arial" w:eastAsia="Times New Roman" w:hAnsi="Arial" w:cs="Times New Roman"/>
          <w:sz w:val="24"/>
          <w:szCs w:val="24"/>
        </w:rPr>
        <w:t xml:space="preserve">, ou seja, com arrimo no que disse Gonçalves, o direito brasileiro adota a transmissão automática dos bens, quando do falecimento do autor da herança, sendo assim, de modo imediato se transmite a posse dos bens aos sucessores. </w:t>
      </w:r>
    </w:p>
    <w:p w:rsidR="00B44A52"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 xml:space="preserve">De modo geral, o direito sucessório regula e disciplina o destino dos ativos e passivos do </w:t>
      </w:r>
      <w:r>
        <w:rPr>
          <w:rFonts w:ascii="Arial" w:eastAsia="Times New Roman" w:hAnsi="Arial" w:cs="Times New Roman"/>
          <w:i/>
          <w:iCs/>
          <w:sz w:val="24"/>
          <w:szCs w:val="24"/>
        </w:rPr>
        <w:t>de cujus</w:t>
      </w:r>
      <w:r>
        <w:rPr>
          <w:rFonts w:ascii="Arial" w:eastAsia="Times New Roman" w:hAnsi="Arial" w:cs="Times New Roman"/>
          <w:sz w:val="24"/>
          <w:szCs w:val="24"/>
        </w:rPr>
        <w:t>, pois sua ideia remete a defesa da propriedade, como acentua Dias “o direito sucessório tem sua razão de ser no direito de propriedade, conjugado ao direito das famílias” (2009, p. 50), é de interesse dos legatários que o patrimônio do falecido seja integrado aos seus. Desta forma, com a perda da personalidade pela morte, desencadeiam-se inúmeros efeitos jurídicos, os quais refletem diretamente na sucessão.</w:t>
      </w:r>
    </w:p>
    <w:p w:rsidR="00B44A52"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lastRenderedPageBreak/>
        <w:t xml:space="preserve">Nesse sentido, as conceituações de sujeito de direitos são disciplinadas pelo Código Civil (2002) que delimita o momento inicial e final da personalidade jurídica, ou seja, o diploma civil indica o momento do nascimento e da morte da pessoa. De acordo com o artigo 2º, a personalidade começa com o nascimento com vida, enquanto o artigo 6º inserido no Código Civil (2002) estabelece que ela se extingue com a morte. </w:t>
      </w:r>
    </w:p>
    <w:p w:rsidR="00B44A52"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 xml:space="preserve">A legislação civil não detalha critérios para a constatação do óbito, excetuando-se as normas específicas relativas à remoção de órgãos para transplante, previstas em legislação própria. Cabe ao profissional médico declarar e certificar a morte, mediante o preenchimento da respectiva declaração de óbito, conforme as exigências reguladas por norma específica. </w:t>
      </w:r>
    </w:p>
    <w:p w:rsidR="00B44A52"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 xml:space="preserve">Em regra, a causa </w:t>
      </w:r>
      <w:r>
        <w:rPr>
          <w:rFonts w:ascii="Arial" w:eastAsia="Times New Roman" w:hAnsi="Arial" w:cs="Times New Roman"/>
          <w:i/>
          <w:iCs/>
          <w:sz w:val="24"/>
          <w:szCs w:val="24"/>
        </w:rPr>
        <w:t>mortis</w:t>
      </w:r>
      <w:r>
        <w:rPr>
          <w:rFonts w:ascii="Arial" w:eastAsia="Times New Roman" w:hAnsi="Arial" w:cs="Times New Roman"/>
          <w:sz w:val="24"/>
          <w:szCs w:val="24"/>
        </w:rPr>
        <w:t xml:space="preserve"> não assume relevância no âmbito do direito privado, salvo quando produz efeitos jurídicos determinados, como nos casos de responsabilidade civil ou de pagamento de indenização securitária. Para fins sucessórios, a motivação do falecimento é, via de regra, irrelevante, excetuadas as situações de indignidade ou deserdação previstas nos artigos 1.814, I, 1.961 e 1.962 do Código Civil (Teixeira e Leal, 2022, p. 8).</w:t>
      </w:r>
    </w:p>
    <w:p w:rsidR="009D60B7" w:rsidRPr="00B44A52" w:rsidRDefault="00425C09" w:rsidP="00B44A52">
      <w:pPr>
        <w:spacing w:line="360" w:lineRule="auto"/>
        <w:ind w:firstLine="851"/>
        <w:jc w:val="both"/>
        <w:rPr>
          <w:rFonts w:ascii="Arial" w:eastAsia="Times New Roman" w:hAnsi="Arial" w:cs="Times New Roman"/>
          <w:sz w:val="24"/>
          <w:szCs w:val="24"/>
        </w:rPr>
      </w:pPr>
      <w:r>
        <w:rPr>
          <w:rFonts w:ascii="Arial" w:eastAsia="Times New Roman" w:hAnsi="Arial" w:cs="Times New Roman"/>
          <w:sz w:val="24"/>
          <w:szCs w:val="24"/>
        </w:rPr>
        <w:t>A perda da personalidade de uma pessoa, dá aos seus herdeiros o direito a receber a herança, é</w:t>
      </w:r>
      <w:r>
        <w:rPr>
          <w:rFonts w:ascii="Arial" w:eastAsia="Times New Roman" w:hAnsi="Arial" w:cs="Times New Roman"/>
          <w:sz w:val="24"/>
          <w:szCs w:val="24"/>
          <w:lang w:val="pt-BR"/>
        </w:rPr>
        <w:t xml:space="preserve"> </w:t>
      </w:r>
      <w:r>
        <w:rPr>
          <w:rFonts w:ascii="Arial" w:eastAsia="Times New Roman" w:hAnsi="Arial" w:cs="Times New Roman"/>
          <w:sz w:val="24"/>
          <w:szCs w:val="24"/>
        </w:rPr>
        <w:t xml:space="preserve">saudável frisar, o direito à herança é revestido de proteção constitucional, vez essa que a Carta da República (1988, </w:t>
      </w:r>
      <w:r>
        <w:rPr>
          <w:rFonts w:ascii="Arial" w:eastAsia="Times New Roman" w:hAnsi="Arial" w:cs="Times New Roman"/>
          <w:i/>
          <w:iCs/>
          <w:sz w:val="24"/>
          <w:szCs w:val="24"/>
        </w:rPr>
        <w:t>online</w:t>
      </w:r>
      <w:r>
        <w:rPr>
          <w:rFonts w:ascii="Arial" w:eastAsia="Times New Roman" w:hAnsi="Arial" w:cs="Times New Roman"/>
          <w:sz w:val="24"/>
          <w:szCs w:val="24"/>
        </w:rPr>
        <w:t xml:space="preserve">) assegura esse direito: </w:t>
      </w:r>
    </w:p>
    <w:p w:rsidR="009D60B7" w:rsidRDefault="00425C09" w:rsidP="00B44A52">
      <w:pPr>
        <w:ind w:left="2268"/>
        <w:jc w:val="both"/>
        <w:rPr>
          <w:rFonts w:ascii="Arial" w:hAnsi="Arial"/>
          <w:sz w:val="20"/>
          <w:szCs w:val="20"/>
        </w:rPr>
      </w:pPr>
      <w:r>
        <w:rPr>
          <w:rFonts w:ascii="Arial" w:eastAsia="Times New Roman" w:hAnsi="Arial" w:cs="Times New Roman"/>
          <w:sz w:val="20"/>
          <w:szCs w:val="20"/>
        </w:rPr>
        <w:t>Art. 5º Todos são iguais perante a lei, sem distinção de qualquer natureza, garantindo-se aos brasileiros e aos estrangeiros residentes no País a inviolabilidade do direito à vida, à liberdade, à igualdade, à segurança e à propriedade, nos termos seguintes:</w:t>
      </w:r>
    </w:p>
    <w:p w:rsidR="009D60B7" w:rsidRDefault="00425C09" w:rsidP="00B44A52">
      <w:pPr>
        <w:ind w:left="2268"/>
        <w:jc w:val="both"/>
        <w:rPr>
          <w:rFonts w:ascii="Arial" w:hAnsi="Arial"/>
          <w:sz w:val="20"/>
          <w:szCs w:val="20"/>
        </w:rPr>
      </w:pPr>
      <w:r>
        <w:rPr>
          <w:rFonts w:ascii="Arial" w:eastAsia="Times New Roman" w:hAnsi="Arial" w:cs="Times New Roman"/>
          <w:sz w:val="20"/>
          <w:szCs w:val="20"/>
        </w:rPr>
        <w:t>[...]</w:t>
      </w:r>
    </w:p>
    <w:p w:rsidR="009D60B7" w:rsidRDefault="00425C09" w:rsidP="00B44A52">
      <w:pPr>
        <w:ind w:left="2268"/>
        <w:jc w:val="both"/>
        <w:rPr>
          <w:rFonts w:ascii="Arial" w:hAnsi="Arial"/>
          <w:sz w:val="20"/>
          <w:szCs w:val="20"/>
        </w:rPr>
      </w:pPr>
      <w:r>
        <w:rPr>
          <w:rFonts w:ascii="Arial" w:eastAsia="Times New Roman" w:hAnsi="Arial" w:cs="Times New Roman"/>
          <w:sz w:val="20"/>
          <w:szCs w:val="20"/>
        </w:rPr>
        <w:t>XXX - é garantido o direito de herança;</w:t>
      </w:r>
    </w:p>
    <w:p w:rsidR="009D60B7" w:rsidRDefault="009D60B7" w:rsidP="00B44A52">
      <w:pPr>
        <w:jc w:val="both"/>
        <w:rPr>
          <w:rFonts w:ascii="Arial" w:eastAsia="Times New Roman" w:hAnsi="Arial" w:cs="Times New Roman"/>
          <w:sz w:val="20"/>
          <w:szCs w:val="20"/>
        </w:rPr>
      </w:pPr>
    </w:p>
    <w:p w:rsidR="009D60B7" w:rsidRDefault="00425C09" w:rsidP="00B44A52">
      <w:pPr>
        <w:spacing w:line="360" w:lineRule="auto"/>
        <w:ind w:leftChars="64" w:left="141" w:firstLineChars="220" w:firstLine="528"/>
        <w:jc w:val="both"/>
        <w:rPr>
          <w:rFonts w:ascii="Arial" w:eastAsia="Times New Roman" w:hAnsi="Arial" w:cs="Times New Roman"/>
          <w:sz w:val="20"/>
          <w:szCs w:val="20"/>
        </w:rPr>
      </w:pPr>
      <w:r>
        <w:rPr>
          <w:rFonts w:ascii="Arial" w:eastAsia="Times New Roman" w:hAnsi="Arial" w:cs="Times New Roman"/>
          <w:sz w:val="24"/>
          <w:szCs w:val="24"/>
        </w:rPr>
        <w:t>Impede afirmar que em se tratando da herança, há um direito civil-constitucional, que lhe disciplina e assegura, pois ao envolver a personalidade, não se fala simplesmente de um direito, mas de um valor, é como diz Perlingieri:</w:t>
      </w:r>
    </w:p>
    <w:p w:rsidR="009D60B7" w:rsidRDefault="00425C09" w:rsidP="00B44A52">
      <w:pPr>
        <w:ind w:left="2268"/>
        <w:jc w:val="both"/>
        <w:rPr>
          <w:rFonts w:ascii="Arial" w:hAnsi="Arial"/>
          <w:sz w:val="20"/>
          <w:szCs w:val="20"/>
        </w:rPr>
      </w:pPr>
      <w:r>
        <w:rPr>
          <w:rFonts w:ascii="Arial" w:eastAsia="Times New Roman" w:hAnsi="Arial" w:cs="Times New Roman"/>
          <w:sz w:val="20"/>
          <w:szCs w:val="20"/>
        </w:rPr>
        <w:t>A personalidade é, portanto, não um direito, mas um valor (o valor fundamental do ordenamento jurídico) e está na base de uma série aberta de situações existenciais nas quais se traduz a sua incessante mutável exigência de tutela. Tais situações subjetivas não assumem necessariamente a forma do direito subjetivo e não devem fazer perder de vista a unidade do valor envolvido. (Perlingieri, 2002, p. 155-156).</w:t>
      </w:r>
    </w:p>
    <w:p w:rsidR="009D60B7" w:rsidRDefault="009D60B7" w:rsidP="00B44A52">
      <w:pPr>
        <w:spacing w:line="360" w:lineRule="auto"/>
        <w:jc w:val="both"/>
        <w:rPr>
          <w:rFonts w:ascii="Arial" w:eastAsia="Times New Roman" w:hAnsi="Arial" w:cs="Times New Roman"/>
          <w:sz w:val="20"/>
          <w:szCs w:val="20"/>
        </w:rPr>
      </w:pP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Portanto, com a perda deste valor, insurge no campo do direito inúmeros efeitos jurídicos, que vão desde a perda da personalidade até a transmissão da herança, com a sua respectiva incorporação ao patrimônio dos herdeiros.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Nesta seara de efeitos jurídicos </w:t>
      </w:r>
      <w:r>
        <w:rPr>
          <w:rFonts w:ascii="Arial" w:eastAsia="Times New Roman" w:hAnsi="Arial" w:cs="Times New Roman"/>
          <w:i/>
          <w:iCs/>
          <w:sz w:val="24"/>
          <w:szCs w:val="24"/>
        </w:rPr>
        <w:t>post mortem</w:t>
      </w:r>
      <w:r>
        <w:rPr>
          <w:rFonts w:ascii="Arial" w:eastAsia="Times New Roman" w:hAnsi="Arial" w:cs="Times New Roman"/>
          <w:sz w:val="24"/>
          <w:szCs w:val="24"/>
        </w:rPr>
        <w:t xml:space="preserve">, os bens digitais sofrem relevante influência do direito, pois como quantificar ou indicar o valor do bem presente no meio </w:t>
      </w:r>
      <w:r>
        <w:rPr>
          <w:rFonts w:ascii="Arial" w:eastAsia="Times New Roman" w:hAnsi="Arial" w:cs="Times New Roman"/>
          <w:sz w:val="24"/>
          <w:szCs w:val="24"/>
        </w:rPr>
        <w:lastRenderedPageBreak/>
        <w:t xml:space="preserve">digital? E como o bem digital pode ser inventariado? A resposta não é simples, pois a tutela do direito sucessório, esculpida no Diploma Civil de 2002, não abarcou, à época em que promulgado, os bens componentes da era virtual.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Em se tratando da herança digital, não se pode afirmar com veemência, que a personalidade se extingue imediatamente, isso se o </w:t>
      </w:r>
      <w:r>
        <w:rPr>
          <w:rFonts w:ascii="Arial" w:eastAsia="Times New Roman" w:hAnsi="Arial" w:cs="Times New Roman"/>
          <w:i/>
          <w:iCs/>
          <w:sz w:val="24"/>
          <w:szCs w:val="24"/>
        </w:rPr>
        <w:t>de cujus</w:t>
      </w:r>
      <w:r>
        <w:rPr>
          <w:rFonts w:ascii="Arial" w:eastAsia="Times New Roman" w:hAnsi="Arial" w:cs="Times New Roman"/>
          <w:sz w:val="24"/>
          <w:szCs w:val="24"/>
        </w:rPr>
        <w:t xml:space="preserve"> possuir redes sociais com grande quantidade de seguidores, ou páginas na internet que sigam determinado tema, pode-se ratificar que vários usuários manterão a sua memória, e todos aqueles registros feitos pelo autor da herança, quando vivo. Gerando, à primeira vista, uma possível contrariedade no que tange o término da personalidade com a morte.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Dado a peculiaridade que a internet possui, qual seja, o seu caráter permanente, aquele de manter no tempo os registros feitos, isso origina um centro de interesse que pode ter caráter patrimonial, desencadeando um grande efeito jurídico quando se trata da sucessão desse patrimônio.</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Não há como tecer uma resposta unívoca para a pergunta formulada acima, pois os elementos positivados no sistema sucessório são parcos a seu respeito, devendo o operador do direito, quando confrontado com esta situação, recorrer ao estudo jurisprudencial sobre o tema, bem como as definições doutrinárias sobre a sistemática da herança digital.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Pois na era digital, se tratando dos bens virtuais não se pode concluir que morte biológica encerra todas as questões jurídicas do indivíduo, especialmente as de cunho não financeiro. É preciso avaliar cada uma dessas situações isoladamente para validar sua proteção legal após a morte. É importante notar que, por serem interesses que não podem ser transferidos a herdeiros (intransmissíveis), não se aplica aqui o direito sucessório comum. A tutela, nesse caso, foca na relevância social do conteúdo e deve ser exercida por pessoas autorizadas pela lei a atuar em defesa desse patrimônio imaterial, é como se verá a frente, pois existe julgado sobre o “inventariante digital”, pessoa àquela capaz de promover a sucessão dos bens digitais</w:t>
      </w:r>
      <w:r w:rsidR="00B44A52">
        <w:rPr>
          <w:rFonts w:ascii="Arial" w:eastAsia="Times New Roman" w:hAnsi="Arial" w:cs="Times New Roman"/>
          <w:sz w:val="24"/>
          <w:szCs w:val="24"/>
        </w:rPr>
        <w:t>.</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Na problemática da transmissão envolvendo a personalidade, o Vernáculo Civil brasileiro tece que, os direitos da personalidade são intransmissíveis, salvo às exceções previstas em lei (Brasil, 2002), indo de encontro com a real prática jurídica vivenciada hoje, pois as exceções se dilataram com o tempo, devido ao grande avanço da era digital.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A exemplo da problemática, deve-se frisar aquelas situações em que, o </w:t>
      </w:r>
      <w:r>
        <w:rPr>
          <w:rFonts w:ascii="Arial" w:eastAsia="Times New Roman" w:hAnsi="Arial" w:cs="Times New Roman"/>
          <w:i/>
          <w:iCs/>
          <w:sz w:val="24"/>
          <w:szCs w:val="24"/>
        </w:rPr>
        <w:t>de cujus</w:t>
      </w:r>
      <w:r>
        <w:rPr>
          <w:rFonts w:ascii="Arial" w:eastAsia="Times New Roman" w:hAnsi="Arial" w:cs="Times New Roman"/>
          <w:sz w:val="24"/>
          <w:szCs w:val="24"/>
        </w:rPr>
        <w:t xml:space="preserve"> possuía perfil em redes sociais que lhe davam rendimentos em dinheiro (monetização), falecendo o titular daquele perfil, e permanecendo no perfil as suas fotos e registros, o que pode levantar dúvidas se a sua personalidade será resguardada quando de sua </w:t>
      </w:r>
      <w:r>
        <w:rPr>
          <w:rFonts w:ascii="Arial" w:eastAsia="Times New Roman" w:hAnsi="Arial" w:cs="Times New Roman"/>
          <w:sz w:val="24"/>
          <w:szCs w:val="24"/>
        </w:rPr>
        <w:lastRenderedPageBreak/>
        <w:t xml:space="preserve">morte.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Isto porque o inventário de bens digitais ganha cada dia mais atenção, por ser viável economicamente ao Estado, pois perfis em redes sociais podem angariar bastante dinheiro e, </w:t>
      </w:r>
      <w:r>
        <w:rPr>
          <w:rFonts w:ascii="Arial" w:hAnsi="Arial" w:cs="Times New Roman"/>
          <w:sz w:val="24"/>
          <w:szCs w:val="24"/>
        </w:rPr>
        <w:t>sob uma análise econômica, a regra da intransmissibilidade não parece a mais eficiente, pois pode o Estado deixar de angariar em seu favor.</w:t>
      </w:r>
    </w:p>
    <w:p w:rsidR="00B44A52" w:rsidRDefault="00425C09" w:rsidP="00B44A52">
      <w:pPr>
        <w:spacing w:line="360" w:lineRule="auto"/>
        <w:ind w:firstLineChars="348" w:firstLine="835"/>
        <w:jc w:val="both"/>
        <w:rPr>
          <w:rFonts w:ascii="Arial" w:hAnsi="Arial" w:cs="Times New Roman"/>
          <w:sz w:val="24"/>
          <w:szCs w:val="24"/>
        </w:rPr>
      </w:pPr>
      <w:r>
        <w:rPr>
          <w:rFonts w:ascii="Arial" w:eastAsia="Times New Roman" w:hAnsi="Arial" w:cs="Times New Roman"/>
          <w:sz w:val="24"/>
          <w:szCs w:val="24"/>
        </w:rPr>
        <w:t xml:space="preserve">Em tempo não tão distante, e como forma de sopesar a viabilidade econômica desses bens puramente digitais, é </w:t>
      </w:r>
      <w:r>
        <w:rPr>
          <w:rFonts w:ascii="Arial" w:hAnsi="Arial" w:cs="Times New Roman"/>
          <w:sz w:val="24"/>
          <w:szCs w:val="24"/>
        </w:rPr>
        <w:t>comum aumentar a quantidade de acessos e de seguidores de perfis sociais após a morte de seus titulares, como no caso do cantor Gabriel Diniz, que recebeu setecentos mil seguidores somente nas primeiras dez horas após o seu falecimento, e no caso da modelo Caroline Bittencourt, que dobrou o número de seguidores depois de seu óbito.</w:t>
      </w:r>
    </w:p>
    <w:p w:rsidR="00B44A52" w:rsidRDefault="00425C09" w:rsidP="00B44A52">
      <w:pPr>
        <w:spacing w:line="360" w:lineRule="auto"/>
        <w:ind w:firstLineChars="348" w:firstLine="835"/>
        <w:jc w:val="both"/>
        <w:rPr>
          <w:rFonts w:ascii="Arial" w:hAnsi="Arial"/>
          <w:sz w:val="24"/>
          <w:szCs w:val="24"/>
        </w:rPr>
      </w:pPr>
      <w:r>
        <w:rPr>
          <w:rFonts w:ascii="Arial" w:hAnsi="Arial" w:cs="Times New Roman"/>
          <w:sz w:val="24"/>
          <w:szCs w:val="24"/>
        </w:rPr>
        <w:t>Esses elementos reforçam a relevância da presente investigação, uma vez que a viabilidade econômica dos perfis em redes sociais encontra-se diretamente vinculada ao volume de audiência, mensurado por acessos e número de seguidores. Em termos objetivos, se tais páginas já apresentavam potencial de monetização antes do falecimento de seus titulares, o aumento subsequente no engajamento e na ba</w:t>
      </w:r>
      <w:r>
        <w:rPr>
          <w:rFonts w:ascii="Arial" w:hAnsi="Arial" w:cs="Times New Roman"/>
          <w:sz w:val="24"/>
          <w:szCs w:val="24"/>
          <w:lang w:val="pt-BR"/>
        </w:rPr>
        <w:t>s</w:t>
      </w:r>
      <w:r>
        <w:rPr>
          <w:rFonts w:ascii="Arial" w:hAnsi="Arial" w:cs="Times New Roman"/>
          <w:sz w:val="24"/>
          <w:szCs w:val="24"/>
        </w:rPr>
        <w:t>e de seguidores implica, de forma inequívoca, a ampliação de seu valor econômico.</w:t>
      </w:r>
    </w:p>
    <w:p w:rsidR="00B44A52" w:rsidRDefault="00425C09" w:rsidP="00B44A52">
      <w:pPr>
        <w:spacing w:line="360" w:lineRule="auto"/>
        <w:ind w:firstLineChars="348" w:firstLine="835"/>
        <w:jc w:val="both"/>
        <w:rPr>
          <w:rFonts w:ascii="Arial" w:hAnsi="Arial"/>
          <w:sz w:val="24"/>
          <w:szCs w:val="24"/>
        </w:rPr>
      </w:pPr>
      <w:r>
        <w:rPr>
          <w:rFonts w:ascii="Arial" w:hAnsi="Arial" w:cs="Times New Roman"/>
          <w:sz w:val="24"/>
          <w:szCs w:val="24"/>
        </w:rPr>
        <w:t>Irrompe daí a dúvida, há limites para a transmissão desse patrimônio após a morte do titular da herança? Cumpre salientar que a tutela pós-morte de determinados bens da personalidade refere-se à salvaguarda de interesses inerentes ao próprio indivíduo, cuja proteção já se impunha em vida, especialmente quanto aos atributos que o singularizavam como ser humano. Trata-se do reconhecimento de que a dignidade não se extingue com o falecimento, projetando-se sobre o corpo sem vida e sobre a memória do falecido. Assim, tanto os despojos mortais quanto a honra e a imagem remanescente devem receber o mesmo tratamento respeitoso que era devido à pessoa enquanto viva, em consonância com o princípio da dignidade da pessoa humana.</w:t>
      </w:r>
    </w:p>
    <w:p w:rsidR="00B44A52" w:rsidRDefault="00425C09" w:rsidP="00B44A52">
      <w:pPr>
        <w:spacing w:line="360" w:lineRule="auto"/>
        <w:ind w:firstLineChars="348" w:firstLine="835"/>
        <w:jc w:val="both"/>
        <w:rPr>
          <w:rFonts w:ascii="Arial" w:hAnsi="Arial"/>
          <w:sz w:val="24"/>
          <w:szCs w:val="24"/>
        </w:rPr>
      </w:pPr>
      <w:r>
        <w:rPr>
          <w:rFonts w:ascii="Arial" w:hAnsi="Arial" w:cs="Times New Roman"/>
          <w:sz w:val="24"/>
          <w:szCs w:val="24"/>
        </w:rPr>
        <w:t>Ainda que se verifique as normativas à respeito da proteção que se dá ao falecido, ela não é satisfat</w:t>
      </w:r>
      <w:r>
        <w:rPr>
          <w:rFonts w:ascii="Arial" w:hAnsi="Arial" w:cs="Times New Roman"/>
          <w:sz w:val="24"/>
          <w:szCs w:val="24"/>
          <w:lang w:val="pt-BR"/>
        </w:rPr>
        <w:t>ória</w:t>
      </w:r>
      <w:r>
        <w:rPr>
          <w:rFonts w:ascii="Arial" w:hAnsi="Arial" w:cs="Times New Roman"/>
          <w:sz w:val="24"/>
          <w:szCs w:val="24"/>
        </w:rPr>
        <w:t xml:space="preserve"> para aplicar a tutela jurídica da proteção </w:t>
      </w:r>
      <w:r>
        <w:rPr>
          <w:rFonts w:ascii="Arial" w:hAnsi="Arial" w:cs="Times New Roman"/>
          <w:i/>
          <w:iCs/>
          <w:sz w:val="24"/>
          <w:szCs w:val="24"/>
        </w:rPr>
        <w:t>post mortem</w:t>
      </w:r>
      <w:r>
        <w:rPr>
          <w:rFonts w:ascii="Arial" w:hAnsi="Arial" w:cs="Times New Roman"/>
          <w:sz w:val="24"/>
          <w:szCs w:val="24"/>
        </w:rPr>
        <w:t xml:space="preserve">, quando se trata dos bens digitais, pois o lapso temporal da promulgação entre Código Civil (2002) e a sistemática dos bens digitais, são muito distantes, assim sendo, o operador do direito deve se valer da jurisprudência e da doutrina, porque as noções atuais de patrimônio transmissível são muito vastas. </w:t>
      </w:r>
    </w:p>
    <w:p w:rsidR="00B44A52"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Antes de iniciar o tópico dois do presente artigo, tendo em vista a multiplicidade das formas de se angariar patrimônio, faz-se necessário distinguir o patrimônio material do imaterial, em se tratando de bens digitais, pois ambos podem compor o espólio.</w:t>
      </w:r>
    </w:p>
    <w:p w:rsidR="009D60B7"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lastRenderedPageBreak/>
        <w:t xml:space="preserve">A distinção é necessária porque os operadores do direito, na maioria das vezes, se deparam com bens </w:t>
      </w:r>
      <w:r>
        <w:rPr>
          <w:rFonts w:ascii="Arial" w:eastAsia="Times New Roman" w:hAnsi="Arial" w:cs="Times New Roman"/>
          <w:i/>
          <w:iCs/>
          <w:sz w:val="24"/>
          <w:szCs w:val="24"/>
        </w:rPr>
        <w:t xml:space="preserve">comuns </w:t>
      </w:r>
      <w:r>
        <w:rPr>
          <w:rFonts w:ascii="Arial" w:eastAsia="Times New Roman" w:hAnsi="Arial" w:cs="Times New Roman"/>
          <w:sz w:val="24"/>
          <w:szCs w:val="24"/>
        </w:rPr>
        <w:t>a serem inventariados, como veículos, imóveis e bens semoventes, esses, pela doutrina civilista, são considerados bens materiais, também chamados de bens corpóreos, n</w:t>
      </w:r>
      <w:r>
        <w:rPr>
          <w:rFonts w:ascii="Arial" w:eastAsia="Times New Roman" w:hAnsi="Arial" w:cs="Times New Roman"/>
          <w:sz w:val="24"/>
          <w:szCs w:val="24"/>
          <w:lang w:val="pt-BR"/>
        </w:rPr>
        <w:t>as palavras</w:t>
      </w:r>
      <w:r>
        <w:rPr>
          <w:rFonts w:ascii="Arial" w:eastAsia="Times New Roman" w:hAnsi="Arial" w:cs="Times New Roman"/>
          <w:sz w:val="24"/>
          <w:szCs w:val="24"/>
        </w:rPr>
        <w:t xml:space="preserve"> de Gonçalves: </w:t>
      </w:r>
    </w:p>
    <w:p w:rsidR="009D60B7" w:rsidRDefault="00425C09" w:rsidP="00B44A52">
      <w:pPr>
        <w:ind w:left="2268"/>
        <w:jc w:val="both"/>
        <w:rPr>
          <w:rFonts w:ascii="Arial" w:hAnsi="Arial"/>
          <w:sz w:val="20"/>
          <w:szCs w:val="20"/>
        </w:rPr>
      </w:pPr>
      <w:r>
        <w:rPr>
          <w:rFonts w:ascii="Arial" w:eastAsia="Times New Roman" w:hAnsi="Arial" w:cs="Times New Roman"/>
          <w:sz w:val="20"/>
          <w:szCs w:val="20"/>
        </w:rPr>
        <w:t>bens corpóreos são os que têm existência física, material e podem ser tangidos pelo homem. Incorpóreos são os que tem existência abstrata ou ideal, mas valor econômico, como direito autoral, o crédito, a sucessão aberta, o fundo de comércio etc. São criações da mente reconhecidas pela ordem jurídica. (Gonçalves, 2022, p. 308).</w:t>
      </w:r>
    </w:p>
    <w:p w:rsidR="009D60B7" w:rsidRDefault="009D60B7" w:rsidP="00B44A52">
      <w:pPr>
        <w:jc w:val="both"/>
        <w:rPr>
          <w:rFonts w:ascii="Arial" w:eastAsia="Times New Roman" w:hAnsi="Arial" w:cs="Times New Roman"/>
          <w:sz w:val="20"/>
          <w:szCs w:val="20"/>
        </w:rPr>
      </w:pPr>
    </w:p>
    <w:p w:rsidR="009D60B7"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Em sede da existência física, o doutrinador pontua que os bens materiais (corpóreos) podem ser tangenciados pelo homem, ou seja, podem ser tocados fisicamente, enquanto os bens imateriais ou incorpóreos, possuem valoração abstrata, entretanto são viáveis economicamente, como no caso dos bens digitais.</w:t>
      </w:r>
    </w:p>
    <w:p w:rsidR="009D60B7" w:rsidRDefault="00425C09" w:rsidP="00B44A52">
      <w:pPr>
        <w:spacing w:line="360" w:lineRule="auto"/>
        <w:ind w:firstLineChars="348" w:firstLine="835"/>
        <w:jc w:val="both"/>
        <w:rPr>
          <w:rFonts w:ascii="Arial" w:hAnsi="Arial"/>
          <w:sz w:val="24"/>
          <w:szCs w:val="24"/>
        </w:rPr>
      </w:pPr>
      <w:r>
        <w:rPr>
          <w:rFonts w:ascii="Arial" w:eastAsia="Times New Roman" w:hAnsi="Arial" w:cs="Times New Roman"/>
          <w:sz w:val="24"/>
          <w:szCs w:val="24"/>
        </w:rPr>
        <w:t xml:space="preserve">A diferenciação e quantificação econômica incidem diretamente sobre o tema da pesquisa, pois os bens digitais, apesar de não serem fisicamente tangenciáveis, possuem um valor econômico que muitas vezes superam a normalidade. A doutrina já se preocupou em definir tecnicamente os bens digitais: </w:t>
      </w:r>
    </w:p>
    <w:p w:rsidR="009D60B7" w:rsidRDefault="009D60B7" w:rsidP="00B44A52">
      <w:pPr>
        <w:jc w:val="both"/>
        <w:rPr>
          <w:rFonts w:ascii="Arial" w:eastAsia="Times New Roman" w:hAnsi="Arial" w:cs="Times New Roman"/>
          <w:sz w:val="20"/>
          <w:szCs w:val="20"/>
        </w:rPr>
      </w:pPr>
    </w:p>
    <w:p w:rsidR="009D60B7" w:rsidRDefault="00425C09" w:rsidP="00B44A52">
      <w:pPr>
        <w:ind w:left="2268"/>
        <w:jc w:val="both"/>
        <w:rPr>
          <w:rFonts w:ascii="Arial" w:hAnsi="Arial"/>
          <w:sz w:val="20"/>
          <w:szCs w:val="20"/>
        </w:rPr>
      </w:pPr>
      <w:r>
        <w:rPr>
          <w:rFonts w:ascii="Arial" w:eastAsia="Times New Roman" w:hAnsi="Arial" w:cs="Times New Roman"/>
          <w:sz w:val="20"/>
          <w:szCs w:val="20"/>
        </w:rPr>
        <w:t>bens digitais são bens imateriais representados por instruções codificadas e organizadas virtualmente com a utilização linguagem informática, armazenados em forma digital, seja no dispositivo do próprio usuário ou em servidores externos como no caso de armazenamento em nuvem, por exemplo, cuja interpretação e reprodução se opera por meio de dispositivos informáticos (computadores, tablets, smartphones dentre outros), que poderão estar ou não armazenado no dispositivo de seu próprio titular, ou transmitidos entre usuários de um dispositivo para outro, acesso via download de servidores ou digitalmente na rede, e podem se apresentar ao usuário. (Fachin e Pinheiro, 2018, p. 296).</w:t>
      </w:r>
    </w:p>
    <w:p w:rsidR="009D60B7" w:rsidRDefault="009D60B7" w:rsidP="00B44A52">
      <w:pPr>
        <w:jc w:val="both"/>
        <w:rPr>
          <w:rFonts w:ascii="Arial" w:eastAsia="Times New Roman" w:hAnsi="Arial" w:cs="Times New Roman"/>
          <w:sz w:val="20"/>
          <w:szCs w:val="20"/>
        </w:rPr>
      </w:pPr>
    </w:p>
    <w:p w:rsidR="009D60B7" w:rsidRDefault="00425C09" w:rsidP="00B44A52">
      <w:pPr>
        <w:spacing w:line="360" w:lineRule="auto"/>
        <w:ind w:firstLineChars="330" w:firstLine="660"/>
        <w:jc w:val="both"/>
        <w:rPr>
          <w:rFonts w:ascii="Arial" w:eastAsia="Times New Roman" w:hAnsi="Arial" w:cs="Times New Roman"/>
          <w:sz w:val="24"/>
          <w:szCs w:val="24"/>
        </w:rPr>
      </w:pPr>
      <w:r>
        <w:rPr>
          <w:rFonts w:ascii="Arial" w:eastAsia="Times New Roman" w:hAnsi="Arial" w:cs="Times New Roman"/>
          <w:sz w:val="20"/>
          <w:szCs w:val="20"/>
        </w:rPr>
        <w:t xml:space="preserve"> </w:t>
      </w:r>
      <w:r>
        <w:rPr>
          <w:rFonts w:ascii="Arial" w:eastAsia="Times New Roman" w:hAnsi="Arial" w:cs="Times New Roman"/>
          <w:sz w:val="24"/>
          <w:szCs w:val="24"/>
        </w:rPr>
        <w:t>Portanto, na voz da doutrina, os bens digitais são aqueles que se encontram na esfera virtual, em outro plano aquém da esfera física. A distinção é necessária, pois não se pode aplicar de forma automática aos bens digitais a mesma lógica jurídica tradicionalmente utilizada para os bens corpóreos, sob pena de desconsiderar suas peculiaridades estruturais e funcionais.</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Na mesma linha de raciocínio, com o avançar da popularização dos bens digitais, em sede de inventário, até a doutrina minoritária se preocupa em definir os bens digitais, é como pontua Calmon, ao narrar a extensão do bem digital: </w:t>
      </w:r>
    </w:p>
    <w:p w:rsidR="009D60B7" w:rsidRDefault="009D60B7" w:rsidP="00B44A52">
      <w:pPr>
        <w:jc w:val="both"/>
        <w:rPr>
          <w:rFonts w:ascii="Arial" w:eastAsia="Times New Roman" w:hAnsi="Arial" w:cs="Times New Roman"/>
          <w:sz w:val="20"/>
          <w:szCs w:val="20"/>
        </w:rPr>
      </w:pPr>
    </w:p>
    <w:p w:rsidR="009D60B7" w:rsidRDefault="00425C09" w:rsidP="00B44A52">
      <w:pPr>
        <w:jc w:val="both"/>
        <w:rPr>
          <w:rFonts w:ascii="Arial" w:hAnsi="Arial"/>
          <w:sz w:val="20"/>
          <w:szCs w:val="20"/>
        </w:rPr>
      </w:pPr>
      <w:r>
        <w:rPr>
          <w:rFonts w:ascii="Arial" w:hAnsi="Arial" w:cs="Times New Roman"/>
          <w:sz w:val="20"/>
          <w:szCs w:val="20"/>
        </w:rPr>
        <w:t xml:space="preserve">O genuíno bem digital, portanto, é aquele que se encontra digitalizado, ou seja, representado sob linguagem, sob forma, sob código digital, pouco importando se seu armazenamento se dá em meio físico, como </w:t>
      </w:r>
      <w:r>
        <w:rPr>
          <w:rFonts w:ascii="Arial" w:hAnsi="Arial" w:cs="Times New Roman"/>
          <w:i/>
          <w:iCs/>
          <w:sz w:val="20"/>
          <w:szCs w:val="20"/>
        </w:rPr>
        <w:t>pendrives</w:t>
      </w:r>
      <w:r>
        <w:rPr>
          <w:rFonts w:ascii="Arial" w:hAnsi="Arial" w:cs="Times New Roman"/>
          <w:sz w:val="20"/>
          <w:szCs w:val="20"/>
        </w:rPr>
        <w:t xml:space="preserve"> e CDs, ou em meio virtual, como nuvens, em websites, em podcasts, em perfis de redes sociais etc., desde que ambos permitam sua representação e processamento. Digital é a linguagem, a representação; o meio em que ele é armazenado representa a mera “mídia” (do latim, meio). É na representação, portanto, que reside o caráter que distingue os bens digitais dos demais bens móveis tangíveis e intangíveis, não no meio em que eles são armazenados. (Calmon, 2025, p. 261).</w:t>
      </w:r>
    </w:p>
    <w:p w:rsidR="009D60B7" w:rsidRDefault="009D60B7" w:rsidP="00B44A52">
      <w:pPr>
        <w:jc w:val="both"/>
        <w:rPr>
          <w:rFonts w:ascii="Arial" w:eastAsia="Times New Roman" w:hAnsi="Arial"/>
          <w:sz w:val="20"/>
          <w:szCs w:val="20"/>
        </w:rPr>
      </w:pP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lastRenderedPageBreak/>
        <w:t>Enquanto os bens materiais possuem individualização física, localização determinada e transferência normalmente formalizada por tradição ou registro, os bens digitais apresentam características próprias, como a desmaterialização, a replicabilidade, a ubiquidade e, muitas vezes, a dependência de plataformas privadas para sua existência e fruição. Além disso, muitos desses bens não são propriamente “propriedade” do usuário, mas objetos de contratos de licença de uso, o que altera significativamente sua natureza jurídica e repercute diretamente na sucessão.</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Essa distinção revela-se ainda mais relevante quando se observa que o patrimônio digital pode comportar tanto elementos de natureza patrimonial quanto conteúdos personalíssimos. Arquivos digitais, criptoativos, milhas aéreas, créditos em plataformas eletrônicas e perfis monetizados podem possuir inequívoco valor econômico, integrando o acervo hereditário. Por outro lado, mensagens privadas, diários virtuais, fotografias íntimas e comunicações pessoais tocam diretamente a esfera da intimidade e da personalidade do falecido, exigindo tratamento jurídico diferenciado.</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Dessa forma, o patrimônio imaterial digital não pode ser analisado de maneira homogênea. Impõe-se ao intérprete distinguir, no caso concreto, quais bens digitais possuem natureza patrimonial transmissível e quais se vinculam predominantemente aos direitos da personalidade, cuja tutela </w:t>
      </w:r>
      <w:r>
        <w:rPr>
          <w:rFonts w:ascii="Arial" w:eastAsia="Times New Roman" w:hAnsi="Arial" w:cs="Times New Roman"/>
          <w:i/>
          <w:iCs/>
          <w:sz w:val="24"/>
          <w:szCs w:val="24"/>
        </w:rPr>
        <w:t>post mortem</w:t>
      </w:r>
      <w:r>
        <w:rPr>
          <w:rFonts w:ascii="Arial" w:eastAsia="Times New Roman" w:hAnsi="Arial" w:cs="Times New Roman"/>
          <w:sz w:val="24"/>
          <w:szCs w:val="24"/>
        </w:rPr>
        <w:t xml:space="preserve"> não se confunde com a sucessão econômica. A ausência dessa distinção pode gerar tanto violação à dignidade do falecido quanto prejuízo indevido aos herdeiros.</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Assim, a diferenciação entre patrimônio material e imaterial, especialmente no contexto dos bens digitais, não constitui mero exercício conceitual, mas verdadeiro pressuposto metodológico para a adequada compreensão da herança digital. É a partir dessa base que se torna possível avançar, no capítulo seguinte, para a análise das lacunas legislativas, da atuação jurisprudencial e das propostas de regulamentação no ordenamento jurídico brasileiro.</w:t>
      </w:r>
    </w:p>
    <w:p w:rsidR="009D60B7" w:rsidRDefault="009D60B7" w:rsidP="00B44A52">
      <w:pPr>
        <w:ind w:leftChars="-100" w:left="-220" w:firstLineChars="330" w:firstLine="792"/>
        <w:jc w:val="both"/>
        <w:rPr>
          <w:rFonts w:ascii="Arial" w:eastAsia="Times New Roman" w:hAnsi="Arial" w:cs="Times New Roman"/>
          <w:sz w:val="24"/>
          <w:szCs w:val="24"/>
        </w:rPr>
      </w:pPr>
    </w:p>
    <w:p w:rsidR="009D60B7" w:rsidRPr="00654F65" w:rsidRDefault="00425C09" w:rsidP="00B44A52">
      <w:pPr>
        <w:spacing w:line="360" w:lineRule="auto"/>
        <w:jc w:val="both"/>
        <w:rPr>
          <w:rFonts w:ascii="Arial" w:eastAsia="Times New Roman" w:hAnsi="Arial" w:cs="Times New Roman"/>
          <w:bCs/>
          <w:sz w:val="24"/>
          <w:szCs w:val="24"/>
        </w:rPr>
      </w:pPr>
      <w:r w:rsidRPr="00654F65">
        <w:rPr>
          <w:rFonts w:ascii="Arial" w:eastAsia="Times New Roman" w:hAnsi="Arial" w:cs="Times New Roman"/>
          <w:bCs/>
          <w:sz w:val="24"/>
          <w:szCs w:val="24"/>
        </w:rPr>
        <w:t>2 A HERANÇA DIGITAL NO ORDENAMENTO JURÍDICO PÁTRIO</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Os bens digitais constituem uma categoria de ativos imateriais consubstanciados em instruções codificadas sob linguagem informática. Tais entidades, armazenadas em vetores binários, seja em unidades de custódia local ou em servidores remotos (</w:t>
      </w:r>
      <w:r>
        <w:rPr>
          <w:rFonts w:ascii="Arial" w:hAnsi="Arial" w:cs="Times New Roman"/>
          <w:i/>
          <w:iCs/>
          <w:sz w:val="24"/>
          <w:szCs w:val="24"/>
        </w:rPr>
        <w:t>cloud computing</w:t>
      </w:r>
      <w:r>
        <w:rPr>
          <w:rFonts w:ascii="Arial" w:hAnsi="Arial" w:cs="Times New Roman"/>
          <w:sz w:val="24"/>
          <w:szCs w:val="24"/>
        </w:rPr>
        <w:t xml:space="preserve">), dependem da mediação de dispositivos eletrônicos para sua tradução e fruição. </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 xml:space="preserve">Sua circulação no tráfego jurídico ocorre mediante transmissão direta entre usuários ou via acesso digital em rede, manifestando-se como objetos passíveis de </w:t>
      </w:r>
      <w:r>
        <w:rPr>
          <w:rFonts w:ascii="Arial" w:hAnsi="Arial" w:cs="Times New Roman"/>
          <w:sz w:val="24"/>
          <w:szCs w:val="24"/>
        </w:rPr>
        <w:lastRenderedPageBreak/>
        <w:t xml:space="preserve">apropriação e utilidade. Em um esforço de síntese conceitual, depreende-se que tais ativos se qualificam como bens incorpóreos progressivamente aportados ao ambiente virtual. Tratam-se de informações de matiz pessoal que, dotadas ou não de valor pecuniário, conferem utilidade ao seu titular. </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 xml:space="preserve">A casuística exemplificativa é vasta e dinâmica, abrangendo desde nomes de domínios e milhagens aéreas até perfis em redes sociais, ativos de entretenimento em </w:t>
      </w:r>
      <w:r>
        <w:rPr>
          <w:rFonts w:ascii="Arial" w:hAnsi="Arial" w:cs="Times New Roman"/>
          <w:i/>
          <w:iCs/>
          <w:sz w:val="24"/>
          <w:szCs w:val="24"/>
        </w:rPr>
        <w:t>games online</w:t>
      </w:r>
      <w:r>
        <w:rPr>
          <w:rFonts w:ascii="Arial" w:hAnsi="Arial" w:cs="Times New Roman"/>
          <w:sz w:val="24"/>
          <w:szCs w:val="24"/>
        </w:rPr>
        <w:t xml:space="preserve"> e acervos de dados privativos. No cenário contemporâneo, a temática da herança digital impõe-se como questão tormentosa ao Direito das Sucessões. Em sintonia com a </w:t>
      </w:r>
      <w:r>
        <w:rPr>
          <w:rFonts w:ascii="Arial" w:hAnsi="Arial" w:cs="Times New Roman"/>
          <w:i/>
          <w:iCs/>
          <w:sz w:val="24"/>
          <w:szCs w:val="24"/>
        </w:rPr>
        <w:t>ratio legis</w:t>
      </w:r>
      <w:r>
        <w:rPr>
          <w:rFonts w:ascii="Arial" w:hAnsi="Arial" w:cs="Times New Roman"/>
          <w:sz w:val="24"/>
          <w:szCs w:val="24"/>
        </w:rPr>
        <w:t xml:space="preserve"> de projetos legislativos precursores, define-se esse acervo como o conjunto de conteúdos intangíveis do </w:t>
      </w:r>
      <w:r>
        <w:rPr>
          <w:rFonts w:ascii="Arial" w:hAnsi="Arial" w:cs="Times New Roman"/>
          <w:i/>
          <w:iCs/>
          <w:sz w:val="24"/>
          <w:szCs w:val="24"/>
        </w:rPr>
        <w:t>de cujus</w:t>
      </w:r>
      <w:r>
        <w:rPr>
          <w:rFonts w:ascii="Arial" w:hAnsi="Arial" w:cs="Times New Roman"/>
          <w:sz w:val="24"/>
          <w:szCs w:val="24"/>
        </w:rPr>
        <w:t xml:space="preserve"> custodiados em espaço virtual, isto incluindo senhas, perfis e contas de serviços digitais. </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Sob a ótica de Zampier (2021), a definição desses ativos perpassa pela utilidade e pela inserção contínua de informações pessoais no ciberespaço. Para Zampier (2021) introduz uma distinção fundamental ao classificar os bens digitais conforme sua função: patrimoniais, existenciais ou</w:t>
      </w:r>
      <w:r>
        <w:rPr>
          <w:rFonts w:ascii="Arial" w:hAnsi="Arial" w:cs="Times New Roman"/>
          <w:sz w:val="24"/>
          <w:szCs w:val="24"/>
          <w:lang w:val="pt-BR"/>
        </w:rPr>
        <w:t xml:space="preserve"> </w:t>
      </w:r>
      <w:r>
        <w:rPr>
          <w:rFonts w:ascii="Arial" w:hAnsi="Arial" w:cs="Times New Roman"/>
          <w:sz w:val="24"/>
          <w:szCs w:val="24"/>
        </w:rPr>
        <w:t>patrimoniais-existenciais (híbridos). Essa abordagem funcional é a alternativa mais coerente para o tratamento jurídico da matéria, pois permite perscrutar a finalidade concreta do bem em cada situação jurídica específica.</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Dessa forma, a classificação tripartida revela-se imperativa para o entendimento claro da classificação dos bens, são eles bens digitais patrimoniais, conteúdo econômico (criptoativos, milhas), os bens digitais existenciais, vinculados à esfera íntima (e-mails, conversas privadas) e os bens digitais híbridos, que amalgamam valor existencial e potencial econômico (perfis profissionais).</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 xml:space="preserve">Ainda que classificando a extensão dos bens digitais, não há legislação específica que os discipline assim como faz a doutrina, tendo várias lacunas legislativas, dificultando o entendimento dos operadores do direito. </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 xml:space="preserve">Diante da inexistência de um estatuto jurídico específico que discipline a matéria, o intérprete do direito vê-se compelido a realizar um juízo de adequação entre as realidades tecnológicas emergentes e os instrumentos normativos vigentes. Embora a criação de leis sob medida possa conferir maior segurança jurídica, paira o risco de que tais legislações careçam da argúcia necessária para acompanhar a celeridade dos ativos virtuais. </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 xml:space="preserve">No ordenamento jurídico pátrio, o cenário normativo atual evidencia um limbo regulatório significativo. O Vernáculo Civil de regência não contemplou a sucessão de conteúdos imateriais armazenados em meio digital, enquanto diplomas normativos posteriores, como o Marco Civil da Internet (Lei n. 12.965/2014) e a LGPD (Lei n. </w:t>
      </w:r>
      <w:r>
        <w:rPr>
          <w:rFonts w:ascii="Arial" w:hAnsi="Arial" w:cs="Times New Roman"/>
          <w:sz w:val="24"/>
          <w:szCs w:val="24"/>
        </w:rPr>
        <w:lastRenderedPageBreak/>
        <w:t xml:space="preserve">13.709/2018), também permaneceram obscuras quanto à aplicabilidade de seus dispositivos aos dados de pessoas falecidas. </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No plano internacional, observa-se situação semelhante: o Regulamento Geral sobre a Proteção de Dados da União Europeia (GDPR, 2018) exclui expressamente os indivíduos falecidos de seu âmbito de proteção, facultando, contudo, aos Estados-Membros a possibilidade de instituírem regimes normativos específicos sobre a matéria.</w:t>
      </w:r>
    </w:p>
    <w:p w:rsidR="009D60B7" w:rsidRDefault="00425C09" w:rsidP="00B44A52">
      <w:pPr>
        <w:spacing w:line="360" w:lineRule="auto"/>
        <w:ind w:firstLineChars="330" w:firstLine="792"/>
        <w:jc w:val="both"/>
        <w:rPr>
          <w:rFonts w:ascii="Arial" w:eastAsia="Times New Roman" w:hAnsi="Arial" w:cs="Times New Roman"/>
          <w:sz w:val="24"/>
          <w:szCs w:val="24"/>
        </w:rPr>
      </w:pPr>
      <w:r>
        <w:rPr>
          <w:rFonts w:ascii="Arial" w:hAnsi="Arial" w:cs="Times New Roman"/>
          <w:sz w:val="24"/>
          <w:szCs w:val="24"/>
        </w:rPr>
        <w:t>A lacuna no ordenamento abre azo para a jurisprudência dominar o assunto, no sentido de limitar juridicamente a sua extensão, bem como a sistemática em se tratando de inventariar os bens. É o que aconteceu no REsp 2.124.424/SP (2025)</w:t>
      </w:r>
      <w:r>
        <w:rPr>
          <w:rFonts w:ascii="Arial" w:eastAsia="Times New Roman" w:hAnsi="Arial" w:cs="Times New Roman"/>
          <w:sz w:val="24"/>
          <w:szCs w:val="24"/>
        </w:rPr>
        <w:t>, de lavra do STJ, tema a ser abordado logo a seguir.</w:t>
      </w:r>
    </w:p>
    <w:p w:rsidR="009D60B7" w:rsidRDefault="00425C09" w:rsidP="00B44A52">
      <w:pPr>
        <w:spacing w:line="360" w:lineRule="auto"/>
        <w:ind w:firstLineChars="330" w:firstLine="792"/>
        <w:jc w:val="both"/>
        <w:rPr>
          <w:rFonts w:ascii="Arial" w:eastAsia="Times New Roman" w:hAnsi="Arial" w:cs="Times New Roman"/>
          <w:sz w:val="24"/>
          <w:szCs w:val="24"/>
        </w:rPr>
      </w:pPr>
      <w:r>
        <w:rPr>
          <w:rFonts w:ascii="Arial" w:eastAsia="Times New Roman" w:hAnsi="Arial" w:cs="Times New Roman"/>
          <w:sz w:val="24"/>
          <w:szCs w:val="24"/>
        </w:rPr>
        <w:t>Na inexistência de legislação específica que regule as diretrizes dos bens digitais em se tratando de herança, é que pesa aos julgadores o crivo de, em uma lide processual, decidir e delimitar a fundamentação jurídica, e a extensão da herança digital.</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O REsp 2.124.424/SP (2025) originou-se de uma ação de inventário em que os herdeiros buscavam acesso a dados em dispositivos (iPads) da falecida, cujas senhas eram desconhecidas. O pedido de expedição de ofício à Apple foi negado em instâncias inferiores sob o argumento de que se tratava de</w:t>
      </w:r>
      <w:r>
        <w:rPr>
          <w:rFonts w:ascii="Arial" w:hAnsi="Arial" w:cs="Times New Roman"/>
          <w:sz w:val="24"/>
          <w:szCs w:val="24"/>
          <w:lang w:val="pt-BR"/>
        </w:rPr>
        <w:t xml:space="preserve"> </w:t>
      </w:r>
      <w:r>
        <w:rPr>
          <w:rFonts w:ascii="Arial" w:hAnsi="Arial" w:cs="Times New Roman"/>
          <w:sz w:val="24"/>
          <w:szCs w:val="24"/>
        </w:rPr>
        <w:t>"questão de alta indagação", exigindo ação autônoma.</w:t>
      </w:r>
    </w:p>
    <w:p w:rsidR="009D60B7" w:rsidRDefault="00425C09" w:rsidP="00B44A52">
      <w:pPr>
        <w:spacing w:line="360" w:lineRule="auto"/>
        <w:ind w:firstLineChars="330" w:firstLine="792"/>
        <w:jc w:val="both"/>
        <w:rPr>
          <w:rFonts w:ascii="Arial" w:hAnsi="Arial" w:cs="Times New Roman"/>
          <w:sz w:val="24"/>
          <w:szCs w:val="24"/>
        </w:rPr>
      </w:pPr>
      <w:r>
        <w:rPr>
          <w:rFonts w:ascii="Arial" w:hAnsi="Arial" w:cs="Times New Roman"/>
          <w:sz w:val="24"/>
          <w:szCs w:val="24"/>
        </w:rPr>
        <w:t>No voto, a relatora Nancy Andrighi (2025), destacou que obtenção de informações sobre o patrimônio digital é um ato integrativo do inventário. Não se trata de uma questão complexa que exija prova externa (vias ordinárias), mas de uma diligência prática para identificar o que pertence ao monte partível, sendo assim, a "questão de alta indagação" foi superada.</w:t>
      </w:r>
    </w:p>
    <w:p w:rsidR="009D60B7" w:rsidRDefault="00425C09" w:rsidP="00B44A52">
      <w:pPr>
        <w:spacing w:line="360" w:lineRule="auto"/>
        <w:ind w:firstLineChars="330" w:firstLine="792"/>
        <w:jc w:val="both"/>
        <w:rPr>
          <w:rFonts w:ascii="Arial" w:hAnsi="Arial"/>
          <w:sz w:val="24"/>
          <w:szCs w:val="24"/>
        </w:rPr>
      </w:pPr>
      <w:r>
        <w:rPr>
          <w:rFonts w:ascii="Arial" w:hAnsi="Arial" w:cs="Times New Roman"/>
          <w:sz w:val="24"/>
          <w:szCs w:val="24"/>
        </w:rPr>
        <w:t>No bojo, a julgadora salientou que o ato de acesso e arrecadação dos bens digitais não necessitam de ação autônoma, pois integram o rito do inventário, ao passo que se distanciam da necessidade de ação autônoma:</w:t>
      </w:r>
    </w:p>
    <w:p w:rsidR="009D60B7" w:rsidRDefault="00425C09" w:rsidP="00B44A52">
      <w:pPr>
        <w:ind w:left="2268"/>
        <w:jc w:val="both"/>
        <w:rPr>
          <w:rFonts w:ascii="Arial" w:hAnsi="Arial"/>
          <w:sz w:val="20"/>
          <w:szCs w:val="20"/>
        </w:rPr>
      </w:pPr>
      <w:r>
        <w:rPr>
          <w:rFonts w:ascii="Arial" w:hAnsi="Arial" w:cs="Times New Roman"/>
          <w:sz w:val="20"/>
          <w:szCs w:val="20"/>
        </w:rPr>
        <w:t>Delimitado o conceito da questão de alta indagação, verifica-se que ela se distancia, significativamente, do ato de acesso e arrecadação dos bens digitais, considerando que estes atos são integrativos do procedimento do inventário e não carecem de prova.</w:t>
      </w:r>
    </w:p>
    <w:p w:rsidR="009D60B7" w:rsidRDefault="00425C09" w:rsidP="00B44A52">
      <w:pPr>
        <w:ind w:left="2268"/>
        <w:jc w:val="both"/>
        <w:rPr>
          <w:rFonts w:ascii="Arial" w:hAnsi="Arial"/>
          <w:sz w:val="20"/>
          <w:szCs w:val="20"/>
        </w:rPr>
      </w:pPr>
      <w:r>
        <w:rPr>
          <w:rFonts w:ascii="Arial" w:hAnsi="Arial" w:cs="Times New Roman"/>
          <w:sz w:val="20"/>
          <w:szCs w:val="20"/>
        </w:rPr>
        <w:t>Nesse sentido, o acesso dos herdeiros aos bens digitais deixados pelo falecido não se enquadra no conceito de questão de alta indagação, não havendo necessidade de nenhuma decisão ou prolação de sentença pelo juiz, posto que os referidos bens pertencem ao falecido. (Brasil, 2025, REsp 2.124.424/SP).</w:t>
      </w:r>
    </w:p>
    <w:p w:rsidR="009D60B7" w:rsidRDefault="009D60B7" w:rsidP="00B44A52">
      <w:pPr>
        <w:jc w:val="both"/>
        <w:rPr>
          <w:rFonts w:ascii="Arial" w:hAnsi="Arial" w:cs="Times New Roman"/>
          <w:sz w:val="20"/>
          <w:szCs w:val="20"/>
        </w:rPr>
      </w:pPr>
    </w:p>
    <w:p w:rsidR="009D60B7" w:rsidRDefault="00425C09" w:rsidP="00B44A52">
      <w:pPr>
        <w:spacing w:line="360" w:lineRule="auto"/>
        <w:ind w:firstLineChars="330" w:firstLine="792"/>
        <w:jc w:val="both"/>
        <w:rPr>
          <w:rFonts w:ascii="Arial" w:hAnsi="Arial"/>
          <w:sz w:val="24"/>
          <w:szCs w:val="24"/>
        </w:rPr>
      </w:pPr>
      <w:r>
        <w:rPr>
          <w:rFonts w:ascii="Arial" w:hAnsi="Arial" w:cs="Times New Roman"/>
          <w:sz w:val="24"/>
          <w:szCs w:val="24"/>
        </w:rPr>
        <w:t xml:space="preserve">Portanto, a atuação Recurso Especial é de suma importância para as novas tratativas dos bens digitais em sede de inventário, pois o julgado traz à tona o procedimento a ser seguido durante a arrecadação dos bens. </w:t>
      </w:r>
    </w:p>
    <w:p w:rsidR="009D60B7" w:rsidRDefault="00425C09" w:rsidP="00B44A52">
      <w:pPr>
        <w:spacing w:line="360" w:lineRule="auto"/>
        <w:ind w:firstLineChars="330" w:firstLine="792"/>
        <w:jc w:val="both"/>
        <w:rPr>
          <w:rFonts w:ascii="Arial" w:hAnsi="Arial"/>
          <w:sz w:val="24"/>
          <w:szCs w:val="24"/>
        </w:rPr>
      </w:pPr>
      <w:r>
        <w:rPr>
          <w:rFonts w:ascii="Arial" w:hAnsi="Arial" w:cs="Times New Roman"/>
          <w:sz w:val="24"/>
          <w:szCs w:val="24"/>
        </w:rPr>
        <w:t xml:space="preserve">Em contrapartida, a Relatora delimitou a extensão dos bens digitais que podem </w:t>
      </w:r>
      <w:r>
        <w:rPr>
          <w:rFonts w:ascii="Arial" w:hAnsi="Arial" w:cs="Times New Roman"/>
          <w:sz w:val="24"/>
          <w:szCs w:val="24"/>
        </w:rPr>
        <w:lastRenderedPageBreak/>
        <w:t xml:space="preserve">ser inventariados, fazendo importante distinção entre bens patrimoniais, e a personalidade do </w:t>
      </w:r>
      <w:r>
        <w:rPr>
          <w:rFonts w:ascii="Arial" w:hAnsi="Arial" w:cs="Times New Roman"/>
          <w:i/>
          <w:iCs/>
          <w:sz w:val="24"/>
          <w:szCs w:val="24"/>
        </w:rPr>
        <w:t>de cujus</w:t>
      </w:r>
      <w:r>
        <w:rPr>
          <w:rFonts w:ascii="Arial" w:hAnsi="Arial" w:cs="Times New Roman"/>
          <w:sz w:val="24"/>
          <w:szCs w:val="24"/>
        </w:rPr>
        <w:t xml:space="preserve">, no voto, assim pontuou: </w:t>
      </w:r>
    </w:p>
    <w:p w:rsidR="009D60B7" w:rsidRDefault="00425C09" w:rsidP="00B44A52">
      <w:pPr>
        <w:ind w:left="2268"/>
        <w:jc w:val="both"/>
        <w:rPr>
          <w:rFonts w:ascii="Arial" w:hAnsi="Arial"/>
          <w:sz w:val="20"/>
          <w:szCs w:val="20"/>
        </w:rPr>
      </w:pPr>
      <w:r>
        <w:rPr>
          <w:rFonts w:ascii="Arial" w:hAnsi="Arial" w:cs="Times New Roman"/>
          <w:sz w:val="20"/>
          <w:szCs w:val="20"/>
        </w:rPr>
        <w:t>Por outro lado, nem todos os bens digitais poderão ser transmitidos: o limite é o respeito à intimidade e à vida privada do falecido e de terceiros. Com efeito, bens digitais que possam ferir os direitos da personalidade não poderão ser entregues aos herdeiros. Como se vê, a alteração provocada pela era digital é tão profunda que afetou, inclusive, o vetusto princípio da Saisine. (Brasil, 2025, REsp 2.124.424/SP).</w:t>
      </w:r>
    </w:p>
    <w:p w:rsidR="009D60B7" w:rsidRDefault="009D60B7" w:rsidP="00B44A52">
      <w:pPr>
        <w:jc w:val="both"/>
        <w:rPr>
          <w:rFonts w:ascii="Arial" w:hAnsi="Arial" w:cs="Times New Roman"/>
          <w:sz w:val="20"/>
          <w:szCs w:val="20"/>
        </w:rPr>
      </w:pPr>
    </w:p>
    <w:p w:rsidR="009D60B7" w:rsidRDefault="00425C09" w:rsidP="00B44A52">
      <w:pPr>
        <w:spacing w:line="360" w:lineRule="auto"/>
        <w:ind w:firstLineChars="295" w:firstLine="708"/>
        <w:jc w:val="both"/>
        <w:rPr>
          <w:rFonts w:ascii="Arial" w:hAnsi="Arial"/>
          <w:sz w:val="24"/>
          <w:szCs w:val="24"/>
        </w:rPr>
      </w:pPr>
      <w:r>
        <w:rPr>
          <w:rFonts w:ascii="Arial" w:hAnsi="Arial" w:cs="Times New Roman"/>
          <w:sz w:val="24"/>
          <w:szCs w:val="24"/>
        </w:rPr>
        <w:t xml:space="preserve">O julgado da Corte foi cristalino, no sentido de defender os direitos da personalidade </w:t>
      </w:r>
      <w:r>
        <w:rPr>
          <w:rFonts w:ascii="Arial" w:hAnsi="Arial" w:cs="Times New Roman"/>
          <w:i/>
          <w:iCs/>
          <w:sz w:val="24"/>
          <w:szCs w:val="24"/>
        </w:rPr>
        <w:t>post mortem</w:t>
      </w:r>
      <w:r>
        <w:rPr>
          <w:rFonts w:ascii="Arial" w:hAnsi="Arial" w:cs="Times New Roman"/>
          <w:sz w:val="24"/>
          <w:szCs w:val="24"/>
        </w:rPr>
        <w:t xml:space="preserve">, e caberá ao inventariante digital, figura trazida no julgado, indicar os bens passíveis de serem arrolados no inventário. </w:t>
      </w:r>
    </w:p>
    <w:p w:rsidR="009D60B7" w:rsidRDefault="00425C09" w:rsidP="00B44A52">
      <w:pPr>
        <w:spacing w:line="360" w:lineRule="auto"/>
        <w:ind w:firstLineChars="295" w:firstLine="708"/>
        <w:jc w:val="both"/>
        <w:rPr>
          <w:rFonts w:ascii="Arial" w:hAnsi="Arial"/>
          <w:sz w:val="24"/>
          <w:szCs w:val="24"/>
        </w:rPr>
      </w:pPr>
      <w:r>
        <w:rPr>
          <w:rFonts w:ascii="Arial" w:hAnsi="Arial" w:cs="Times New Roman"/>
          <w:sz w:val="24"/>
          <w:szCs w:val="24"/>
        </w:rPr>
        <w:t>Nesse contexto, a decisão do Superior Tribunal de Justiça não apenas resolveu o impasse sobre a natureza da diligência em sede de inventário, mas também introduziu um mecanismo procedimental inédito para viabilizar essa arrecadação sem ferir garantias fundamentais. Surge, assim, a necessidade de analisar detidamente a função e a responsabilidade daquele que terá a incumbência técnica de mediar o acesso a esses dados: o inventariante digital. A seguir, buscar-se-á compreender como essa proposta inovadora se articula com as implicações práticas do Direito das Sucessões contemporâneo.</w:t>
      </w:r>
    </w:p>
    <w:p w:rsidR="009D60B7" w:rsidRDefault="00425C09" w:rsidP="00B44A52">
      <w:pPr>
        <w:spacing w:line="360" w:lineRule="auto"/>
        <w:ind w:firstLineChars="295" w:firstLine="708"/>
        <w:jc w:val="both"/>
        <w:rPr>
          <w:rFonts w:ascii="Arial" w:hAnsi="Arial"/>
          <w:sz w:val="24"/>
          <w:szCs w:val="24"/>
        </w:rPr>
      </w:pPr>
      <w:r>
        <w:rPr>
          <w:rFonts w:ascii="Arial" w:eastAsia="Times New Roman" w:hAnsi="Arial" w:cs="Times New Roman"/>
          <w:sz w:val="24"/>
          <w:szCs w:val="24"/>
        </w:rPr>
        <w:t xml:space="preserve">A figura do inventariante digital, criada no bojo do incidente processual, revela um novo modelo possível para o Direito Sucessório, pois a atuação jurisprudencial revela a emergência de um novo paradigma para situações que envolvem os bens digitais. </w:t>
      </w:r>
    </w:p>
    <w:p w:rsidR="009D60B7" w:rsidRDefault="00425C09" w:rsidP="00B44A52">
      <w:pPr>
        <w:spacing w:line="360" w:lineRule="auto"/>
        <w:ind w:firstLineChars="295" w:firstLine="708"/>
        <w:jc w:val="both"/>
        <w:rPr>
          <w:rFonts w:ascii="Arial" w:hAnsi="Arial"/>
          <w:sz w:val="24"/>
          <w:szCs w:val="24"/>
        </w:rPr>
      </w:pPr>
      <w:r>
        <w:rPr>
          <w:rFonts w:ascii="Arial" w:eastAsia="Times New Roman" w:hAnsi="Arial" w:cs="Times New Roman"/>
          <w:sz w:val="24"/>
          <w:szCs w:val="24"/>
        </w:rPr>
        <w:t>Diante disso, impõe-se analisar o inventariante digital não apenas como figura auxiliar do juízo, mas como proposta inovadora com relevantes implicações práticas, especialmente no que concerne à efetividade da transmissão patrimonial, à proteção dos direitos da personalidade e à segurança jurídica no tratamento da herança digital.</w:t>
      </w:r>
    </w:p>
    <w:p w:rsidR="009D60B7" w:rsidRDefault="00425C09" w:rsidP="00B44A52">
      <w:pPr>
        <w:spacing w:line="360" w:lineRule="auto"/>
        <w:ind w:firstLineChars="295" w:firstLine="708"/>
        <w:jc w:val="both"/>
        <w:rPr>
          <w:rFonts w:ascii="Arial" w:hAnsi="Arial"/>
          <w:sz w:val="24"/>
          <w:szCs w:val="24"/>
        </w:rPr>
      </w:pPr>
      <w:r>
        <w:rPr>
          <w:rFonts w:ascii="Arial" w:eastAsia="Times New Roman" w:hAnsi="Arial" w:cs="Times New Roman"/>
          <w:sz w:val="24"/>
          <w:szCs w:val="24"/>
        </w:rPr>
        <w:t>A ele caberá, inclusive, definir quais bens digitais são de natureza material, que podem compor o inventário, e qual aqueles que, em razão da personalidade, não podem compor o monte partível, em razão da intransmissibilidade, assim pontuou a Relatora:</w:t>
      </w:r>
    </w:p>
    <w:p w:rsidR="009D60B7" w:rsidRDefault="009D60B7" w:rsidP="00B44A52">
      <w:pPr>
        <w:spacing w:line="360" w:lineRule="auto"/>
        <w:jc w:val="both"/>
        <w:rPr>
          <w:rFonts w:ascii="Arial" w:eastAsia="Times New Roman" w:hAnsi="Arial" w:cs="Times New Roman"/>
          <w:sz w:val="20"/>
          <w:szCs w:val="20"/>
        </w:rPr>
      </w:pPr>
    </w:p>
    <w:p w:rsidR="009D60B7" w:rsidRDefault="00425C09" w:rsidP="00B44A52">
      <w:pPr>
        <w:ind w:left="2268"/>
        <w:jc w:val="both"/>
        <w:rPr>
          <w:rFonts w:ascii="Arial" w:hAnsi="Arial"/>
          <w:sz w:val="20"/>
          <w:szCs w:val="20"/>
        </w:rPr>
      </w:pPr>
      <w:r>
        <w:rPr>
          <w:rFonts w:ascii="Arial" w:hAnsi="Arial" w:cs="Times New Roman"/>
          <w:sz w:val="20"/>
          <w:szCs w:val="20"/>
        </w:rPr>
        <w:t>O inventariante digital terá acesso franqueado a todos os bens digitais do falecido para preparar minucioso relatório de tudo o que encontrar no computador. Referido relatório deverá ser encaminhado ao juiz do inventário, que fará a identificação e classificação dos bens digitais encontrados e, após, decidirá quais serão transmissíveis e quais não poderão ser transmitidos aos herdeiros, porque violam os direitos da personalidade do falecido ou de terceiros</w:t>
      </w:r>
      <w:r>
        <w:rPr>
          <w:rFonts w:ascii="Arial" w:eastAsia="Times New Roman" w:hAnsi="Arial" w:cs="Times New Roman"/>
          <w:sz w:val="20"/>
          <w:szCs w:val="20"/>
        </w:rPr>
        <w:t>.  (Brasil, 2025</w:t>
      </w:r>
      <w:r>
        <w:rPr>
          <w:rFonts w:ascii="Arial" w:hAnsi="Arial" w:cs="Times New Roman"/>
          <w:sz w:val="20"/>
          <w:szCs w:val="20"/>
        </w:rPr>
        <w:t>, REsp 2.124.424/SP</w:t>
      </w:r>
      <w:r>
        <w:rPr>
          <w:rFonts w:ascii="Arial" w:hAnsi="Arial" w:cs="Times New Roman"/>
          <w:sz w:val="20"/>
          <w:szCs w:val="20"/>
          <w:lang w:val="pt-BR"/>
        </w:rPr>
        <w:t xml:space="preserve">, </w:t>
      </w:r>
      <w:r>
        <w:rPr>
          <w:rFonts w:ascii="Arial" w:hAnsi="Arial" w:cs="Times New Roman"/>
          <w:i/>
          <w:iCs/>
          <w:sz w:val="20"/>
          <w:szCs w:val="20"/>
          <w:lang w:val="pt-BR"/>
        </w:rPr>
        <w:t>online</w:t>
      </w:r>
      <w:r>
        <w:rPr>
          <w:rFonts w:ascii="Arial" w:eastAsia="Times New Roman" w:hAnsi="Arial" w:cs="Times New Roman"/>
          <w:sz w:val="20"/>
          <w:szCs w:val="20"/>
        </w:rPr>
        <w:t>).</w:t>
      </w:r>
    </w:p>
    <w:p w:rsidR="009D60B7" w:rsidRDefault="009D60B7" w:rsidP="00B44A52">
      <w:pPr>
        <w:spacing w:line="360" w:lineRule="auto"/>
        <w:jc w:val="both"/>
        <w:rPr>
          <w:rFonts w:ascii="Arial" w:eastAsia="Times New Roman" w:hAnsi="Arial" w:cs="Times New Roman"/>
          <w:sz w:val="24"/>
          <w:szCs w:val="24"/>
        </w:rPr>
      </w:pP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É de se ver que a figura do inventariante digital, criada pelo STJ, busca concretizar as situações de fato, que acontecem no rito do inventário, a visão da Corte é </w:t>
      </w:r>
      <w:r>
        <w:rPr>
          <w:rFonts w:ascii="Arial" w:eastAsia="Times New Roman" w:hAnsi="Arial" w:cs="Times New Roman"/>
          <w:sz w:val="24"/>
          <w:szCs w:val="24"/>
        </w:rPr>
        <w:lastRenderedPageBreak/>
        <w:t>de, com a figura do inventariante digital, promover a segurança jurídica, ao estabelecer um procedimento minimamente padronizado para o tratamento dos bens digitais, ainda que na ausência de legislação específica. Ao mesmo tempo, sua atuação evidencia a necessidade de regulamentação normativa mais detalhada, que delimite suas atribuições, responsabilidades e limites, evitando arbitrariedades e assegurando o devido respeito aos direitos fundamentais envolvidos.</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ab/>
        <w:t xml:space="preserve">Isto porque o incidente recém-criado é prematuro no ordenamento jurídico brasileiro, e será doravante estudado pelos doutrinadores, assim como a regulamentação da herança digital, que na esfera jurídica representa grande desafio a todos os juristas.  </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Na seara dos desafios enfrentados pela herança digital, no tocante a ato de inventariar os bens, é importante analisar as experiências internacionais, com objetivo de conhecer como os países tratam do tema. </w:t>
      </w:r>
    </w:p>
    <w:p w:rsidR="009D60B7" w:rsidRDefault="009D60B7" w:rsidP="00B44A52">
      <w:pPr>
        <w:jc w:val="both"/>
        <w:rPr>
          <w:rFonts w:ascii="Arial" w:eastAsia="Times New Roman" w:hAnsi="Arial" w:cs="Times New Roman"/>
          <w:sz w:val="24"/>
          <w:szCs w:val="24"/>
        </w:rPr>
      </w:pPr>
    </w:p>
    <w:p w:rsidR="009D60B7" w:rsidRPr="00654F65" w:rsidRDefault="00425C09" w:rsidP="00B44A52">
      <w:pPr>
        <w:spacing w:line="360" w:lineRule="auto"/>
        <w:jc w:val="both"/>
        <w:rPr>
          <w:rFonts w:ascii="Arial" w:eastAsia="Times New Roman" w:hAnsi="Arial" w:cs="Times New Roman"/>
          <w:bCs/>
          <w:sz w:val="24"/>
          <w:szCs w:val="24"/>
        </w:rPr>
      </w:pPr>
      <w:r w:rsidRPr="00654F65">
        <w:rPr>
          <w:rFonts w:ascii="Arial" w:eastAsia="Times New Roman" w:hAnsi="Arial" w:cs="Times New Roman"/>
          <w:bCs/>
          <w:sz w:val="24"/>
          <w:szCs w:val="24"/>
        </w:rPr>
        <w:t>3 DESAFIOS E PERSPECTIVAS PARA A REGULAMENTAÇÃO DA HERANÇA DIGITAL</w:t>
      </w:r>
    </w:p>
    <w:p w:rsidR="009D60B7" w:rsidRDefault="00425C09" w:rsidP="00B44A52">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Os Estados Unidos têm a </w:t>
      </w:r>
      <w:r>
        <w:rPr>
          <w:rFonts w:ascii="Arial" w:eastAsia="Times New Roman" w:hAnsi="Arial" w:cs="Times New Roman"/>
          <w:i/>
          <w:iCs/>
          <w:sz w:val="24"/>
          <w:szCs w:val="24"/>
        </w:rPr>
        <w:t>Revised Uniform Fiduciary Access to Digital Assets Act</w:t>
      </w:r>
      <w:r>
        <w:rPr>
          <w:rFonts w:ascii="Arial" w:eastAsia="Times New Roman" w:hAnsi="Arial" w:cs="Times New Roman"/>
          <w:sz w:val="24"/>
          <w:szCs w:val="24"/>
        </w:rPr>
        <w:t xml:space="preserve"> (R</w:t>
      </w:r>
      <w:r w:rsidR="00B44A52">
        <w:rPr>
          <w:rFonts w:ascii="Arial" w:eastAsia="Times New Roman" w:hAnsi="Arial" w:cs="Times New Roman"/>
          <w:sz w:val="24"/>
          <w:szCs w:val="24"/>
        </w:rPr>
        <w:t>ufadaa</w:t>
      </w:r>
      <w:r>
        <w:rPr>
          <w:rFonts w:ascii="Arial" w:eastAsia="Times New Roman" w:hAnsi="Arial" w:cs="Times New Roman"/>
          <w:sz w:val="24"/>
          <w:szCs w:val="24"/>
        </w:rPr>
        <w:t xml:space="preserve">, 2015) consiste em norma estadunidense que disciplina o acesso e a gestão de ativos digitais de pessoas falecidas ou incapazes. O diploma introduz a figura do </w:t>
      </w:r>
      <w:r>
        <w:rPr>
          <w:rFonts w:ascii="Arial" w:eastAsia="Times New Roman" w:hAnsi="Arial" w:cs="Times New Roman"/>
          <w:i/>
          <w:iCs/>
          <w:sz w:val="24"/>
          <w:szCs w:val="24"/>
        </w:rPr>
        <w:t>fiduciary</w:t>
      </w:r>
      <w:r>
        <w:rPr>
          <w:rFonts w:ascii="Arial" w:eastAsia="Times New Roman" w:hAnsi="Arial" w:cs="Times New Roman"/>
          <w:sz w:val="24"/>
          <w:szCs w:val="24"/>
        </w:rPr>
        <w:t>, entendido como aquele designado para administrar bens de outrem, devendo atuar conforme os deveres de cuidado, lealdade e confidencialidade. Entre os fiduciários, incluem-se executores testamentários, curadores e representantes legais.</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Conforme destaca Zampier (2021), não há correspondência exata desse conceito no direito brasileiro, em razão das diferenças estruturais entre os sistemas sucessórios. A atuação do </w:t>
      </w:r>
      <w:r>
        <w:rPr>
          <w:rFonts w:ascii="Arial" w:eastAsia="Times New Roman" w:hAnsi="Arial" w:cs="Times New Roman"/>
          <w:i/>
          <w:iCs/>
          <w:sz w:val="24"/>
          <w:szCs w:val="24"/>
        </w:rPr>
        <w:t>fiduciary</w:t>
      </w:r>
      <w:r>
        <w:rPr>
          <w:rFonts w:ascii="Arial" w:eastAsia="Times New Roman" w:hAnsi="Arial" w:cs="Times New Roman"/>
          <w:sz w:val="24"/>
          <w:szCs w:val="24"/>
        </w:rPr>
        <w:t xml:space="preserve"> varia conforme circunstâncias como a existência de testamento, a natureza do patrimônio e a configuração dos herdeiros, estando ainda sujeita às particularidades das legislações estaduais norte-americanas.</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Já na Alemanha, a jurisprudência desempenhou papel central na construção do regime jurídico da herança digital. O Tribunal Federal de Justiça alemão (Bundesgerichtshof – BGH), em emblemática decisão de 2018, reconheceu a transmissibilidade de contas em redes sociais aos herdeiros, equiparando-as a correspondências tradicionais. No caso, os pais de uma jovem falecida pleiteavam acesso à conta da filha em rede social, tendo o tribunal decidido que o contrato com a plataforma integra o acervo hereditário, não podendo ser obstado por cláusulas contratuais ou por argumentos genéricos de proteção à privacidade.</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lastRenderedPageBreak/>
        <w:t>Tal entendimento evidencia uma inclinação à aplicação das normas tradicionais do direito sucessório aos bens digitais, ainda que com as devidas adaptações. Contudo, o próprio tribunal reconheceu a necessidade de ponderação com os direitos da personalidade, sobretudo quando envolvidas comunicações de terceiros.</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A análise da compatibilidade entre a herança digital e os direitos da personalidade revela-se como um dos pontos mais sensíveis e complexos do Direito contemporâneo, pois envolve a necessária harmonização entre dois vetores jurídicos de elevada densidade normativa: de um lado, o direito fundamental à herança; de outro, a tutela da dignidade da pessoa humana, especialmente no que tange à intimidade, à vida privada e à imagem, inclusive em sua projeção </w:t>
      </w:r>
      <w:r>
        <w:rPr>
          <w:rFonts w:ascii="Arial" w:eastAsia="Times New Roman" w:hAnsi="Arial" w:cs="Times New Roman"/>
          <w:i/>
          <w:iCs/>
          <w:sz w:val="24"/>
          <w:szCs w:val="24"/>
        </w:rPr>
        <w:t>post mortem</w:t>
      </w:r>
      <w:r>
        <w:rPr>
          <w:rFonts w:ascii="Arial" w:eastAsia="Times New Roman" w:hAnsi="Arial" w:cs="Times New Roman"/>
          <w:sz w:val="24"/>
          <w:szCs w:val="24"/>
        </w:rPr>
        <w:t>.</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Nesse contexto, o julgamento do </w:t>
      </w:r>
      <w:r>
        <w:rPr>
          <w:rFonts w:ascii="Arial" w:hAnsi="Arial" w:cs="Times New Roman"/>
          <w:sz w:val="24"/>
          <w:szCs w:val="24"/>
        </w:rPr>
        <w:t>REsp 2.124.424/SP (2025</w:t>
      </w:r>
      <w:r w:rsidR="00302409">
        <w:rPr>
          <w:rFonts w:ascii="Arial" w:hAnsi="Arial" w:cs="Times New Roman"/>
          <w:sz w:val="24"/>
          <w:szCs w:val="24"/>
        </w:rPr>
        <w:t xml:space="preserve">, </w:t>
      </w:r>
      <w:r w:rsidR="00302409" w:rsidRPr="00302409">
        <w:rPr>
          <w:rFonts w:ascii="Arial" w:hAnsi="Arial" w:cs="Times New Roman"/>
          <w:i/>
          <w:sz w:val="24"/>
          <w:szCs w:val="24"/>
        </w:rPr>
        <w:t>online</w:t>
      </w:r>
      <w:r>
        <w:rPr>
          <w:rFonts w:ascii="Arial" w:hAnsi="Arial" w:cs="Times New Roman"/>
          <w:sz w:val="24"/>
          <w:szCs w:val="24"/>
        </w:rPr>
        <w:t>)</w:t>
      </w:r>
      <w:r>
        <w:rPr>
          <w:rFonts w:ascii="Arial" w:eastAsia="Times New Roman" w:hAnsi="Arial" w:cs="Times New Roman"/>
          <w:sz w:val="24"/>
          <w:szCs w:val="24"/>
        </w:rPr>
        <w:t>, de relatoria da Ministra Nancy Andrighi, oferece importante diretriz interpretativa ao reconhecer que a herança digital é juridicamente possível, mas não absoluta. Ao enfrentar a controvérsia, o Superior Tribunal de Justiça estabeleceu que a transmissibilidade dos bens digitais deve ser condicionada ao respeito aos direitos da personalidade do falecido e de terceiros, impondo limites materiais à sucessão digital.</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Conforme destacado no acórdão </w:t>
      </w:r>
      <w:r>
        <w:rPr>
          <w:rFonts w:ascii="Arial" w:hAnsi="Arial" w:cs="Times New Roman"/>
          <w:sz w:val="24"/>
          <w:szCs w:val="24"/>
        </w:rPr>
        <w:t>REsp 2.124.424/SP (2025</w:t>
      </w:r>
      <w:r w:rsidR="00302409">
        <w:rPr>
          <w:rFonts w:ascii="Arial" w:hAnsi="Arial" w:cs="Times New Roman"/>
          <w:sz w:val="24"/>
          <w:szCs w:val="24"/>
        </w:rPr>
        <w:t xml:space="preserve">, </w:t>
      </w:r>
      <w:r w:rsidR="00302409" w:rsidRPr="00302409">
        <w:rPr>
          <w:rFonts w:ascii="Arial" w:hAnsi="Arial" w:cs="Times New Roman"/>
          <w:i/>
          <w:sz w:val="24"/>
          <w:szCs w:val="24"/>
        </w:rPr>
        <w:t>online</w:t>
      </w:r>
      <w:r>
        <w:rPr>
          <w:rFonts w:ascii="Arial" w:hAnsi="Arial" w:cs="Times New Roman"/>
          <w:sz w:val="24"/>
          <w:szCs w:val="24"/>
        </w:rPr>
        <w:t>)</w:t>
      </w:r>
      <w:r>
        <w:rPr>
          <w:rFonts w:ascii="Arial" w:eastAsia="Times New Roman" w:hAnsi="Arial" w:cs="Times New Roman"/>
          <w:sz w:val="24"/>
          <w:szCs w:val="24"/>
        </w:rPr>
        <w:t xml:space="preserve">, “nem todos os bens digitais poderão ser transmitidos: o limite é o respeito à intimidade e à vida privada do falecido e de terceiros”. Tal entendimento evidencia que a herança digital não pode ser tratada de forma uniforme, exigindo uma análise qualitativa do conteúdo transmitido. Em outras palavras, a simples titularidade do bem pelo </w:t>
      </w:r>
      <w:r>
        <w:rPr>
          <w:rFonts w:ascii="Arial" w:eastAsia="Times New Roman" w:hAnsi="Arial" w:cs="Times New Roman"/>
          <w:i/>
          <w:iCs/>
          <w:sz w:val="24"/>
          <w:szCs w:val="24"/>
        </w:rPr>
        <w:t>de cujus</w:t>
      </w:r>
      <w:r>
        <w:rPr>
          <w:rFonts w:ascii="Arial" w:eastAsia="Times New Roman" w:hAnsi="Arial" w:cs="Times New Roman"/>
          <w:sz w:val="24"/>
          <w:szCs w:val="24"/>
        </w:rPr>
        <w:t xml:space="preserve"> não é suficiente para autorizar sua transferência automática aos herdeiros.</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Essa posição dialoga diretamente com a classificação doutrinária dos bens digitais apresentada no presente trabalho, especialmente a distinção entre bens patrimoniais, existenciais e híbridos. Enquanto os bens de natureza eminentemente econômica como criptoativos, milhas ou contas monetizadas tendem a integrar o acervo hereditário, os conteúdos de cunho existencial, como mensagens privadas, registros íntimos e comunicações pessoais, permanecem protegidos pela órbita dos direitos da personalidade, ainda que após a morte.</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A regulamentação da herança digital projeta impactos relevantes tanto no plano social quanto no econômico. Sob a perspectiva social, a definição de regras claras contribui para a redução de conflitos familiares, especialmente no que tange ao acesso a conteúdos digitais de natureza sensível, garantindo maior previsibilidade e proteção à memória e à dignidade do falecido. Além disso, fortalece a segurança jurídica nas relações digitais, conferindo maior confiança aos usuários quanto ao destino de seus </w:t>
      </w:r>
      <w:r>
        <w:rPr>
          <w:rFonts w:ascii="Arial" w:eastAsia="Times New Roman" w:hAnsi="Arial" w:cs="Times New Roman"/>
          <w:sz w:val="24"/>
          <w:szCs w:val="24"/>
        </w:rPr>
        <w:lastRenderedPageBreak/>
        <w:t>dados após a morte.</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No âmbito econômico, a regulamentação permite a adequada incorporação de ativos digitais ao patrimônio hereditário, evitando a perda de bens com valor financeiro significativo, como contas monetizadas, criptoativos e créditos digitais. Tal medida também repercute positivamente na arrecadação estatal, uma vez que esses ativos passam a integrar a base de incidência tributária.</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Por outro lado, a ausência de critérios normativos pode gerar externalidades negativas, como a apropriação indevida de conteúdos pessoais ou a exclusão de bens economicamente relevantes do inventário. Assim, a regulamentação mostra-se não apenas desejável, mas necessária para equilibrar interesses patrimoniais e existenciais, promovendo eficiência econômica sem descurar da proteção dos direitos da personalidade. </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Dessa maneira, a compreensão dos reflexos sociais e econômicos da sucessão virtual demonstra que a inércia regulatória não é mais uma opção viável diante da complexidade das relações contemporâneas. A transição do cenário de incerteza jurisprudencial para um ambiente de previsibilidade depende, fundamentalmente, da maturação de propostas que preencham o vácuo normativo atual. Torna-se imperativo, portanto, investigar as tendências e os projetos que buscam sistematizar a matéria no Brasil, avaliando quais caminhos legislativos melhor se harmonizam com as necessidades da sociedade da informação.</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Diante da lacuna normativa existente no ordenamento jurídico nacional, impõe-se a construção de um modelo legislativo que discipline de forma específica a herança digital. Um dos caminhos possíveis consiste na elaboração de legislação própria, capaz de definir o conceito de bens digitais, estabelecer sua classificação e delimitar critérios objetivos para sua transmissibilidade.</w:t>
      </w:r>
    </w:p>
    <w:p w:rsidR="00302409"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Outra alternativa reside na adaptação das normas já existentes, especialmente no Código Civil, com a inclusão de dispositivos que contemplem expressamente os bens digitais em se tratando do direito sucessório. Nesse contexto, seria relevante também a regulamentação da figura do inventariante digital, delineando suas atribuições, responsabilidades e limites de atuação.</w:t>
      </w:r>
    </w:p>
    <w:p w:rsidR="009D60B7"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Ademais, como caminho possível, o Projeto de Lei n. 4 de 2025, cujo reformula o Código Civil brasileiro (2002), traz incisivamente a ideia do portfólio digital, o qual futuramente comporá o patrimônio digital, em sede de sucessão, o referido normativo contempla ativos, materiais e imateriais, os quais podem ter valor apreciável ou não. É o caso de ativos digitais, como moedas eletrônicas ou criptoativos, e até pontuações </w:t>
      </w:r>
      <w:r>
        <w:rPr>
          <w:rFonts w:ascii="Arial" w:eastAsia="Times New Roman" w:hAnsi="Arial" w:cs="Times New Roman"/>
          <w:sz w:val="24"/>
          <w:szCs w:val="24"/>
        </w:rPr>
        <w:lastRenderedPageBreak/>
        <w:t xml:space="preserve">digitais, como milhas aéreas, e jogos cibernéticos, por se tratar de grande evolução, Calmon (2025), cuidou de comentar à respeito: </w:t>
      </w:r>
    </w:p>
    <w:p w:rsidR="009D60B7" w:rsidRDefault="00425C09" w:rsidP="00302409">
      <w:pPr>
        <w:ind w:left="2268"/>
        <w:jc w:val="both"/>
        <w:rPr>
          <w:rFonts w:ascii="Arial" w:hAnsi="Arial"/>
          <w:sz w:val="20"/>
          <w:szCs w:val="20"/>
        </w:rPr>
      </w:pPr>
      <w:r>
        <w:rPr>
          <w:rFonts w:ascii="Arial" w:eastAsia="Times New Roman" w:hAnsi="Arial" w:cs="Times New Roman"/>
          <w:sz w:val="20"/>
          <w:szCs w:val="20"/>
        </w:rPr>
        <w:t>A propósito, o Anteprojeto de Reforma do Código Civil pretende incluir expressamente na compreensão de bens digitais, o patrimônio intangível titularizado pela pessoa “abrangendo, entre outros, senhas, dados financeiros, perfis de redes sociais, contas, arquivos de conversas, vídeos e fotos, arquivos de outra natureza, pontuação em programas de recompensa ou incentivo e qualquer conteúdo de natureza econômica, armazenado ou acumulado em ambiente virtual” (art. 1.791-A) (Calmon, 2025, p. 261).</w:t>
      </w:r>
    </w:p>
    <w:p w:rsidR="009D60B7" w:rsidRDefault="009D60B7" w:rsidP="00B44A52">
      <w:pPr>
        <w:spacing w:line="360" w:lineRule="auto"/>
        <w:jc w:val="both"/>
        <w:rPr>
          <w:rFonts w:ascii="Arial" w:eastAsia="Times New Roman" w:hAnsi="Arial" w:cs="Times New Roman"/>
          <w:sz w:val="20"/>
          <w:szCs w:val="20"/>
        </w:rPr>
      </w:pPr>
    </w:p>
    <w:p w:rsidR="009D60B7" w:rsidRDefault="00425C09" w:rsidP="00302409">
      <w:pPr>
        <w:spacing w:line="360" w:lineRule="auto"/>
        <w:ind w:firstLineChars="330" w:firstLine="792"/>
        <w:jc w:val="both"/>
        <w:rPr>
          <w:rFonts w:ascii="Arial" w:eastAsia="Times New Roman" w:hAnsi="Arial" w:cs="Times New Roman"/>
          <w:sz w:val="24"/>
          <w:szCs w:val="24"/>
        </w:rPr>
      </w:pPr>
      <w:r>
        <w:rPr>
          <w:rFonts w:ascii="Arial" w:eastAsia="Times New Roman" w:hAnsi="Arial" w:cs="Times New Roman"/>
          <w:sz w:val="24"/>
          <w:szCs w:val="24"/>
        </w:rPr>
        <w:t>O fato é que, o Projeto de Lei n. 4 de 2025 é de grandiosa evolução na seara dos bens digitais, atingindo as temáticas de sua sucessão, bem como seu tratamento em sede de inventário.</w:t>
      </w:r>
    </w:p>
    <w:p w:rsidR="009D60B7"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Portanto, o caminho legislativo mais adequado parece residir na conjugação entre inovação normativa e adaptação das estruturas já existentes, sempre orientado pela centralidade da dignidade da pessoa humana e pela necessidade de segurança jurídica.</w:t>
      </w:r>
    </w:p>
    <w:p w:rsidR="009D60B7" w:rsidRDefault="009D60B7" w:rsidP="00B44A52">
      <w:pPr>
        <w:jc w:val="both"/>
        <w:rPr>
          <w:rFonts w:ascii="Arial" w:eastAsia="Times New Roman" w:hAnsi="Arial" w:cs="Times New Roman"/>
          <w:sz w:val="24"/>
          <w:szCs w:val="24"/>
        </w:rPr>
      </w:pPr>
    </w:p>
    <w:p w:rsidR="009D60B7" w:rsidRPr="00654F65" w:rsidRDefault="00425C09" w:rsidP="00B44A52">
      <w:pPr>
        <w:spacing w:line="360" w:lineRule="auto"/>
        <w:jc w:val="both"/>
        <w:rPr>
          <w:rFonts w:ascii="Arial" w:hAnsi="Arial"/>
          <w:sz w:val="24"/>
          <w:szCs w:val="24"/>
        </w:rPr>
      </w:pPr>
      <w:r w:rsidRPr="00654F65">
        <w:rPr>
          <w:rFonts w:ascii="Arial" w:eastAsia="Times New Roman" w:hAnsi="Arial" w:cs="Times New Roman"/>
          <w:bCs/>
          <w:sz w:val="24"/>
          <w:szCs w:val="24"/>
        </w:rPr>
        <w:t>CONCLUSÃO</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A presente pesquisa teve como eixo central a análise da possibilidade, dos limites e das implicações jurídicas da herança digital no ordenamento jurídico nacional, mormente diante do lapso existente entre o direito sucessório e a defesa dos direitos da personalidade. Partiu-se do reconhecimento de que a evolução tecnológica e a crescente digitalização das relações sociais e patrimoniais impuseram ao Direito desafios inéditos, para os quais a legislação vigente ainda não oferece respostas plenamente satisfatórias.</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Em resposta ao problema proposto, conclui-se que a herança digital é juridicamente possível no Brasil, encontrando fundamento no direito constitucional à herança e na própria lógica do sistema sucessório. Contudo, tal transmissibilidade não se dá de forma irrestrita. Ao contrário, deve ser condicionada à natureza dos bens digitais envolvidos, impondo-se limites claros quando estiverem em jogo direitos da personalidade, como a intimidade, a vida privada e a imagem do falecido e de terceiros. Dessa forma, afasta-se tanto a tese da intransmissibilidade absoluta quanto a da transmissibilidade integral, adotando-se uma posição intermediária pautada na ponderação de interesses.</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 xml:space="preserve">A investigação demonstrou que a classificação dos bens digitais em patrimoniais, existenciais e híbridos constitui instrumento essencial para a adequada solução das controvérsias. Os bens digitais de natureza patrimonial, dotados de valor econômico, tendem a integrar o acervo hereditário, assegurando aos herdeiros o exercício do direito à herança. Por outro lado, os bens de cunho existencial permanecem sob a égide da </w:t>
      </w:r>
      <w:r>
        <w:rPr>
          <w:rFonts w:ascii="Arial" w:eastAsia="Times New Roman" w:hAnsi="Arial" w:cs="Times New Roman"/>
          <w:sz w:val="24"/>
          <w:szCs w:val="24"/>
        </w:rPr>
        <w:lastRenderedPageBreak/>
        <w:t>proteção dos direitos da personalidade, cuja tutela se projeta mesmo após a morte, em consonância com o princípio da dignidade da pessoa humana. Já os bens híbridos exigem análise casuística, sendo necessária a identificação de sua função predominante no caso concreto.</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 xml:space="preserve">Nesse cenário, verificou-se que a jurisprudência brasileira, especialmente no âmbito do Superior Tribunal de Justiça, tem desempenhado papel fundamental na construção de diretrizes interpretativas sobre a matéria. O julgamento do </w:t>
      </w:r>
      <w:r>
        <w:rPr>
          <w:rFonts w:ascii="Arial" w:hAnsi="Arial" w:cs="Times New Roman"/>
          <w:sz w:val="24"/>
          <w:szCs w:val="24"/>
        </w:rPr>
        <w:t>REsp 2.124.424/SP (2025)</w:t>
      </w:r>
      <w:r>
        <w:rPr>
          <w:rFonts w:ascii="Arial" w:eastAsia="Times New Roman" w:hAnsi="Arial" w:cs="Times New Roman"/>
          <w:sz w:val="24"/>
          <w:szCs w:val="24"/>
        </w:rPr>
        <w:t xml:space="preserve"> representa um marco relevante, ao reconhecer a possibilidade de acesso e arrecadação de bens digitais no inventário, ao mesmo tempo em que estabelece limites materiais fundados na proteção da personalidade. Além disso, a criação da figura do inventariante digital evidencia uma tentativa de adaptação do procedimento sucessório às peculiaridades do ambiente virtual, ainda que de forma embrionária.</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Não obstante os avanços jurisprudenciais, a pesquisa evidenciou a existência de significativa lacuna normativa no ordenamento jurídico brasileiro. Em contrapartida, o novíssimo Projeto de Lei n. 4 de 2025, mostra-se extremamente relevante ao tema da herança digital, pois introduz com clareza os aspectos atinentes ao patrimônio digital, dando luz à herança digital em nosso ordenamento.</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Sob a perspectiva social, a ausência de regulamentação adequada pode acarretar violações à intimidade e à memória do falecido, além de intensificar disputas familiares. Por outro lado, a definição de um regime jurídico claro tende a promover maior segurança nas relações digitais e a assegurar previsibilidade quanto ao destino dos ativos virtuais. No plano econômico, a regulamentação mostra-se igualmente relevante, ao permitir a correta identificação e transmissão de bens digitais com valor financeiro, evitando prejuízos patrimoniais e possibilitando sua adequada tributação.</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Diante desse panorama, conclui-se pela necessidade de construção de um modelo normativo específico para a herança digital no Brasil. Esse modelo pode se dar tanto por meio da criação de legislação própria, quanto pela adaptação das normas já existentes no Código Civil (2002), é o caso do Projeto de Lei n. 4 de 2025.</w:t>
      </w:r>
    </w:p>
    <w:p w:rsidR="009D60B7" w:rsidRDefault="00425C09" w:rsidP="00302409">
      <w:pPr>
        <w:spacing w:line="360" w:lineRule="auto"/>
        <w:ind w:firstLineChars="295" w:firstLine="708"/>
        <w:jc w:val="both"/>
        <w:rPr>
          <w:rFonts w:ascii="Arial" w:hAnsi="Arial"/>
          <w:sz w:val="24"/>
          <w:szCs w:val="24"/>
        </w:rPr>
      </w:pPr>
      <w:r>
        <w:rPr>
          <w:rFonts w:ascii="Arial" w:eastAsia="Times New Roman" w:hAnsi="Arial" w:cs="Times New Roman"/>
          <w:sz w:val="24"/>
          <w:szCs w:val="24"/>
        </w:rPr>
        <w:t>Tal Projeto de Lei, é de ordem relevantíssima, tanto para o direito civil na sua generalidade, quanto especificamente para a herança digital, a novidade é tamanha, que o jurista Flávio Tartuce (2025), o qual desempenha papel proeminente na condução dos trabalhos do anteprojeto de reforma ao Código Civil, assim aduziu em sua obra:</w:t>
      </w:r>
    </w:p>
    <w:p w:rsidR="009D60B7" w:rsidRDefault="009D60B7" w:rsidP="00B44A52">
      <w:pPr>
        <w:ind w:leftChars="-100" w:left="-220" w:firstLineChars="330" w:firstLine="792"/>
        <w:jc w:val="both"/>
        <w:rPr>
          <w:rFonts w:ascii="Arial" w:eastAsia="Times New Roman" w:hAnsi="Arial" w:cs="Times New Roman"/>
          <w:sz w:val="24"/>
          <w:szCs w:val="24"/>
        </w:rPr>
      </w:pPr>
    </w:p>
    <w:p w:rsidR="009D60B7" w:rsidRDefault="00425C09" w:rsidP="00302409">
      <w:pPr>
        <w:ind w:left="2268"/>
        <w:jc w:val="both"/>
        <w:rPr>
          <w:rFonts w:ascii="Arial" w:hAnsi="Arial"/>
          <w:sz w:val="20"/>
          <w:szCs w:val="20"/>
        </w:rPr>
      </w:pPr>
      <w:r>
        <w:rPr>
          <w:rFonts w:ascii="Arial" w:eastAsia="Times New Roman" w:hAnsi="Arial" w:cs="Times New Roman"/>
          <w:sz w:val="20"/>
          <w:szCs w:val="20"/>
        </w:rPr>
        <w:t xml:space="preserve">Além dos membros das subcomissões de Direito das Sucessões e Direito Digital, fizeram sugestões para a temática os Professores Pablo Malheiros, João </w:t>
      </w:r>
      <w:r>
        <w:rPr>
          <w:rFonts w:ascii="Arial" w:eastAsia="Times New Roman" w:hAnsi="Arial" w:cs="Times New Roman"/>
          <w:sz w:val="20"/>
          <w:szCs w:val="20"/>
        </w:rPr>
        <w:lastRenderedPageBreak/>
        <w:t>Aguirre, Ana Luiza Nevares, Simone Tassinari, entre outros. Insere-se, assim, um novo art. 1.791-A no Código Civil, prevendo que os bens digitais do falecido, de valor economicamente apreciável, integram a sua herança. Ainda conforme o comando, em seu projetado § 1.º, compreende-se como bens digitais o patrimônio intangível do falecido, abrangendo, entre outros, senhas, dados financeiros, perfis de redes sociais, contas, arquivos de conversas, vídeos e fotos, arquivos de outra natureza, pontuação em programas de recompensa ou incentivo e qualquer conteúdo de natureza econômica, armazenado ou acumulado em ambiente virtual, de titularidade do autor da herança. Procurou-se, portanto, ilustrar na norma o conteúdo da herança ou patrimônio digital, o que virá em boa hora, em prol da segurança jurídica. (Tartuce, 2025, p. 1808).</w:t>
      </w:r>
    </w:p>
    <w:p w:rsidR="009D60B7" w:rsidRDefault="009D60B7" w:rsidP="00B44A52">
      <w:pPr>
        <w:jc w:val="both"/>
        <w:rPr>
          <w:rFonts w:ascii="Arial" w:eastAsia="Times New Roman" w:hAnsi="Arial" w:cs="Times New Roman"/>
          <w:sz w:val="20"/>
          <w:szCs w:val="20"/>
        </w:rPr>
      </w:pPr>
    </w:p>
    <w:p w:rsidR="009D60B7"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É de se ver que o Projeto de Lei em comento é de grandiosa importância a atual temática, pois reveste de juridicidade toda problemática aqui discutida, em se tratando de patrimônio digital.  </w:t>
      </w:r>
    </w:p>
    <w:p w:rsidR="009D60B7" w:rsidRDefault="00425C09" w:rsidP="00302409">
      <w:pPr>
        <w:spacing w:line="360" w:lineRule="auto"/>
        <w:ind w:firstLineChars="330" w:firstLine="792"/>
        <w:jc w:val="both"/>
        <w:rPr>
          <w:rFonts w:ascii="Arial" w:hAnsi="Arial"/>
          <w:sz w:val="24"/>
          <w:szCs w:val="24"/>
        </w:rPr>
      </w:pPr>
      <w:r>
        <w:rPr>
          <w:rFonts w:ascii="Arial" w:eastAsia="Times New Roman" w:hAnsi="Arial" w:cs="Times New Roman"/>
          <w:sz w:val="24"/>
          <w:szCs w:val="24"/>
        </w:rPr>
        <w:t xml:space="preserve">Por fim, como sugestões para futuras pesquisas, destaca-se a necessidade de aprofundamento teórico acerca da natureza jurídica dos bens digitais, da extensão da tutela dos direitos da personalidade </w:t>
      </w:r>
      <w:r>
        <w:rPr>
          <w:rFonts w:ascii="Arial" w:eastAsia="Times New Roman" w:hAnsi="Arial" w:cs="Times New Roman"/>
          <w:i/>
          <w:iCs/>
          <w:sz w:val="24"/>
          <w:szCs w:val="24"/>
        </w:rPr>
        <w:t>post mortem</w:t>
      </w:r>
      <w:r>
        <w:rPr>
          <w:rFonts w:ascii="Arial" w:eastAsia="Times New Roman" w:hAnsi="Arial" w:cs="Times New Roman"/>
          <w:sz w:val="24"/>
          <w:szCs w:val="24"/>
        </w:rPr>
        <w:t xml:space="preserve"> no ambiente virtual e da responsabilidade das plataformas digitais nesse contexto. No campo legislativo, recomenda-se a elaboração de normas que conciliem inovação tecnológica, segurança jurídica e proteção dos direitos fundamentais, acompanhando a constante transformação da sociedade digital.</w:t>
      </w:r>
    </w:p>
    <w:p w:rsidR="009D60B7" w:rsidRDefault="00425C09" w:rsidP="00302409">
      <w:pPr>
        <w:spacing w:line="360" w:lineRule="auto"/>
        <w:ind w:firstLineChars="330" w:firstLine="792"/>
        <w:jc w:val="both"/>
        <w:rPr>
          <w:rFonts w:ascii="Arial" w:eastAsia="Times New Roman" w:hAnsi="Arial" w:cs="Times New Roman"/>
          <w:sz w:val="24"/>
          <w:szCs w:val="24"/>
        </w:rPr>
      </w:pPr>
      <w:r>
        <w:rPr>
          <w:rFonts w:ascii="Arial" w:eastAsia="Times New Roman" w:hAnsi="Arial" w:cs="Times New Roman"/>
          <w:sz w:val="24"/>
          <w:szCs w:val="24"/>
        </w:rPr>
        <w:t>Em síntese, a herança digital representa um fenômeno inevitável e irreversível, que exige do direito não apenas respostas pontuais, mas uma reconfiguração de seus institutos tradicionais, de modo a assegurar a efetividade do direito à herança sem descurar da dignidade da pessoa humana, que permanece como valor central do ordenamento jurídico, inclusive após a morte.</w:t>
      </w:r>
    </w:p>
    <w:p w:rsidR="009D60B7" w:rsidRDefault="009D60B7">
      <w:pPr>
        <w:spacing w:line="360" w:lineRule="auto"/>
        <w:jc w:val="both"/>
        <w:rPr>
          <w:rFonts w:ascii="Arial" w:eastAsia="Times New Roman" w:hAnsi="Arial" w:cs="Times New Roman"/>
          <w:sz w:val="24"/>
          <w:szCs w:val="24"/>
        </w:rPr>
      </w:pPr>
    </w:p>
    <w:p w:rsidR="009D60B7" w:rsidRPr="00EB26E2" w:rsidRDefault="00425C09">
      <w:pPr>
        <w:spacing w:line="360" w:lineRule="auto"/>
        <w:jc w:val="both"/>
        <w:rPr>
          <w:rFonts w:ascii="Arial" w:eastAsia="Times New Roman" w:hAnsi="Arial" w:cs="Times New Roman"/>
          <w:bCs/>
          <w:sz w:val="24"/>
          <w:szCs w:val="24"/>
        </w:rPr>
      </w:pPr>
      <w:r w:rsidRPr="00EB26E2">
        <w:rPr>
          <w:rFonts w:ascii="Arial" w:eastAsia="Times New Roman" w:hAnsi="Arial" w:cs="Times New Roman"/>
          <w:bCs/>
          <w:sz w:val="24"/>
          <w:szCs w:val="24"/>
        </w:rPr>
        <w:t xml:space="preserve">REFERÊNCIAS </w:t>
      </w:r>
    </w:p>
    <w:p w:rsidR="009D60B7" w:rsidRDefault="00425C09">
      <w:pPr>
        <w:rPr>
          <w:rFonts w:ascii="Arial" w:hAnsi="Arial" w:cs="Times New Roman"/>
          <w:sz w:val="24"/>
          <w:szCs w:val="24"/>
        </w:rPr>
      </w:pPr>
      <w:r>
        <w:rPr>
          <w:rFonts w:ascii="Arial" w:hAnsi="Arial" w:cs="Times New Roman"/>
          <w:sz w:val="24"/>
          <w:szCs w:val="24"/>
        </w:rPr>
        <w:t xml:space="preserve">ANDRIGHI, Nancy. </w:t>
      </w:r>
      <w:r>
        <w:rPr>
          <w:rFonts w:ascii="Arial" w:hAnsi="Arial" w:cs="Times New Roman"/>
          <w:b/>
          <w:bCs/>
          <w:sz w:val="24"/>
          <w:szCs w:val="24"/>
        </w:rPr>
        <w:t>Recurso Especial nº 2.124.424/SP</w:t>
      </w:r>
      <w:r>
        <w:rPr>
          <w:rFonts w:ascii="Arial" w:hAnsi="Arial" w:cs="Times New Roman"/>
          <w:sz w:val="24"/>
          <w:szCs w:val="24"/>
        </w:rPr>
        <w:t xml:space="preserve">. Superior Tribunal de Justiça, Brasília, DF, 9 set. 2025. Disponível em: </w:t>
      </w:r>
      <w:hyperlink r:id="rId199" w:tgtFrame="_blank">
        <w:r>
          <w:rPr>
            <w:rStyle w:val="Hyperlink1"/>
            <w:rFonts w:ascii="Arial" w:hAnsi="Arial" w:cs="Times New Roman"/>
            <w:sz w:val="24"/>
            <w:szCs w:val="24"/>
          </w:rPr>
          <w:t>https://www.stj.jus.br/</w:t>
        </w:r>
      </w:hyperlink>
      <w:r>
        <w:rPr>
          <w:rFonts w:ascii="Arial" w:hAnsi="Arial" w:cs="Times New Roman"/>
          <w:sz w:val="24"/>
          <w:szCs w:val="24"/>
        </w:rPr>
        <w:t>. Acesso em: 18 mar. 2026.</w:t>
      </w:r>
    </w:p>
    <w:p w:rsidR="009D60B7" w:rsidRDefault="009D60B7">
      <w:pPr>
        <w:rPr>
          <w:rFonts w:ascii="Arial"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BRASIL. [ALEMANHA]. Bundesgerichtshof. </w:t>
      </w:r>
      <w:r>
        <w:rPr>
          <w:rFonts w:ascii="Arial" w:eastAsia="Times New Roman" w:hAnsi="Arial" w:cs="Times New Roman"/>
          <w:b/>
          <w:bCs/>
          <w:sz w:val="24"/>
          <w:szCs w:val="24"/>
        </w:rPr>
        <w:t>III ZR 183/17</w:t>
      </w:r>
      <w:r>
        <w:rPr>
          <w:rFonts w:ascii="Arial" w:eastAsia="Times New Roman" w:hAnsi="Arial" w:cs="Times New Roman"/>
          <w:sz w:val="24"/>
          <w:szCs w:val="24"/>
        </w:rPr>
        <w:t xml:space="preserve">, 12 jul. 2018. Disponível em: </w:t>
      </w:r>
      <w:hyperlink r:id="rId200" w:tgtFrame="_blank">
        <w:r>
          <w:rPr>
            <w:rStyle w:val="Hyperlink1"/>
            <w:rFonts w:ascii="Arial" w:eastAsia="Times New Roman" w:hAnsi="Arial" w:cs="Times New Roman"/>
            <w:sz w:val="24"/>
            <w:szCs w:val="24"/>
          </w:rPr>
          <w:t>https://datenbank.nwb.de/Dokument/Anzeigen/741207/</w:t>
        </w:r>
      </w:hyperlink>
      <w:r>
        <w:rPr>
          <w:rFonts w:ascii="Arial" w:eastAsia="Times New Roman" w:hAnsi="Arial" w:cs="Times New Roman"/>
          <w:sz w:val="24"/>
          <w:szCs w:val="24"/>
        </w:rPr>
        <w:t>. Acesso em: 5 abr.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CALMON, Rafael. </w:t>
      </w:r>
      <w:r>
        <w:rPr>
          <w:rFonts w:ascii="Arial" w:eastAsia="Times New Roman" w:hAnsi="Arial" w:cs="Times New Roman"/>
          <w:b/>
          <w:bCs/>
          <w:sz w:val="24"/>
          <w:szCs w:val="24"/>
        </w:rPr>
        <w:t>Manual de Partilha de Bens</w:t>
      </w:r>
      <w:r>
        <w:rPr>
          <w:rFonts w:ascii="Arial" w:eastAsia="Times New Roman" w:hAnsi="Arial" w:cs="Times New Roman"/>
          <w:sz w:val="24"/>
          <w:szCs w:val="24"/>
        </w:rPr>
        <w:t xml:space="preserve"> - 6ª Edição 2025. 6. ed. Rio de Janeiro: SRV, 2025. E-book. p.261. ISBN 9788553625123. Disponível em: https://integrada.minhabiblioteca.com.br/reader/books/9788553625123/. Acesso em: 14 abr. 2026.</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CUNHA GONÇALVES, Luiz da. </w:t>
      </w:r>
      <w:r>
        <w:rPr>
          <w:rFonts w:ascii="Arial" w:eastAsia="Times New Roman" w:hAnsi="Arial" w:cs="Times New Roman"/>
          <w:b/>
          <w:bCs/>
          <w:sz w:val="24"/>
          <w:szCs w:val="24"/>
        </w:rPr>
        <w:t>Tratado de direito civil em comentário ao código civil português</w:t>
      </w:r>
      <w:r>
        <w:rPr>
          <w:rFonts w:ascii="Arial" w:eastAsia="Times New Roman" w:hAnsi="Arial" w:cs="Times New Roman"/>
          <w:sz w:val="24"/>
          <w:szCs w:val="24"/>
        </w:rPr>
        <w:t>. Adaptação ao direito brasileiro sob a supervisão de Orozimbo Nonato, Laudo de Camargo e Vicente Ráo. 2. ed. atual. e aum. São Paulo: Max Limonad, 1955, v. 9, t. 2.</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lastRenderedPageBreak/>
        <w:t xml:space="preserve">DIAS, Maria Berenice. </w:t>
      </w:r>
      <w:r>
        <w:rPr>
          <w:rFonts w:ascii="Arial" w:eastAsia="Times New Roman" w:hAnsi="Arial" w:cs="Times New Roman"/>
          <w:b/>
          <w:bCs/>
          <w:sz w:val="24"/>
          <w:szCs w:val="24"/>
        </w:rPr>
        <w:t>Manual das Sucessões</w:t>
      </w:r>
      <w:r>
        <w:rPr>
          <w:rFonts w:ascii="Arial" w:eastAsia="Times New Roman" w:hAnsi="Arial" w:cs="Times New Roman"/>
          <w:sz w:val="24"/>
          <w:szCs w:val="24"/>
        </w:rPr>
        <w:t>. 7ª ed., rev, ampl. e atual. Salvador. Editora JusPodivm, 2021.</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FACHIN, Zulmar Antônio; PINHEIRO, Valter Giuliano Mossini. </w:t>
      </w:r>
      <w:r>
        <w:rPr>
          <w:rFonts w:ascii="Arial" w:eastAsia="Times New Roman" w:hAnsi="Arial" w:cs="Times New Roman"/>
          <w:b/>
          <w:bCs/>
          <w:sz w:val="24"/>
          <w:szCs w:val="24"/>
        </w:rPr>
        <w:t>Bens digitais</w:t>
      </w:r>
      <w:r>
        <w:rPr>
          <w:rFonts w:ascii="Arial" w:eastAsia="Times New Roman" w:hAnsi="Arial" w:cs="Times New Roman"/>
          <w:sz w:val="24"/>
          <w:szCs w:val="24"/>
        </w:rPr>
        <w:t xml:space="preserve">: análise da possibilidade de tutela jurídica no Direito brasileiro. In: DIAS, Feliciano Alcides; TAVARES NETO, José Querino; ASSAFIM, João Marcelo de Lima (coord.). </w:t>
      </w:r>
      <w:r>
        <w:rPr>
          <w:rFonts w:ascii="Arial" w:eastAsia="Times New Roman" w:hAnsi="Arial" w:cs="Times New Roman"/>
          <w:b/>
          <w:bCs/>
          <w:sz w:val="24"/>
          <w:szCs w:val="24"/>
        </w:rPr>
        <w:t>Direito, inovação, propriedade intelectual e concorrência</w:t>
      </w:r>
      <w:r>
        <w:rPr>
          <w:rFonts w:ascii="Arial" w:eastAsia="Times New Roman" w:hAnsi="Arial" w:cs="Times New Roman"/>
          <w:sz w:val="24"/>
          <w:szCs w:val="24"/>
        </w:rPr>
        <w:t xml:space="preserve">. Florianópolis: CONPEDI, 2018. </w:t>
      </w:r>
    </w:p>
    <w:p w:rsidR="009D60B7" w:rsidRDefault="009D60B7">
      <w:pPr>
        <w:rPr>
          <w:rFonts w:ascii="Arial" w:eastAsia="Times New Roman"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GONÇALVES, Carlos  Roberto. </w:t>
      </w:r>
      <w:r>
        <w:rPr>
          <w:rFonts w:ascii="Arial" w:eastAsia="Times New Roman" w:hAnsi="Arial" w:cs="Times New Roman"/>
          <w:b/>
          <w:bCs/>
          <w:sz w:val="24"/>
          <w:szCs w:val="24"/>
        </w:rPr>
        <w:t>Direito Civil brasileiro</w:t>
      </w:r>
      <w:r>
        <w:rPr>
          <w:rFonts w:ascii="Arial" w:eastAsia="Times New Roman" w:hAnsi="Arial" w:cs="Times New Roman"/>
          <w:sz w:val="24"/>
          <w:szCs w:val="24"/>
        </w:rPr>
        <w:t>: parte geral. 20. ed. São Paulo: SaraivaJur, 2022. v. 1.</w:t>
      </w:r>
    </w:p>
    <w:p w:rsidR="009D60B7" w:rsidRDefault="009D60B7">
      <w:pPr>
        <w:rPr>
          <w:rFonts w:ascii="Arial" w:eastAsia="Times New Roman" w:hAnsi="Arial" w:cs="Times New Roman"/>
          <w:sz w:val="24"/>
          <w:szCs w:val="24"/>
        </w:rPr>
      </w:pPr>
    </w:p>
    <w:p w:rsidR="009D60B7" w:rsidRDefault="00425C09">
      <w:pPr>
        <w:rPr>
          <w:rFonts w:ascii="Arial" w:hAnsi="Arial" w:cs="Times New Roman"/>
          <w:sz w:val="24"/>
          <w:szCs w:val="24"/>
        </w:rPr>
      </w:pPr>
      <w:r>
        <w:rPr>
          <w:rFonts w:ascii="Arial" w:hAnsi="Arial" w:cs="Times New Roman"/>
          <w:sz w:val="24"/>
          <w:szCs w:val="24"/>
        </w:rPr>
        <w:t xml:space="preserve">IBAHIA. </w:t>
      </w:r>
      <w:r>
        <w:rPr>
          <w:rFonts w:ascii="Arial" w:hAnsi="Arial" w:cs="Times New Roman"/>
          <w:b/>
          <w:bCs/>
          <w:sz w:val="24"/>
          <w:szCs w:val="24"/>
        </w:rPr>
        <w:t>Após morte, Gabriel Diniz ganha 700 mil seguidores em menos de dez horas</w:t>
      </w:r>
      <w:r>
        <w:rPr>
          <w:rFonts w:ascii="Arial" w:hAnsi="Arial" w:cs="Times New Roman"/>
          <w:sz w:val="24"/>
          <w:szCs w:val="24"/>
        </w:rPr>
        <w:t xml:space="preserve">. 2019. Disponível em: </w:t>
      </w:r>
      <w:hyperlink r:id="rId201" w:tgtFrame="_blank">
        <w:r>
          <w:rPr>
            <w:rStyle w:val="Hyperlink1"/>
            <w:rFonts w:ascii="Arial" w:hAnsi="Arial" w:cs="Times New Roman"/>
            <w:sz w:val="24"/>
            <w:szCs w:val="24"/>
          </w:rPr>
          <w:t>https://www.ibahia.com/brasil/detalhe/noticia/apos-morte-gabriel-diniz-ganha-700-mil-seguidores-em-menos-de-dez-horas/</w:t>
        </w:r>
      </w:hyperlink>
      <w:r>
        <w:rPr>
          <w:rFonts w:ascii="Arial" w:hAnsi="Arial" w:cs="Times New Roman"/>
          <w:sz w:val="24"/>
          <w:szCs w:val="24"/>
        </w:rPr>
        <w:t>. Acesso em: 17 jan. 2020.</w:t>
      </w:r>
    </w:p>
    <w:p w:rsidR="009D60B7" w:rsidRDefault="009D60B7">
      <w:pPr>
        <w:rPr>
          <w:rFonts w:ascii="Arial"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PERLINGIERI, Pietro. </w:t>
      </w:r>
      <w:r>
        <w:rPr>
          <w:rFonts w:ascii="Arial" w:eastAsia="Times New Roman" w:hAnsi="Arial" w:cs="Times New Roman"/>
          <w:b/>
          <w:bCs/>
          <w:sz w:val="24"/>
          <w:szCs w:val="24"/>
        </w:rPr>
        <w:t>Perfis do direito civil</w:t>
      </w:r>
      <w:r>
        <w:rPr>
          <w:rFonts w:ascii="Arial" w:eastAsia="Times New Roman" w:hAnsi="Arial" w:cs="Times New Roman"/>
          <w:sz w:val="24"/>
          <w:szCs w:val="24"/>
        </w:rPr>
        <w:t>: introdução ao direito civil constitucional. Tradução de Maria Cristina de Cicco. 3ª edição, Rio de Janeiro. Editora Renovar, 2002.</w:t>
      </w:r>
    </w:p>
    <w:p w:rsidR="009D60B7" w:rsidRDefault="009D60B7">
      <w:pPr>
        <w:rPr>
          <w:rFonts w:ascii="Arial" w:eastAsia="Times New Roman" w:hAnsi="Arial" w:cs="Times New Roman"/>
          <w:sz w:val="24"/>
          <w:szCs w:val="24"/>
        </w:rPr>
      </w:pPr>
    </w:p>
    <w:p w:rsidR="009D60B7" w:rsidRDefault="00425C09">
      <w:pPr>
        <w:rPr>
          <w:rFonts w:ascii="Arial" w:hAnsi="Arial" w:cs="Times New Roman"/>
          <w:sz w:val="24"/>
          <w:szCs w:val="24"/>
        </w:rPr>
      </w:pPr>
      <w:r>
        <w:rPr>
          <w:rFonts w:ascii="Arial" w:hAnsi="Arial" w:cs="Times New Roman"/>
          <w:sz w:val="24"/>
          <w:szCs w:val="24"/>
        </w:rPr>
        <w:t xml:space="preserve">TARTUCE, Flávio. </w:t>
      </w:r>
      <w:r>
        <w:rPr>
          <w:rFonts w:ascii="Arial" w:hAnsi="Arial" w:cs="Times New Roman"/>
          <w:b/>
          <w:bCs/>
          <w:sz w:val="24"/>
          <w:szCs w:val="24"/>
        </w:rPr>
        <w:t>Manual de Direito Civil</w:t>
      </w:r>
      <w:r>
        <w:rPr>
          <w:rFonts w:ascii="Arial" w:hAnsi="Arial" w:cs="Times New Roman"/>
          <w:sz w:val="24"/>
          <w:szCs w:val="24"/>
        </w:rPr>
        <w:t xml:space="preserve"> - Vol. Único - 15ª Edição 2025. 15. ed. Rio de Janeiro: Método, 2025. E-book. p.1808. ISBN 9788530995959. Disponível em: https://integrada.minhabiblioteca.com.br/reader/books/9788530995959/. Acesso em: 14 abr. 2026.</w:t>
      </w:r>
    </w:p>
    <w:p w:rsidR="009D60B7" w:rsidRDefault="009D60B7">
      <w:pPr>
        <w:rPr>
          <w:rFonts w:ascii="Arial" w:hAnsi="Arial" w:cs="Times New Roman"/>
          <w:sz w:val="24"/>
          <w:szCs w:val="24"/>
        </w:rPr>
      </w:pPr>
    </w:p>
    <w:p w:rsidR="009D60B7" w:rsidRDefault="00425C09">
      <w:pPr>
        <w:rPr>
          <w:rFonts w:ascii="Arial" w:eastAsia="Times New Roman" w:hAnsi="Arial" w:cs="Times New Roman"/>
          <w:sz w:val="24"/>
          <w:szCs w:val="24"/>
        </w:rPr>
      </w:pPr>
      <w:r>
        <w:rPr>
          <w:rFonts w:ascii="Arial" w:eastAsia="Times New Roman" w:hAnsi="Arial" w:cs="Times New Roman"/>
          <w:sz w:val="24"/>
          <w:szCs w:val="24"/>
        </w:rPr>
        <w:t xml:space="preserve">TEIXEIRA, Ana Carolina e TEIXEIRA, Livia, </w:t>
      </w:r>
      <w:r>
        <w:rPr>
          <w:rFonts w:ascii="Arial" w:eastAsia="Times New Roman" w:hAnsi="Arial" w:cs="Times New Roman"/>
          <w:b/>
          <w:bCs/>
          <w:sz w:val="24"/>
          <w:szCs w:val="24"/>
        </w:rPr>
        <w:t>Herança Digital, Controvérsias e Alternativas</w:t>
      </w:r>
      <w:r>
        <w:rPr>
          <w:rFonts w:ascii="Arial" w:eastAsia="Times New Roman" w:hAnsi="Arial" w:cs="Times New Roman"/>
          <w:sz w:val="24"/>
          <w:szCs w:val="24"/>
        </w:rPr>
        <w:t>. 2ª ed. Tomo 1, São Paulo, Editora Foco, 2022.</w:t>
      </w:r>
    </w:p>
    <w:p w:rsidR="009D60B7" w:rsidRDefault="009D60B7">
      <w:pPr>
        <w:rPr>
          <w:rFonts w:ascii="Arial" w:eastAsia="Times New Roman" w:hAnsi="Arial" w:cs="Times New Roman"/>
          <w:sz w:val="24"/>
          <w:szCs w:val="24"/>
        </w:rPr>
      </w:pPr>
    </w:p>
    <w:p w:rsidR="009D60B7" w:rsidRDefault="00425C09">
      <w:pPr>
        <w:rPr>
          <w:rFonts w:ascii="Arial" w:hAnsi="Arial" w:cs="Times New Roman"/>
          <w:sz w:val="24"/>
          <w:szCs w:val="24"/>
        </w:rPr>
      </w:pPr>
      <w:r>
        <w:rPr>
          <w:rFonts w:ascii="Arial" w:hAnsi="Arial" w:cs="Times New Roman"/>
          <w:sz w:val="24"/>
          <w:szCs w:val="24"/>
        </w:rPr>
        <w:t xml:space="preserve">VEJA SÃO PAULO. </w:t>
      </w:r>
      <w:r>
        <w:rPr>
          <w:rFonts w:ascii="Arial" w:hAnsi="Arial" w:cs="Times New Roman"/>
          <w:b/>
          <w:bCs/>
          <w:sz w:val="24"/>
          <w:szCs w:val="24"/>
        </w:rPr>
        <w:t>Carol Bittencourt ganha milhares de seguidores e Fábio de Melo comenta</w:t>
      </w:r>
      <w:r>
        <w:rPr>
          <w:rFonts w:ascii="Arial" w:hAnsi="Arial" w:cs="Times New Roman"/>
          <w:sz w:val="24"/>
          <w:szCs w:val="24"/>
        </w:rPr>
        <w:t xml:space="preserve">. 2019. Disponível em: </w:t>
      </w:r>
      <w:hyperlink r:id="rId202" w:tgtFrame="_blank">
        <w:r>
          <w:rPr>
            <w:rStyle w:val="Hyperlink1"/>
            <w:rFonts w:ascii="Arial" w:hAnsi="Arial" w:cs="Times New Roman"/>
            <w:sz w:val="24"/>
            <w:szCs w:val="24"/>
          </w:rPr>
          <w:t>https://vejasp.abril.com.br/blog/pop/carol-bittencourt-instagram-seguidores-fabio-melo/</w:t>
        </w:r>
      </w:hyperlink>
      <w:r>
        <w:rPr>
          <w:rFonts w:ascii="Arial" w:hAnsi="Arial" w:cs="Times New Roman"/>
          <w:sz w:val="24"/>
          <w:szCs w:val="24"/>
        </w:rPr>
        <w:t>. Acesso em: 17 jan. 2020.</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ZAMPIER, Bruno. </w:t>
      </w:r>
      <w:r>
        <w:rPr>
          <w:rFonts w:ascii="Arial" w:hAnsi="Arial" w:cs="Times New Roman"/>
          <w:b/>
          <w:bCs/>
          <w:sz w:val="24"/>
          <w:szCs w:val="24"/>
        </w:rPr>
        <w:t>Bens digitais</w:t>
      </w:r>
      <w:r>
        <w:rPr>
          <w:rFonts w:ascii="Arial" w:hAnsi="Arial" w:cs="Times New Roman"/>
          <w:sz w:val="24"/>
          <w:szCs w:val="24"/>
        </w:rPr>
        <w:t>: cybercultura, redes sociais, e-mails, músicas, livros, milhas aéreas, moedas virtuais. 2. ed. Indaiatuba: Foco, 2021.</w:t>
      </w: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5831C4" w:rsidRDefault="005831C4">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Pr="005831C4" w:rsidRDefault="00425C09" w:rsidP="005831C4">
      <w:pPr>
        <w:pStyle w:val="Ttulo1"/>
        <w:spacing w:before="0"/>
        <w:ind w:left="96"/>
        <w:rPr>
          <w:rFonts w:ascii="Arial" w:hAnsi="Arial"/>
        </w:rPr>
      </w:pPr>
      <w:bookmarkStart w:id="31" w:name="_GoBack_Copia_4"/>
      <w:r w:rsidRPr="005831C4">
        <w:rPr>
          <w:rFonts w:ascii="Arial" w:hAnsi="Arial" w:cs="Arial"/>
          <w:b/>
          <w:bCs/>
        </w:rPr>
        <w:lastRenderedPageBreak/>
        <w:t>A INFLUÊNCIA DA CULTURA PATRIARCAL</w:t>
      </w:r>
      <w:bookmarkEnd w:id="31"/>
      <w:r w:rsidRPr="005831C4">
        <w:rPr>
          <w:rFonts w:ascii="Arial" w:hAnsi="Arial" w:cs="Arial"/>
          <w:b/>
          <w:bCs/>
        </w:rPr>
        <w:t xml:space="preserve"> NA CULPABILIZAÇÃO DA</w:t>
      </w:r>
      <w:r w:rsidR="005831C4">
        <w:rPr>
          <w:rFonts w:ascii="Arial" w:hAnsi="Arial"/>
        </w:rPr>
        <w:t xml:space="preserve"> </w:t>
      </w:r>
      <w:r w:rsidRPr="005831C4">
        <w:rPr>
          <w:rFonts w:ascii="Arial" w:hAnsi="Arial" w:cs="Arial"/>
          <w:b/>
          <w:bCs/>
        </w:rPr>
        <w:t>V</w:t>
      </w:r>
      <w:r w:rsidRPr="005831C4">
        <w:rPr>
          <w:rFonts w:ascii="Arial" w:hAnsi="Arial" w:cs="Arial"/>
          <w:b/>
          <w:bCs/>
          <w:lang w:val="pt-BR"/>
        </w:rPr>
        <w:t>Í</w:t>
      </w:r>
      <w:r w:rsidRPr="005831C4">
        <w:rPr>
          <w:rFonts w:ascii="Arial" w:hAnsi="Arial" w:cs="Arial"/>
          <w:b/>
          <w:bCs/>
        </w:rPr>
        <w:t>TIMA E SEUS REFLEXOS NA ATUAÇÃO DO SISTEMA PENAL NOS CASOS DE VIOLÊNCIA CONTRA A MULHER</w:t>
      </w:r>
      <w:r w:rsidRPr="005831C4">
        <w:rPr>
          <w:rFonts w:ascii="Arial" w:hAnsi="Arial" w:cs="Arial"/>
          <w:b/>
          <w:bCs/>
          <w:lang w:val="pt-BR"/>
        </w:rPr>
        <w:t xml:space="preserve"> </w:t>
      </w:r>
      <w:r w:rsidRPr="005831C4">
        <w:rPr>
          <w:rFonts w:ascii="Arial" w:hAnsi="Arial" w:cs="Arial"/>
          <w:b/>
          <w:bCs/>
        </w:rPr>
        <w:t>N</w:t>
      </w:r>
      <w:r w:rsidRPr="005831C4">
        <w:rPr>
          <w:rFonts w:ascii="Arial" w:hAnsi="Arial" w:cs="Arial"/>
          <w:b/>
          <w:bCs/>
          <w:lang w:val="pt-BR"/>
        </w:rPr>
        <w:t>O</w:t>
      </w:r>
      <w:r w:rsidRPr="005831C4">
        <w:rPr>
          <w:rFonts w:ascii="Arial" w:hAnsi="Arial" w:cs="Arial"/>
          <w:b/>
          <w:bCs/>
        </w:rPr>
        <w:t xml:space="preserve"> CENTRO-OESTE BRASILEIRO</w:t>
      </w:r>
    </w:p>
    <w:p w:rsidR="009D60B7" w:rsidRDefault="009D60B7">
      <w:pPr>
        <w:pStyle w:val="Corpodetexto"/>
        <w:rPr>
          <w:rFonts w:ascii="Arial" w:hAnsi="Arial"/>
          <w:b/>
          <w:bCs/>
          <w:sz w:val="24"/>
          <w:szCs w:val="24"/>
        </w:rPr>
      </w:pPr>
    </w:p>
    <w:p w:rsidR="009D60B7" w:rsidRDefault="009D60B7">
      <w:pPr>
        <w:pStyle w:val="Corpodetexto"/>
        <w:ind w:right="138"/>
        <w:jc w:val="center"/>
        <w:rPr>
          <w:rFonts w:ascii="Arial" w:hAnsi="Arial" w:cs="Arial"/>
          <w:sz w:val="24"/>
          <w:szCs w:val="24"/>
        </w:rPr>
      </w:pPr>
    </w:p>
    <w:p w:rsidR="009D60B7" w:rsidRDefault="00425C09">
      <w:pPr>
        <w:pStyle w:val="Corpodetexto"/>
        <w:ind w:right="138"/>
        <w:jc w:val="center"/>
        <w:rPr>
          <w:rFonts w:ascii="Arial" w:hAnsi="Arial"/>
          <w:sz w:val="24"/>
          <w:szCs w:val="24"/>
        </w:rPr>
      </w:pPr>
      <w:r>
        <w:rPr>
          <w:rFonts w:ascii="Arial" w:hAnsi="Arial" w:cs="Arial"/>
          <w:sz w:val="24"/>
          <w:szCs w:val="24"/>
        </w:rPr>
        <w:t>Anna Clara Miranda Lopes</w:t>
      </w:r>
      <w:r>
        <w:rPr>
          <w:rStyle w:val="Refdenotaderodap"/>
          <w:rFonts w:ascii="Arial" w:hAnsi="Arial" w:cs="Arial"/>
          <w:sz w:val="24"/>
          <w:szCs w:val="24"/>
        </w:rPr>
        <w:footnoteReference w:id="39"/>
      </w:r>
      <w:r>
        <w:rPr>
          <w:rFonts w:ascii="Arial" w:hAnsi="Arial" w:cs="Arial"/>
          <w:sz w:val="24"/>
          <w:szCs w:val="24"/>
        </w:rPr>
        <w:br/>
        <w:t>Ana Beatriz dos Santos Silva</w:t>
      </w:r>
      <w:r>
        <w:rPr>
          <w:rStyle w:val="Refdenotaderodap"/>
          <w:rFonts w:ascii="Arial" w:hAnsi="Arial" w:cs="Arial"/>
          <w:sz w:val="24"/>
          <w:szCs w:val="24"/>
        </w:rPr>
        <w:footnoteReference w:id="40"/>
      </w:r>
      <w:r>
        <w:rPr>
          <w:rFonts w:ascii="Arial" w:hAnsi="Arial" w:cs="Arial"/>
          <w:sz w:val="24"/>
          <w:szCs w:val="24"/>
        </w:rPr>
        <w:t xml:space="preserve"> </w:t>
      </w:r>
    </w:p>
    <w:p w:rsidR="009D60B7" w:rsidRDefault="00425C09">
      <w:pPr>
        <w:pStyle w:val="Corpodetexto"/>
        <w:ind w:right="138"/>
        <w:jc w:val="center"/>
        <w:rPr>
          <w:rFonts w:ascii="Arial" w:hAnsi="Arial"/>
          <w:sz w:val="24"/>
          <w:szCs w:val="24"/>
        </w:rPr>
      </w:pPr>
      <w:r>
        <w:rPr>
          <w:rFonts w:ascii="Arial" w:hAnsi="Arial" w:cs="Arial"/>
          <w:sz w:val="24"/>
          <w:szCs w:val="24"/>
        </w:rPr>
        <w:t>Luis Felipe Viana Dias</w:t>
      </w:r>
      <w:r>
        <w:rPr>
          <w:rStyle w:val="Refdenotaderodap"/>
          <w:rFonts w:ascii="Arial" w:hAnsi="Arial" w:cs="Arial"/>
          <w:sz w:val="24"/>
          <w:szCs w:val="24"/>
        </w:rPr>
        <w:footnoteReference w:id="41"/>
      </w:r>
      <w:r>
        <w:rPr>
          <w:rFonts w:ascii="Arial" w:hAnsi="Arial" w:cs="Arial"/>
          <w:sz w:val="24"/>
          <w:szCs w:val="24"/>
        </w:rPr>
        <w:br/>
        <w:t>Jennifer Vitória de Sousa Morais</w:t>
      </w:r>
      <w:r>
        <w:rPr>
          <w:rStyle w:val="Refdenotaderodap"/>
          <w:rFonts w:ascii="Arial" w:hAnsi="Arial" w:cs="Arial"/>
          <w:sz w:val="24"/>
          <w:szCs w:val="24"/>
        </w:rPr>
        <w:footnoteReference w:id="42"/>
      </w:r>
    </w:p>
    <w:p w:rsidR="009D60B7" w:rsidRDefault="00425C09">
      <w:pPr>
        <w:pStyle w:val="Corpodetexto"/>
        <w:ind w:right="138"/>
        <w:jc w:val="center"/>
        <w:rPr>
          <w:rFonts w:ascii="Arial" w:hAnsi="Arial"/>
          <w:sz w:val="24"/>
          <w:szCs w:val="24"/>
        </w:rPr>
      </w:pPr>
      <w:r>
        <w:rPr>
          <w:rFonts w:ascii="Arial" w:hAnsi="Arial" w:cs="Arial"/>
          <w:sz w:val="24"/>
          <w:szCs w:val="24"/>
        </w:rPr>
        <w:t>Cristiane Ingrid de Souza Bonfim</w:t>
      </w:r>
      <w:r>
        <w:rPr>
          <w:rStyle w:val="Refdenotaderodap"/>
          <w:rFonts w:ascii="Arial" w:hAnsi="Arial" w:cs="Arial"/>
          <w:sz w:val="24"/>
          <w:szCs w:val="24"/>
        </w:rPr>
        <w:footnoteReference w:id="43"/>
      </w:r>
    </w:p>
    <w:p w:rsidR="009D60B7" w:rsidRDefault="009D60B7">
      <w:pPr>
        <w:pStyle w:val="Corpodetexto"/>
        <w:jc w:val="right"/>
        <w:rPr>
          <w:rFonts w:ascii="Arial" w:hAnsi="Arial"/>
          <w:sz w:val="24"/>
          <w:szCs w:val="24"/>
        </w:rPr>
      </w:pPr>
    </w:p>
    <w:p w:rsidR="009D60B7" w:rsidRDefault="009D60B7">
      <w:pPr>
        <w:pStyle w:val="Corpodetexto"/>
        <w:spacing w:before="65"/>
        <w:rPr>
          <w:rFonts w:ascii="Arial" w:hAnsi="Arial"/>
          <w:sz w:val="24"/>
          <w:szCs w:val="24"/>
        </w:rPr>
      </w:pPr>
    </w:p>
    <w:p w:rsidR="009D60B7" w:rsidRDefault="00425C09">
      <w:pPr>
        <w:pStyle w:val="Ttulo1"/>
        <w:spacing w:before="1"/>
        <w:rPr>
          <w:rFonts w:ascii="Arial" w:hAnsi="Arial"/>
          <w:b/>
          <w:bCs/>
          <w:sz w:val="24"/>
          <w:szCs w:val="24"/>
        </w:rPr>
      </w:pPr>
      <w:bookmarkStart w:id="32" w:name="RESUMO"/>
      <w:bookmarkEnd w:id="32"/>
      <w:r>
        <w:rPr>
          <w:rFonts w:ascii="Arial" w:hAnsi="Arial" w:cs="Arial"/>
          <w:b/>
          <w:bCs/>
          <w:spacing w:val="-2"/>
          <w:sz w:val="24"/>
          <w:szCs w:val="24"/>
        </w:rPr>
        <w:t>RESUMO</w:t>
      </w:r>
    </w:p>
    <w:p w:rsidR="009D60B7" w:rsidRDefault="009D60B7">
      <w:pPr>
        <w:pStyle w:val="Ttulo1"/>
        <w:spacing w:before="1"/>
        <w:rPr>
          <w:rFonts w:ascii="Arial" w:hAnsi="Arial" w:cs="Arial"/>
          <w:spacing w:val="-2"/>
          <w:sz w:val="20"/>
          <w:szCs w:val="20"/>
        </w:rPr>
      </w:pPr>
    </w:p>
    <w:p w:rsidR="009D60B7" w:rsidRDefault="00425C09">
      <w:pPr>
        <w:pStyle w:val="Corpodetexto"/>
        <w:jc w:val="both"/>
        <w:rPr>
          <w:rFonts w:ascii="Arial" w:hAnsi="Arial"/>
        </w:rPr>
      </w:pPr>
      <w:r>
        <w:rPr>
          <w:rFonts w:ascii="Arial" w:hAnsi="Arial"/>
        </w:rPr>
        <w:t>O presente artigo analisa em que medida a cultura patriarcal, enraizada em contextos rurais e tradicionais do Centro-Oeste brasileiro, influencia a culpabilização da vítima e compromete a atuação do sistema penal nos casos de violência contra a mulher. A pesquisa adota abordagem qualitativa, com base em revisão bibliográfica e análise de dados institucionais. O artigo estrutura-se em três momentos: inicialmente, aborda-se a construção teórica da cultura patriarcal e sua relação com a violência de gênero; em seguida, analisa-se o fenômeno da culpabilização da vítima; e, por fim, examinam-se os reflexos dessa dinâmica na atuação do sistema penal.</w:t>
      </w:r>
      <w:r>
        <w:rPr>
          <w:rFonts w:ascii="Arial" w:hAnsi="Arial"/>
          <w:lang w:val="pt-BR"/>
        </w:rPr>
        <w:t xml:space="preserve"> </w:t>
      </w:r>
      <w:r>
        <w:rPr>
          <w:rFonts w:ascii="Arial" w:hAnsi="Arial"/>
        </w:rPr>
        <w:t>Concluiu-</w:t>
      </w:r>
      <w:r>
        <w:rPr>
          <w:rFonts w:ascii="Arial" w:hAnsi="Arial"/>
          <w:lang w:val="pt-BR"/>
        </w:rPr>
        <w:t>s</w:t>
      </w:r>
      <w:r>
        <w:rPr>
          <w:rFonts w:ascii="Arial" w:hAnsi="Arial"/>
        </w:rPr>
        <w:t>e que  padrões culturais historicamente construídos contribuem para a naturalização da violência de gênero e para a reprodução de estereótipos que fragilizam a posição da vítima no processo penal. Observa-se que tais fatores impactam a atuação de agentes institucionais, resultando em desconfiança quanto ao relato da vítima, dificuldades na produção probatória e práticas de revitimização. Mas, embora o ordenamento jurídico disponha de instrumentos relevantes de proteção, sua efetividade é limitada por fatores culturais, sendo necessária a adoção de medidas institucionais e políticas públicas integradas.</w:t>
      </w:r>
    </w:p>
    <w:p w:rsidR="009D60B7" w:rsidRDefault="009D60B7">
      <w:pPr>
        <w:pStyle w:val="Corpodetexto"/>
        <w:jc w:val="both"/>
        <w:rPr>
          <w:rFonts w:ascii="Arial" w:hAnsi="Arial"/>
        </w:rPr>
      </w:pPr>
    </w:p>
    <w:p w:rsidR="009D60B7" w:rsidRDefault="00425C09">
      <w:pPr>
        <w:pStyle w:val="Corpodetexto"/>
        <w:rPr>
          <w:rFonts w:ascii="Arial" w:hAnsi="Arial"/>
        </w:rPr>
      </w:pPr>
      <w:r>
        <w:rPr>
          <w:rFonts w:ascii="Arial" w:hAnsi="Arial"/>
          <w:b/>
          <w:spacing w:val="-2"/>
        </w:rPr>
        <w:t>PALAVRAS-CHAVE:</w:t>
      </w:r>
      <w:r>
        <w:rPr>
          <w:rFonts w:ascii="Arial" w:hAnsi="Arial"/>
          <w:b/>
          <w:spacing w:val="-1"/>
        </w:rPr>
        <w:t xml:space="preserve"> </w:t>
      </w:r>
      <w:r>
        <w:rPr>
          <w:rFonts w:ascii="Arial" w:hAnsi="Arial"/>
          <w:bCs/>
          <w:spacing w:val="-1"/>
        </w:rPr>
        <w:t>Patriarcado. Culpabilização da Vítima. Violência Vicária. Centro-Oeste. Sistema Penal.</w:t>
      </w:r>
      <w:bookmarkStart w:id="33" w:name="INTRODUÇÃO__"/>
      <w:bookmarkEnd w:id="33"/>
    </w:p>
    <w:p w:rsidR="009D60B7" w:rsidRDefault="009D60B7">
      <w:pPr>
        <w:pStyle w:val="Corpodetexto"/>
        <w:rPr>
          <w:rFonts w:ascii="Arial" w:hAnsi="Arial"/>
        </w:rPr>
      </w:pPr>
    </w:p>
    <w:p w:rsidR="009D60B7" w:rsidRDefault="00425C09">
      <w:pPr>
        <w:pStyle w:val="Ttulo2"/>
        <w:spacing w:line="360" w:lineRule="auto"/>
        <w:ind w:left="0"/>
        <w:jc w:val="both"/>
        <w:rPr>
          <w:rFonts w:ascii="Arial" w:hAnsi="Arial"/>
          <w:sz w:val="24"/>
          <w:szCs w:val="24"/>
        </w:rPr>
      </w:pPr>
      <w:r>
        <w:rPr>
          <w:rFonts w:ascii="Arial" w:hAnsi="Arial"/>
          <w:spacing w:val="-2"/>
          <w:sz w:val="24"/>
          <w:szCs w:val="24"/>
        </w:rPr>
        <w:t>INTRODUÇÃO</w:t>
      </w:r>
      <w:r>
        <w:rPr>
          <w:rFonts w:ascii="Arial" w:hAnsi="Arial"/>
          <w:sz w:val="24"/>
          <w:szCs w:val="24"/>
        </w:rPr>
        <w:br/>
        <w:t xml:space="preserve">           A violência contra a mulher permanece como uma das mais graves violações de direitos humanos no Brasil, manifestando-se de forma extrema no feminicídio, considerado a mais elevada expressão da violência de gênero. De acordo com dados do Fórum Brasileiro de Segurança Pública (2024), o país registrou 1.463 casos de feminicídio em 2023, o maior número da série histórica, evidenciando a persistência desse tipo de crime. Segundo esse mesmo levantamento, a região Centro-Oeste apresenta elevados índices de feminicídio, com média de 2 vítimas a cada 100 mil </w:t>
      </w:r>
      <w:r>
        <w:rPr>
          <w:rFonts w:ascii="Arial" w:hAnsi="Arial"/>
          <w:sz w:val="24"/>
          <w:szCs w:val="24"/>
        </w:rPr>
        <w:lastRenderedPageBreak/>
        <w:t>mulheres, o que suscita reflexões acerca dos fatores sociais e culturais que contribuem para sua incidência, bem como sobre a forma como esses casos são interpretados social e institucionalmente.</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 xml:space="preserve">Nesse contexto, o Centro-Oeste brasileiro apresenta particularidades socioculturais relevantes que, em determinados cenários, se caracterizam por um estilo de vida mais rural e tradicional, fortemente vinculado à cultura agropecuária, na qual valores e costumes são frequentemente transmitidos de forma intergeracional. Nesse ambiente, estruturas patriarcais tendem a se perpetuar por meio de narrativas que reforçam a predominância masculina sobre a mulher, como a valorização de papéis de gênero rigidamente definidos, a atribuição da mulher ao espaço doméstico e a manutenção de uma hierarquia familiar tradicional. </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Tal dinâmica decorre da persistência de práticas socioculturais historicamente consolidadas, que contribuem para a reprodução de desigualdades de gênero e influenciam a forma como a violência contra a mulher é interpretada, podendo, inclusive, levar à sua relativização.</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 xml:space="preserve">Essa lógica não se restringe ao âmbito social, refletindo-se também na atuação dos agentes responsáveis pela segurança pública e pela persecução penal. Em diversos casos, a presença de estereótipos de gênero enraizados pode comprometer o adequado desenvolvimento das investigações, manifestando-se, por exemplo, na desvalorização do relato da vítima, na ênfase indevida sobre seu comportamento ou estilo de vida e na relativização da gravidade das agressões. </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Tais práticas podem resultar na culpabilização indireta da vítima, em detrimento do acolhimento e da proteção que lhe são devidos, além de contribuir para a revitimização ao longo do processo. Esse cenário evidencia não apenas fragilidades institucionais, mas também a reprodução de padrões discriminatórios no interior das próprias instâncias responsáveis pela aplicação da justiça.</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Diante desse cenário, questiona-se: em que medida a cultura patriarcal influencia a culpabilização da vítima e compromete a atuação do sistema penal nos casos de violência contra a mulher no Centro-Oeste brasileiro?</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 xml:space="preserve">O presente artigo tem como objetivo geral: analisar a influência da cultura patriarcal na culpabilização da vítima, bem como seus reflexos na atuação do sistema penal, a fim de compreender os limites e desafios enfrentados na efetivação da proteção jurídica às mulheres. </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 xml:space="preserve">Para tanto, adota-se metodologia de natureza qualitativa, com base em pesquisa bibliográfica, análise legislativa e exame de dados estatísticos relacionados à violência </w:t>
      </w:r>
      <w:r>
        <w:rPr>
          <w:rFonts w:ascii="Arial" w:hAnsi="Arial"/>
          <w:sz w:val="24"/>
          <w:szCs w:val="24"/>
        </w:rPr>
        <w:lastRenderedPageBreak/>
        <w:t>de gênero. Justifica-se a relevância do tema diante da necessidade de problematizar não apenas a ocorrência da violência, mas também a forma como o sistema penal responde a ela, especialmente em contextos marcados por especificidades culturais que podem influenciar a aplicação da justiça.</w:t>
      </w:r>
    </w:p>
    <w:p w:rsidR="009D60B7" w:rsidRDefault="00425C09">
      <w:pPr>
        <w:pStyle w:val="Corpodetexto"/>
        <w:spacing w:before="11" w:line="360" w:lineRule="auto"/>
        <w:ind w:firstLine="709"/>
        <w:jc w:val="both"/>
        <w:rPr>
          <w:rFonts w:ascii="Arial" w:hAnsi="Arial"/>
          <w:sz w:val="24"/>
          <w:szCs w:val="24"/>
        </w:rPr>
      </w:pPr>
      <w:r>
        <w:rPr>
          <w:rFonts w:ascii="Arial" w:hAnsi="Arial"/>
          <w:sz w:val="24"/>
          <w:szCs w:val="24"/>
        </w:rPr>
        <w:t>O artigo estrutura-se em três momentos: inicialmente, aborda-se a construção teórica da cultura patriarcal e sua relação com a violência de gênero; em seguida, analisa-se o fenômeno da culpabilização da vítima; e, por fim, examinam-se os reflexos dessa dinâmica na atuação do sistema penal.</w:t>
      </w:r>
    </w:p>
    <w:p w:rsidR="009D60B7" w:rsidRDefault="009D60B7">
      <w:pPr>
        <w:pStyle w:val="Corpodetexto"/>
        <w:spacing w:before="11" w:line="360" w:lineRule="auto"/>
        <w:ind w:firstLine="709"/>
        <w:jc w:val="both"/>
        <w:rPr>
          <w:rFonts w:ascii="Arial" w:hAnsi="Arial"/>
          <w:sz w:val="24"/>
          <w:szCs w:val="24"/>
        </w:rPr>
      </w:pPr>
    </w:p>
    <w:p w:rsidR="009D60B7" w:rsidRPr="007A0BEE" w:rsidRDefault="00425C09">
      <w:pPr>
        <w:pStyle w:val="PargrafodaLista"/>
        <w:spacing w:line="360" w:lineRule="auto"/>
        <w:ind w:right="161"/>
        <w:jc w:val="both"/>
        <w:rPr>
          <w:rFonts w:ascii="Arial" w:hAnsi="Arial"/>
          <w:sz w:val="24"/>
          <w:szCs w:val="24"/>
        </w:rPr>
      </w:pPr>
      <w:r w:rsidRPr="007A0BEE">
        <w:rPr>
          <w:rFonts w:ascii="Arial" w:hAnsi="Arial"/>
          <w:bCs/>
          <w:spacing w:val="-2"/>
          <w:sz w:val="24"/>
          <w:szCs w:val="24"/>
          <w:lang w:val="pt-BR"/>
        </w:rPr>
        <w:t xml:space="preserve">1 </w:t>
      </w:r>
      <w:r w:rsidRPr="007A0BEE">
        <w:rPr>
          <w:rFonts w:ascii="Arial" w:hAnsi="Arial"/>
          <w:bCs/>
          <w:spacing w:val="-2"/>
          <w:sz w:val="24"/>
          <w:szCs w:val="24"/>
        </w:rPr>
        <w:t>A CONSTRUÇÃO TEÓRICA DA CULTURA PATRIARCAL E A ESPECIFICIDADE DO CENTRO-OESTE.</w:t>
      </w:r>
    </w:p>
    <w:p w:rsidR="009D60B7" w:rsidRDefault="00425C09">
      <w:pPr>
        <w:spacing w:line="360" w:lineRule="auto"/>
        <w:ind w:firstLine="709"/>
        <w:jc w:val="both"/>
        <w:rPr>
          <w:rFonts w:ascii="Arial" w:hAnsi="Arial"/>
          <w:sz w:val="24"/>
          <w:szCs w:val="24"/>
        </w:rPr>
      </w:pPr>
      <w:r>
        <w:rPr>
          <w:rFonts w:ascii="Arial" w:hAnsi="Arial"/>
          <w:sz w:val="24"/>
          <w:szCs w:val="24"/>
        </w:rPr>
        <w:t>Para compreender a culpabilização da vítima no cenário atual, é necessário entender que o patriarcado não se resume a atos isolados de vontade masculina. Ele funciona como uma estrutura profunda que organiza as relações sociais, políticas e econômicas. Nesse modelo, estabelece-se uma hierarquia de poder onde o masculino ocupa o papel de provedor e detentor da autoridade, enquanto o feminino é historicamente colocado em uma posição de submissão e dependência.</w:t>
      </w:r>
    </w:p>
    <w:p w:rsidR="009D60B7" w:rsidRDefault="00425C09">
      <w:pPr>
        <w:spacing w:line="360" w:lineRule="auto"/>
        <w:ind w:firstLine="706"/>
        <w:jc w:val="both"/>
        <w:rPr>
          <w:rFonts w:ascii="Arial" w:hAnsi="Arial"/>
          <w:sz w:val="24"/>
          <w:szCs w:val="24"/>
        </w:rPr>
      </w:pPr>
      <w:r>
        <w:rPr>
          <w:rFonts w:ascii="Arial" w:hAnsi="Arial"/>
          <w:sz w:val="24"/>
          <w:szCs w:val="24"/>
        </w:rPr>
        <w:t>O aspecto mais perverso desse sistema é a sua capacidade de naturalização. O machismo está tão enraizado na cultura que muitas vezes é reproduzido de forma automática, como se fosse um "senso comum". É o que Bourdieu (2002) define como violência simbólica: um tipo de dominação que não precisa de força física constante para existir, pois já está integrada aos costumes, às leis, às piadas e ao comportamento cotidiano. Assim, as pessoas expressam opiniões machistas e culpam mulheres por agressões sofridas sem sequer perceberem que estão reforçando uma estrutura de opressão que beneficia o agressor.</w:t>
      </w:r>
    </w:p>
    <w:p w:rsidR="009D60B7" w:rsidRDefault="00425C09">
      <w:pPr>
        <w:spacing w:line="360" w:lineRule="auto"/>
        <w:ind w:firstLine="706"/>
        <w:jc w:val="both"/>
        <w:rPr>
          <w:rFonts w:ascii="Arial" w:hAnsi="Arial"/>
          <w:sz w:val="24"/>
          <w:szCs w:val="24"/>
        </w:rPr>
      </w:pPr>
      <w:r>
        <w:rPr>
          <w:rFonts w:ascii="Arial" w:hAnsi="Arial"/>
          <w:sz w:val="24"/>
          <w:szCs w:val="24"/>
        </w:rPr>
        <w:t>Dentro dessa lógica, a mulher ainda é frequentemente vista sob a ótica da "propriedade". Quando ela busca autonomia ou desafia os padrões morais impostos pela sociedade, como o comportamento recatado ou a dedicação exclusiva ao ambiente doméstico, o agressor sente-se no "direito" de puni-la para restaurar sua autoridade ferida. Essa mentalidade explica por que, em casos de violência, o julgamento social se desloca rapidamente do crime cometido para a conduta da vítima.</w:t>
      </w:r>
    </w:p>
    <w:p w:rsidR="009D60B7" w:rsidRDefault="00425C09">
      <w:pPr>
        <w:spacing w:line="360" w:lineRule="auto"/>
        <w:ind w:firstLine="706"/>
        <w:jc w:val="both"/>
        <w:rPr>
          <w:rFonts w:ascii="Arial" w:hAnsi="Arial"/>
          <w:sz w:val="24"/>
          <w:szCs w:val="24"/>
        </w:rPr>
      </w:pPr>
      <w:r>
        <w:rPr>
          <w:rFonts w:ascii="Arial" w:hAnsi="Arial"/>
          <w:sz w:val="24"/>
          <w:szCs w:val="24"/>
        </w:rPr>
        <w:t xml:space="preserve">Nas redes sociais, é comum observar comentários que questionam a roupa da mulher, o local onde ela estava ou sua fidelidade, tentando encontrar nela uma justificativa para a violência do homem. Esse comportamento revela que o mito da "legítima defesa da honra" ainda sobrevive no imaginário popular. Embora o Supremo </w:t>
      </w:r>
      <w:r>
        <w:rPr>
          <w:rFonts w:ascii="Arial" w:hAnsi="Arial"/>
          <w:sz w:val="24"/>
          <w:szCs w:val="24"/>
        </w:rPr>
        <w:lastRenderedPageBreak/>
        <w:t>Tribunal Federal (STF) tenha declarado essa tese inconstitucional, parte da sociedade, o chamado "cidadão de bem", continua acreditando que a honra masculina é um valor superior à vida e à integridade da mulher.</w:t>
      </w:r>
    </w:p>
    <w:p w:rsidR="009D60B7" w:rsidRDefault="00425C09">
      <w:pPr>
        <w:spacing w:line="360" w:lineRule="auto"/>
        <w:ind w:firstLine="706"/>
        <w:jc w:val="both"/>
        <w:rPr>
          <w:rFonts w:ascii="Arial" w:hAnsi="Arial"/>
          <w:sz w:val="24"/>
          <w:szCs w:val="24"/>
        </w:rPr>
      </w:pPr>
      <w:r>
        <w:rPr>
          <w:rFonts w:ascii="Arial" w:hAnsi="Arial"/>
          <w:sz w:val="24"/>
          <w:szCs w:val="24"/>
        </w:rPr>
        <w:t xml:space="preserve">Além disso, esse controle sobre a mulher se manifesta de formas sutis no cotidiano, criando uma barreira invisível que limita sua liberdade. No contexto que observamos, a ideia de que a mulher deve ser "preservada" no ambiente doméstico serve como uma justificativa para monitorar seus passos, suas amizades e até suas escolhas profissionais. </w:t>
      </w:r>
    </w:p>
    <w:p w:rsidR="009D60B7" w:rsidRDefault="00425C09">
      <w:pPr>
        <w:spacing w:line="360" w:lineRule="auto"/>
        <w:ind w:firstLine="706"/>
        <w:jc w:val="both"/>
        <w:rPr>
          <w:rFonts w:ascii="Arial" w:hAnsi="Arial"/>
          <w:sz w:val="24"/>
          <w:szCs w:val="24"/>
        </w:rPr>
      </w:pPr>
      <w:r>
        <w:rPr>
          <w:rFonts w:ascii="Arial" w:hAnsi="Arial"/>
          <w:sz w:val="24"/>
          <w:szCs w:val="24"/>
        </w:rPr>
        <w:t>Quando a sociedade valida esse comportamento, tratando o ciúme excessivo ou o controle do parceiro como "cuidado", ela está, na verdade, preparando o terreno para a violência. Esse "voto de silêncio" imposto pela cultura tradicional faz com que muitas mulheres hesitem em buscar ajuda, pois sabem que, ao denunciarem, serão alvo de um escrutínio moral. A comunidade, muitas vezes pautada por esses valores conservadores, prefere manter as aparências da "família perfeita" a enfrentar a realidade do agressor que está ao seu lado, o que acaba isolando a vítima e fortalecendo o ciclo de abuso.</w:t>
      </w:r>
    </w:p>
    <w:p w:rsidR="009D60B7" w:rsidRDefault="00425C09">
      <w:pPr>
        <w:spacing w:before="240" w:line="360" w:lineRule="auto"/>
        <w:jc w:val="both"/>
        <w:rPr>
          <w:rFonts w:ascii="Arial" w:hAnsi="Arial"/>
          <w:sz w:val="24"/>
          <w:szCs w:val="24"/>
        </w:rPr>
      </w:pPr>
      <w:r>
        <w:rPr>
          <w:rFonts w:ascii="Arial" w:hAnsi="Arial"/>
          <w:sz w:val="24"/>
          <w:szCs w:val="24"/>
        </w:rPr>
        <w:t>1.1 A Particularidade Regional: O Conservadorismo e a Realidade do Centro-Oeste</w:t>
      </w:r>
    </w:p>
    <w:p w:rsidR="009D60B7" w:rsidRDefault="00425C09">
      <w:pPr>
        <w:spacing w:line="360" w:lineRule="auto"/>
        <w:ind w:firstLine="706"/>
        <w:jc w:val="both"/>
        <w:rPr>
          <w:rFonts w:ascii="Arial" w:hAnsi="Arial"/>
          <w:sz w:val="24"/>
          <w:szCs w:val="24"/>
        </w:rPr>
      </w:pPr>
      <w:r>
        <w:rPr>
          <w:rFonts w:ascii="Arial" w:hAnsi="Arial"/>
          <w:sz w:val="24"/>
          <w:szCs w:val="24"/>
        </w:rPr>
        <w:t>A formação sócio-histórica do Centro-Oeste brasileiro, pautada inicialmente na ocupação territorial pelos bandeirantes e consolidada pela força do agronegócio, construiu uma identidade regional onde a figura masculina permanece como o pilar central de autoridade. Esse "ideal de masculinidade", associado ao homem desbravador e provedor, estabeleceu uma hierarquia de gênero que ultrapassa as fronteiras das fazendas e dita o comportamento social nas cidades e nas instituições.</w:t>
      </w:r>
    </w:p>
    <w:p w:rsidR="009D60B7" w:rsidRDefault="00425C09">
      <w:pPr>
        <w:spacing w:line="360" w:lineRule="auto"/>
        <w:ind w:firstLine="706"/>
        <w:jc w:val="both"/>
        <w:rPr>
          <w:rFonts w:ascii="Arial" w:hAnsi="Arial"/>
          <w:sz w:val="24"/>
          <w:szCs w:val="24"/>
        </w:rPr>
      </w:pPr>
      <w:r>
        <w:rPr>
          <w:rFonts w:ascii="Arial" w:hAnsi="Arial"/>
          <w:sz w:val="24"/>
          <w:szCs w:val="24"/>
        </w:rPr>
        <w:t xml:space="preserve"> Em estados como Goiás, essa cultura é tão profunda que o machismo se torna um traço identitário enraizado, onde a virilidade e o comando são vistos como virtudes naturais do homem "da terra". Como resultado, a região apresenta índices de violência que chocam: dados da Comissão de Defesa dos Direitos da Mulher revelam que, apenas em 2018, o Centro-Oeste registrou quase 3 mil feminicídios, com 96% dos crimes cometidos por parceiros ou parentes, evidenciando que o ambiente doméstico é, muitas vezes, o local de maior vulnerabilidade para a mulher.</w:t>
      </w:r>
    </w:p>
    <w:p w:rsidR="009D60B7" w:rsidRDefault="00425C09">
      <w:pPr>
        <w:spacing w:line="360" w:lineRule="auto"/>
        <w:ind w:firstLine="706"/>
        <w:jc w:val="both"/>
        <w:rPr>
          <w:rFonts w:ascii="Arial" w:hAnsi="Arial"/>
          <w:sz w:val="24"/>
          <w:szCs w:val="24"/>
        </w:rPr>
      </w:pPr>
      <w:r>
        <w:rPr>
          <w:rFonts w:ascii="Arial" w:hAnsi="Arial"/>
          <w:sz w:val="24"/>
          <w:szCs w:val="24"/>
        </w:rPr>
        <w:t>Essa estrutura patriarcal reflete-se diretamente no cotidiano profissional e social da mulher na região. Embora a pesquisa do hub AgTech Garage (2023) foque no setor agropecuário (principal motor econômico do Centro-Oeste), os dados de que 90% das mulheres sofrem situações constrangedoras de machismo servem como um espelho da realidade regional completa.</w:t>
      </w:r>
    </w:p>
    <w:p w:rsidR="009D60B7" w:rsidRDefault="00425C09">
      <w:pPr>
        <w:spacing w:line="360" w:lineRule="auto"/>
        <w:ind w:firstLine="706"/>
        <w:jc w:val="both"/>
        <w:rPr>
          <w:rFonts w:ascii="Arial" w:hAnsi="Arial"/>
          <w:sz w:val="24"/>
          <w:szCs w:val="24"/>
        </w:rPr>
      </w:pPr>
      <w:r>
        <w:rPr>
          <w:rFonts w:ascii="Arial" w:hAnsi="Arial"/>
          <w:sz w:val="24"/>
          <w:szCs w:val="24"/>
        </w:rPr>
        <w:lastRenderedPageBreak/>
        <w:t xml:space="preserve"> Práticas como o </w:t>
      </w:r>
      <w:r>
        <w:rPr>
          <w:rFonts w:ascii="Arial" w:hAnsi="Arial"/>
          <w:i/>
          <w:iCs/>
          <w:sz w:val="24"/>
          <w:szCs w:val="24"/>
        </w:rPr>
        <w:t>manterrupting</w:t>
      </w:r>
      <w:r>
        <w:rPr>
          <w:rFonts w:ascii="Arial" w:hAnsi="Arial"/>
          <w:sz w:val="24"/>
          <w:szCs w:val="24"/>
        </w:rPr>
        <w:t xml:space="preserve"> (ser interrompida constantemente) e o </w:t>
      </w:r>
      <w:r>
        <w:rPr>
          <w:rFonts w:ascii="Arial" w:hAnsi="Arial"/>
          <w:i/>
          <w:iCs/>
          <w:sz w:val="24"/>
          <w:szCs w:val="24"/>
        </w:rPr>
        <w:t>mansplaining</w:t>
      </w:r>
      <w:r>
        <w:rPr>
          <w:rFonts w:ascii="Arial" w:hAnsi="Arial"/>
          <w:sz w:val="24"/>
          <w:szCs w:val="24"/>
        </w:rPr>
        <w:t xml:space="preserve"> (homens explicando o óbvio como se a mulher fosse incapaz) não ocorrem apenas em escritórios de empresas do agro, mas em reuniões familiares, órgãos públicos e interações sociais diversas. Conforme aponta Dalana de Matos, estrategista da referida pesquisa, “muitas vezes a gente só percebe que passamos por uma situação quando damos nome a essas práticas”, o que confirma que no Centro-Oeste o machismo é tão naturalizado que as ofensas são aceitas como "parte da cultura" ou "jeito de ser" do homem local.</w:t>
      </w:r>
    </w:p>
    <w:p w:rsidR="009D60B7" w:rsidRDefault="00425C09">
      <w:pPr>
        <w:spacing w:line="360" w:lineRule="auto"/>
        <w:ind w:firstLine="706"/>
        <w:jc w:val="both"/>
        <w:rPr>
          <w:rFonts w:ascii="Arial" w:hAnsi="Arial"/>
          <w:sz w:val="24"/>
          <w:szCs w:val="24"/>
        </w:rPr>
      </w:pPr>
      <w:r>
        <w:rPr>
          <w:rFonts w:ascii="Arial" w:hAnsi="Arial"/>
          <w:sz w:val="24"/>
          <w:szCs w:val="24"/>
        </w:rPr>
        <w:t>Ademais, no Centro-Oeste, a autonomia feminina ainda é vista com desconfiança; o sucesso da mulher é frequentemente condicionado ao fato de ela não "ferir a honra" ou a liderança do homem. Essa mentalidade de posse, herdada dos antigos coronéis e mantida pelo conservadorismo atual, cria um cenário onde o assédio e a repressão são ferramentas de controle social. Assim, a região se mantém no topo dos índices de violência de gênero não por falta de leis, mas porque a cultura local ainda protege o agressor sob o manto da tradição, dificultando que o sistema penal rompa com essa lógica de submissão e culpabilização.</w:t>
      </w:r>
    </w:p>
    <w:p w:rsidR="009D60B7" w:rsidRDefault="00425C09">
      <w:pPr>
        <w:spacing w:before="240" w:line="360" w:lineRule="auto"/>
        <w:jc w:val="both"/>
        <w:rPr>
          <w:rFonts w:ascii="Arial" w:hAnsi="Arial"/>
          <w:sz w:val="24"/>
          <w:szCs w:val="24"/>
        </w:rPr>
      </w:pPr>
      <w:r>
        <w:rPr>
          <w:rFonts w:ascii="Arial" w:hAnsi="Arial"/>
          <w:sz w:val="24"/>
          <w:szCs w:val="24"/>
        </w:rPr>
        <w:t>1.2 A Construção da Cultura Patriarcal e as Desigualdades de Gênero no Centro-Oeste</w:t>
      </w:r>
    </w:p>
    <w:p w:rsidR="009D60B7" w:rsidRDefault="00425C09">
      <w:pPr>
        <w:spacing w:line="360" w:lineRule="auto"/>
        <w:ind w:firstLine="706"/>
        <w:jc w:val="both"/>
        <w:rPr>
          <w:rFonts w:ascii="Arial" w:hAnsi="Arial"/>
          <w:sz w:val="24"/>
          <w:szCs w:val="24"/>
        </w:rPr>
      </w:pPr>
      <w:r>
        <w:rPr>
          <w:rFonts w:ascii="Arial" w:hAnsi="Arial"/>
          <w:sz w:val="24"/>
          <w:szCs w:val="24"/>
        </w:rPr>
        <w:t xml:space="preserve">A desigualdade de gênero na região é sustentada por uma divisão rígida dos papéis domésticos, onde a responsabilidade pelo cuidado do lar e dos filhos recai exclusivamente sobre a mulher. Essa dinâmica, conhecida como economia do cuidado, invisibiliza o esforço feminino, tratando-o como uma "obrigação natural" e não como uma contribuição econômica. </w:t>
      </w:r>
    </w:p>
    <w:p w:rsidR="009D60B7" w:rsidRDefault="00425C09">
      <w:pPr>
        <w:spacing w:line="360" w:lineRule="auto"/>
        <w:ind w:firstLine="706"/>
        <w:jc w:val="both"/>
        <w:rPr>
          <w:rFonts w:ascii="Arial" w:hAnsi="Arial"/>
          <w:sz w:val="24"/>
          <w:szCs w:val="24"/>
        </w:rPr>
      </w:pPr>
      <w:r>
        <w:rPr>
          <w:rFonts w:ascii="Arial" w:hAnsi="Arial"/>
          <w:sz w:val="24"/>
          <w:szCs w:val="24"/>
        </w:rPr>
        <w:t>Enquanto o homem ocupa o espaço público e o mercado de trabalho, a mulher é empurrada para o isolamento do privado. Esse cenário força muitas mulheres a abandonarem suas carreiras ou a sequer ingressarem no mercado formal, gerando uma dependência financeira extrema que funciona como uma barreira de saída de relacionamentos abusivos. A ruptura do vínculo afetivo, nesse caso, significa a perda da subsistência, o que obriga muitas vítimas a permanecerem submetidas à violência como uma estratégia desesperada de sobrevivência para si e para seus filhos.</w:t>
      </w:r>
    </w:p>
    <w:p w:rsidR="009D60B7" w:rsidRDefault="00425C09">
      <w:pPr>
        <w:spacing w:line="360" w:lineRule="auto"/>
        <w:ind w:firstLine="706"/>
        <w:jc w:val="both"/>
        <w:rPr>
          <w:rFonts w:ascii="Arial" w:hAnsi="Arial"/>
          <w:sz w:val="24"/>
          <w:szCs w:val="24"/>
        </w:rPr>
      </w:pPr>
      <w:r>
        <w:rPr>
          <w:rFonts w:ascii="Arial" w:hAnsi="Arial"/>
          <w:sz w:val="24"/>
          <w:szCs w:val="24"/>
        </w:rPr>
        <w:t xml:space="preserve">Essa dinâmica reflete o que Saffioti (2015) define como a simbiose entre o patriarcado e a exploração econômica: a cultura define a mulher como pertencente ao lar, o que justifica sua exclusão financeira e, consequentemente, valida a autoridade masculina. No Centro-Oeste, essa 'tradição' atua como um mecanismo que mascara a violência, tratando o controle como zelo e a agressão como uma resposta à quebra dessa </w:t>
      </w:r>
      <w:r>
        <w:rPr>
          <w:rFonts w:ascii="Arial" w:hAnsi="Arial"/>
          <w:sz w:val="24"/>
          <w:szCs w:val="24"/>
        </w:rPr>
        <w:lastRenderedPageBreak/>
        <w:t>ordem moral.</w:t>
      </w:r>
    </w:p>
    <w:p w:rsidR="009D60B7" w:rsidRDefault="00425C09">
      <w:pPr>
        <w:spacing w:line="360" w:lineRule="auto"/>
        <w:ind w:firstLine="706"/>
        <w:jc w:val="both"/>
        <w:rPr>
          <w:rFonts w:ascii="Arial" w:hAnsi="Arial"/>
          <w:sz w:val="24"/>
          <w:szCs w:val="24"/>
        </w:rPr>
      </w:pPr>
      <w:r>
        <w:rPr>
          <w:rFonts w:ascii="Arial" w:hAnsi="Arial"/>
          <w:sz w:val="24"/>
          <w:szCs w:val="24"/>
        </w:rPr>
        <w:t xml:space="preserve">Por conseguinte, essa exclusão transborda para o mercado de trabalho regional através de barreiras sutis e persistentes. O patriarcado molda uma percepção empresarial que enxerga a mulher como um "custo", associando-a à maternidade e à instabilidade doméstica, enquanto o homem é visto como o colaborador ideal por sua suposta disponibilidade total. </w:t>
      </w:r>
    </w:p>
    <w:p w:rsidR="009D60B7" w:rsidRDefault="00425C09">
      <w:pPr>
        <w:spacing w:line="360" w:lineRule="auto"/>
        <w:ind w:firstLine="706"/>
        <w:jc w:val="both"/>
        <w:rPr>
          <w:rFonts w:ascii="Arial" w:hAnsi="Arial"/>
          <w:sz w:val="24"/>
          <w:szCs w:val="24"/>
        </w:rPr>
      </w:pPr>
      <w:r>
        <w:rPr>
          <w:rFonts w:ascii="Arial" w:hAnsi="Arial"/>
          <w:sz w:val="24"/>
          <w:szCs w:val="24"/>
        </w:rPr>
        <w:t>Essa mentalidade dificulta a ocupação de cargos de liderança por mulheres qualificadas e alimenta a desigualdade salarial, onde a remuneração feminina é inferior mesmo em funções idênticas. Tais mecanismos de controle financeiro e profissional não são apenas problemas econômicos, mas ferramentas de coerção que mantêm a mulher em uma posição de vulnerabilidade, dificultando sua autonomia real e servindo de ponte para que a violência doméstica continue sendo perpetuada sob o manto da tradição e da necessidade financeira sofrida sob o manto da tradição e da necessidade financeira (Biroli, 2018).</w:t>
      </w:r>
    </w:p>
    <w:p w:rsidR="009D60B7" w:rsidRDefault="00425C09">
      <w:pPr>
        <w:spacing w:line="360" w:lineRule="auto"/>
        <w:ind w:firstLine="706"/>
        <w:jc w:val="both"/>
        <w:rPr>
          <w:rFonts w:ascii="Arial" w:hAnsi="Arial"/>
          <w:sz w:val="24"/>
          <w:szCs w:val="24"/>
        </w:rPr>
      </w:pPr>
      <w:r>
        <w:rPr>
          <w:rFonts w:ascii="Arial" w:hAnsi="Arial"/>
          <w:sz w:val="24"/>
          <w:szCs w:val="24"/>
        </w:rPr>
        <w:t xml:space="preserve">Em suma, a estrutura patriarcal no Centro-Oeste brasileiro não é um elemento do passado, mas uma força ativa que molda o presente através da divisão sexual do trabalho e da manutenção de uma masculinidade hegemônica. Ao longo desta análise, observou-se que a desigualdade de gênero na região é alimentada por uma herança histórica de domínio que se modernizou, mas que permanece fundamentada na invisibilidade do trabalho doméstico e na barreira de acesso da mulher ao mercado de trabalho e à autonomia financeira. Esse cenário de dependência econômica e submissão cultural não apenas aprisiona a mulher em ciclos de abuso, como também estabelece um padrão moral rígido sobre o seu comportamento e o seu papel na sociedade. </w:t>
      </w:r>
    </w:p>
    <w:p w:rsidR="009D60B7" w:rsidRDefault="00425C09">
      <w:pPr>
        <w:spacing w:line="360" w:lineRule="auto"/>
        <w:ind w:firstLine="706"/>
        <w:jc w:val="both"/>
        <w:rPr>
          <w:rFonts w:ascii="Arial" w:hAnsi="Arial"/>
          <w:sz w:val="24"/>
          <w:szCs w:val="24"/>
        </w:rPr>
      </w:pPr>
      <w:r>
        <w:rPr>
          <w:rFonts w:ascii="Arial" w:hAnsi="Arial"/>
          <w:sz w:val="24"/>
          <w:szCs w:val="24"/>
        </w:rPr>
        <w:t>Portanto, essa construção social da "mulher ideal" sempre vinculada ao ambiente privado e à tutela masculina acaba por moldar o olhar coletivo diante de situações de agressão. Quando essa estrutura de poder é desafiada ou rompida, o imaginário popular, pautado pelos valores conservadores descritos, tende a buscar justificativas para a violência na conduta daquela que sofreu a ofensa. Essa lente cultural distorcida é o que permite que o foco do crime seja deslocado do agressor para a vítima, pavimentando o caminho para um julgamento moral que antecede o julgamento jurídico e que será detalhado a seguir sob a ótica da culpabilização da mulher no cenário contemporâneo.</w:t>
      </w:r>
    </w:p>
    <w:p w:rsidR="009D60B7" w:rsidRDefault="009D60B7">
      <w:pPr>
        <w:spacing w:line="360" w:lineRule="auto"/>
        <w:ind w:firstLine="706"/>
        <w:jc w:val="both"/>
        <w:rPr>
          <w:rFonts w:ascii="Arial" w:hAnsi="Arial"/>
          <w:sz w:val="24"/>
          <w:szCs w:val="24"/>
        </w:rPr>
      </w:pPr>
    </w:p>
    <w:p w:rsidR="009D60B7" w:rsidRPr="00002891" w:rsidRDefault="00425C09">
      <w:pPr>
        <w:spacing w:line="360" w:lineRule="auto"/>
        <w:jc w:val="both"/>
        <w:rPr>
          <w:rFonts w:ascii="Arial" w:hAnsi="Arial"/>
          <w:sz w:val="24"/>
          <w:szCs w:val="24"/>
        </w:rPr>
      </w:pPr>
      <w:r w:rsidRPr="00002891">
        <w:rPr>
          <w:rFonts w:ascii="Arial" w:hAnsi="Arial"/>
          <w:bCs/>
          <w:spacing w:val="-2"/>
          <w:sz w:val="24"/>
          <w:szCs w:val="24"/>
        </w:rPr>
        <w:t>2. CULPABILIZAÇÃO DA VÍTIMA NA VIOLÊNCIA CONTRA A MULHER</w:t>
      </w:r>
    </w:p>
    <w:p w:rsidR="009D60B7" w:rsidRDefault="00425C09">
      <w:pPr>
        <w:spacing w:line="360" w:lineRule="auto"/>
        <w:ind w:firstLine="709"/>
        <w:jc w:val="both"/>
        <w:rPr>
          <w:rFonts w:ascii="Arial" w:hAnsi="Arial"/>
          <w:sz w:val="24"/>
          <w:szCs w:val="24"/>
        </w:rPr>
      </w:pPr>
      <w:r>
        <w:rPr>
          <w:rFonts w:ascii="Arial" w:hAnsi="Arial"/>
          <w:sz w:val="24"/>
          <w:szCs w:val="24"/>
        </w:rPr>
        <w:t xml:space="preserve">Conforme teoriza Saffioti (2015), o patriarcado não é um sistema arcaico, mas uma estrutura que se renova, utilizando a ideologia da 'obrigação natural' feminina para </w:t>
      </w:r>
      <w:r>
        <w:rPr>
          <w:rFonts w:ascii="Arial" w:hAnsi="Arial"/>
          <w:sz w:val="24"/>
          <w:szCs w:val="24"/>
        </w:rPr>
        <w:lastRenderedPageBreak/>
        <w:t xml:space="preserve">manter a mulher sob controle econômico e social. Complementarmente, Ávila (2009) ressalta que a invisibilidade do trabalho doméstico é o que sustenta a precariedade da inserção da mulher no mercado de trabalho, gerando a dependência que impede a ruptura de ciclos violentos. </w:t>
      </w:r>
    </w:p>
    <w:p w:rsidR="009D60B7" w:rsidRDefault="00425C09">
      <w:pPr>
        <w:spacing w:line="360" w:lineRule="auto"/>
        <w:ind w:firstLine="706"/>
        <w:jc w:val="both"/>
        <w:rPr>
          <w:rFonts w:ascii="Arial" w:hAnsi="Arial"/>
          <w:sz w:val="24"/>
          <w:szCs w:val="24"/>
        </w:rPr>
      </w:pPr>
      <w:r>
        <w:rPr>
          <w:rFonts w:ascii="Arial" w:hAnsi="Arial"/>
          <w:sz w:val="24"/>
          <w:szCs w:val="24"/>
        </w:rPr>
        <w:t>A culpabilização da vítima, também conhecida pelo termo em inglês victim blaming, consiste em um fenômeno social no qual a responsabilidade por um ato de violência é deslocada, total ou parcialmente, do agressor para a própria vítima. No contexto da violência contra a mulher, esse processo se manifesta quando aspectos relacionados ao comportamento, à aparência, às escolhas pessoais ou ao estilo de vida da vítima são utilizados como justificativa para a agressão sofrida.</w:t>
      </w:r>
    </w:p>
    <w:p w:rsidR="009D60B7" w:rsidRDefault="00425C09">
      <w:pPr>
        <w:spacing w:line="360" w:lineRule="auto"/>
        <w:ind w:firstLine="706"/>
        <w:jc w:val="both"/>
        <w:rPr>
          <w:rFonts w:ascii="Arial" w:hAnsi="Arial"/>
          <w:sz w:val="24"/>
          <w:szCs w:val="24"/>
        </w:rPr>
      </w:pPr>
      <w:r>
        <w:rPr>
          <w:rFonts w:ascii="Arial" w:hAnsi="Arial"/>
          <w:sz w:val="24"/>
          <w:szCs w:val="24"/>
        </w:rPr>
        <w:t xml:space="preserve"> Dessa forma, a análise do fato deixa de se concentrar na conduta ilícita do agressor e passa a questionar a postura da mulher, sugerindo, de maneira explícita ou implícita, que ela poderia ter evitado a situação. Tal lógica contribui para a relativização da violência e reforça estruturas sociais que perpetuam a desigualdade de gênero ao naturalizar a ideia de que cabe à mulher prevenir a própria vitimização.</w:t>
      </w:r>
    </w:p>
    <w:p w:rsidR="009D60B7" w:rsidRDefault="00425C09">
      <w:pPr>
        <w:spacing w:line="360" w:lineRule="auto"/>
        <w:ind w:firstLine="706"/>
        <w:jc w:val="both"/>
        <w:rPr>
          <w:rFonts w:ascii="Arial" w:hAnsi="Arial"/>
          <w:sz w:val="24"/>
          <w:szCs w:val="24"/>
        </w:rPr>
      </w:pPr>
      <w:r>
        <w:rPr>
          <w:rFonts w:ascii="Arial" w:hAnsi="Arial"/>
          <w:sz w:val="24"/>
          <w:szCs w:val="24"/>
        </w:rPr>
        <w:t>Nesse sentido, a Vitimologia Crítica surge como um importante campo de estudo ao problematizar essa inversão de responsabilidades e ampliar a compreensão sobre o papel da vítima no sistema penal. Diferentemente da abordagem tradicional do Direito Penal, que historicamente privilegiou a relação entre Estado e infrator, a vitimologia propõe uma análise mais ampla, considerando também os fatores sociais, culturais e institucionais que influenciam a forma como a vítima é percebida e tratada.</w:t>
      </w:r>
    </w:p>
    <w:p w:rsidR="009D60B7" w:rsidRDefault="00425C09">
      <w:pPr>
        <w:spacing w:line="360" w:lineRule="auto"/>
        <w:ind w:firstLine="706"/>
        <w:jc w:val="both"/>
        <w:rPr>
          <w:rFonts w:ascii="Arial" w:hAnsi="Arial"/>
          <w:sz w:val="24"/>
          <w:szCs w:val="24"/>
        </w:rPr>
      </w:pPr>
      <w:r>
        <w:rPr>
          <w:rFonts w:ascii="Arial" w:hAnsi="Arial"/>
          <w:sz w:val="24"/>
          <w:szCs w:val="24"/>
        </w:rPr>
        <w:t xml:space="preserve"> A perspectiva crítica, em especial, evidencia que a sociedade tende a avaliar o comportamento da vítima com maior rigor do que o do agressor, buscando elementos que justifiquem ou minimizem a violência sofrida. Esse processo revela a presença de preconceitos estruturais, sobretudo de gênero, que condicionam a credibilidade da vítima e impactam diretamente sua proteção jurídica e social (Mendes, 2017).</w:t>
      </w:r>
    </w:p>
    <w:p w:rsidR="009D60B7" w:rsidRDefault="00425C09">
      <w:pPr>
        <w:spacing w:line="360" w:lineRule="auto"/>
        <w:ind w:firstLine="706"/>
        <w:jc w:val="both"/>
        <w:rPr>
          <w:rFonts w:ascii="Arial" w:hAnsi="Arial"/>
          <w:sz w:val="24"/>
          <w:szCs w:val="24"/>
        </w:rPr>
      </w:pPr>
      <w:r>
        <w:rPr>
          <w:rFonts w:ascii="Arial" w:hAnsi="Arial"/>
          <w:sz w:val="24"/>
          <w:szCs w:val="24"/>
        </w:rPr>
        <w:t xml:space="preserve">Dentro dessa lógica, destaca-se a construção social da chamada "vítima ideal", conceito que se refere ao modelo estereotipado de comportamento esperado para que uma pessoa seja reconhecida como vítima legítima. No caso das mulheres, esse padrão envolve atributos como recato, submissão, prudência e adequação a normas morais tradicionais. Espera-se, por exemplo, que a mulher não frequente determinados ambientes, não consuma álcool, não utilize roupas consideradas "provocativas" e mantenha uma conduta compatível com expectativas conservadoras. Quando a vítima foge desse modelo, sua credibilidade é colocada em dúvida e a violência sofrida passa a ser interpretada como consequência de suas próprias escolhas. Assim, a sociedade </w:t>
      </w:r>
      <w:r>
        <w:rPr>
          <w:rFonts w:ascii="Arial" w:hAnsi="Arial"/>
          <w:sz w:val="24"/>
          <w:szCs w:val="24"/>
        </w:rPr>
        <w:lastRenderedPageBreak/>
        <w:t>estabelece um padrão quase inalcançável de "perfeição" feminina, no qual qualquer desvio serve como fundamento para a transferência de culpa, reforçando a injustiça e dificultando o reconhecimento pleno da vítima.</w:t>
      </w:r>
    </w:p>
    <w:p w:rsidR="009D60B7" w:rsidRDefault="00425C09">
      <w:pPr>
        <w:spacing w:before="240" w:line="360" w:lineRule="auto"/>
        <w:jc w:val="both"/>
        <w:rPr>
          <w:rFonts w:ascii="Arial" w:hAnsi="Arial"/>
          <w:sz w:val="24"/>
          <w:szCs w:val="24"/>
        </w:rPr>
      </w:pPr>
      <w:r>
        <w:rPr>
          <w:rFonts w:ascii="Arial" w:hAnsi="Arial"/>
          <w:sz w:val="24"/>
          <w:szCs w:val="24"/>
        </w:rPr>
        <w:t>2.1 O contexto do Centro-Oeste e a naturalização da culpabilização</w:t>
      </w:r>
    </w:p>
    <w:p w:rsidR="009D60B7" w:rsidRDefault="00425C09">
      <w:pPr>
        <w:spacing w:line="360" w:lineRule="auto"/>
        <w:ind w:firstLine="706"/>
        <w:jc w:val="both"/>
        <w:rPr>
          <w:rFonts w:ascii="Arial" w:hAnsi="Arial"/>
          <w:sz w:val="24"/>
          <w:szCs w:val="24"/>
        </w:rPr>
      </w:pPr>
      <w:r>
        <w:rPr>
          <w:rFonts w:ascii="Arial" w:hAnsi="Arial"/>
          <w:sz w:val="24"/>
          <w:szCs w:val="24"/>
        </w:rPr>
        <w:t xml:space="preserve">No contexto do Centro-Oeste brasileiro, a compreensão da culpabilização da vítima deve ser analisada à luz de fatores socioculturais que influenciam diretamente a forma como a violência de gênero é percebida e julgada. A região, marcada historicamente pela forte presença do agronegócio e por estruturas sociais de caráter mais tradicional, apresenta padrões culturais que frequentemente reforçam valores conservadores relacionados à família, à moralidade e ao comportamento feminino. </w:t>
      </w:r>
    </w:p>
    <w:p w:rsidR="009D60B7" w:rsidRDefault="00425C09">
      <w:pPr>
        <w:spacing w:line="360" w:lineRule="auto"/>
        <w:ind w:firstLine="706"/>
        <w:jc w:val="both"/>
        <w:rPr>
          <w:rFonts w:ascii="Arial" w:hAnsi="Arial"/>
          <w:sz w:val="24"/>
          <w:szCs w:val="24"/>
        </w:rPr>
      </w:pPr>
      <w:r>
        <w:rPr>
          <w:rFonts w:ascii="Arial" w:hAnsi="Arial"/>
          <w:sz w:val="24"/>
          <w:szCs w:val="24"/>
        </w:rPr>
        <w:t>Nesse cenário, a mulher tende a ser socialmente avaliada a partir de critérios de conduta considerados adequados, especialmente no que diz respeito à sua vida privada e às suas relações afetivas. Conforme aponta Saffioti (2015), as relações de gênero são atravessadas por estruturas de poder que naturalizam a subordinação feminina, fazendo com que comportamentos das mulheres sejam frequentemente utilizados como justificativa para a violência sofrida.</w:t>
      </w:r>
    </w:p>
    <w:p w:rsidR="009D60B7" w:rsidRDefault="00425C09">
      <w:pPr>
        <w:spacing w:line="360" w:lineRule="auto"/>
        <w:ind w:firstLine="706"/>
        <w:jc w:val="both"/>
        <w:rPr>
          <w:rFonts w:ascii="Arial" w:hAnsi="Arial"/>
          <w:sz w:val="24"/>
          <w:szCs w:val="24"/>
        </w:rPr>
      </w:pPr>
      <w:r>
        <w:rPr>
          <w:rFonts w:ascii="Arial" w:hAnsi="Arial"/>
          <w:sz w:val="24"/>
          <w:szCs w:val="24"/>
        </w:rPr>
        <w:t xml:space="preserve">Além disso, insere-se nesse contexto a chamada violência vicária, compreendida como uma forma de violência indireta na qual o agressor atinge a mulher por meio de terceiros, especialmente os filhos, familiares ou pessoas próximas. Esse tipo de violência evidencia uma estratégia de controle e punição, na qual o sofrimento emocional da vítima é intensificado pela agressão direcionada a seus vínculos afetivos mais profundos. </w:t>
      </w:r>
    </w:p>
    <w:p w:rsidR="009D60B7" w:rsidRDefault="00425C09">
      <w:pPr>
        <w:spacing w:line="360" w:lineRule="auto"/>
        <w:ind w:firstLine="706"/>
        <w:jc w:val="both"/>
        <w:rPr>
          <w:rFonts w:ascii="Arial" w:hAnsi="Arial"/>
          <w:sz w:val="24"/>
          <w:szCs w:val="24"/>
        </w:rPr>
      </w:pPr>
      <w:r>
        <w:rPr>
          <w:rFonts w:ascii="Arial" w:hAnsi="Arial"/>
          <w:sz w:val="24"/>
          <w:szCs w:val="24"/>
        </w:rPr>
        <w:t>De acordo com Dias (2019), a violência de gênero não se limita ao ato físico, mas se manifesta também em práticas psicológicas e simbólicas que visam manter o controle sobre a mulher, inclusive por meio da destruição de seus laços familiares. Nesse sentido, mesmo diante de situações extremas, discursos sociais frequentemente deslocam a responsabilidade para a vítima, ao invés de reconhecer a intencionalidade do agressor.</w:t>
      </w:r>
    </w:p>
    <w:p w:rsidR="009D60B7" w:rsidRDefault="00425C09">
      <w:pPr>
        <w:spacing w:line="360" w:lineRule="auto"/>
        <w:ind w:firstLine="706"/>
        <w:jc w:val="both"/>
        <w:rPr>
          <w:rFonts w:ascii="Arial" w:hAnsi="Arial"/>
          <w:sz w:val="24"/>
          <w:szCs w:val="24"/>
        </w:rPr>
      </w:pPr>
      <w:r>
        <w:rPr>
          <w:rFonts w:ascii="Arial" w:hAnsi="Arial"/>
          <w:sz w:val="24"/>
          <w:szCs w:val="24"/>
        </w:rPr>
        <w:t xml:space="preserve">Por conseguinte, observa-se um processo de naturalização da violência e da culpabilização da vítima que se manifesta em diferentes esferas sociais, incluindo o ambiente familiar e comunitário. Expressões recorrentes como "ela já sabia que ele era ciumento" ou "ela provocou a situação" revelam uma lógica de transferência de responsabilidade, na qual a mulher passa a ser vista como corresponsável pela própria violência sofrida. Essa perspectiva contribui para a ideia de que caberia à vítima evitar a agressão, deslocando o dever de proteção que deveria ser atribuído ao Estado e às instituições. </w:t>
      </w:r>
    </w:p>
    <w:p w:rsidR="009D60B7" w:rsidRDefault="00425C09">
      <w:pPr>
        <w:spacing w:line="360" w:lineRule="auto"/>
        <w:ind w:firstLine="706"/>
        <w:jc w:val="both"/>
        <w:rPr>
          <w:rFonts w:ascii="Arial" w:hAnsi="Arial"/>
          <w:sz w:val="24"/>
          <w:szCs w:val="24"/>
        </w:rPr>
      </w:pPr>
      <w:r>
        <w:rPr>
          <w:rFonts w:ascii="Arial" w:hAnsi="Arial"/>
          <w:sz w:val="24"/>
          <w:szCs w:val="24"/>
        </w:rPr>
        <w:lastRenderedPageBreak/>
        <w:t>Como destaca Butler (2015), a forma como os corpos são socialmente interpretados influencia diretamente quais vidas são reconhecidas como dignas de proteção, o que reforça desigualdades estruturais. Assim, a sobrevivência da mulher deixa de ser compreendida como uma garantia de direitos e passa a ser tratada como uma responsabilidade individual, dificultando o enfrentamento efetivo da violência de gênero.</w:t>
      </w:r>
    </w:p>
    <w:p w:rsidR="009D60B7" w:rsidRDefault="00425C09">
      <w:pPr>
        <w:spacing w:before="240" w:line="360" w:lineRule="auto"/>
        <w:jc w:val="both"/>
        <w:rPr>
          <w:rFonts w:ascii="Arial" w:hAnsi="Arial"/>
          <w:sz w:val="24"/>
          <w:szCs w:val="24"/>
        </w:rPr>
      </w:pPr>
      <w:r>
        <w:rPr>
          <w:rFonts w:ascii="Arial" w:hAnsi="Arial"/>
          <w:sz w:val="24"/>
          <w:szCs w:val="24"/>
        </w:rPr>
        <w:t>2.2 A violência vicária como expressão da violência de gênero no caso de Itumbiara</w:t>
      </w:r>
    </w:p>
    <w:p w:rsidR="009D60B7" w:rsidRDefault="00425C09">
      <w:pPr>
        <w:spacing w:line="360" w:lineRule="auto"/>
        <w:ind w:firstLine="706"/>
        <w:jc w:val="both"/>
        <w:rPr>
          <w:rFonts w:ascii="Arial" w:hAnsi="Arial"/>
          <w:sz w:val="24"/>
          <w:szCs w:val="24"/>
        </w:rPr>
      </w:pPr>
      <w:r>
        <w:rPr>
          <w:rFonts w:ascii="Arial" w:hAnsi="Arial"/>
          <w:sz w:val="24"/>
          <w:szCs w:val="24"/>
        </w:rPr>
        <w:t xml:space="preserve">O caso ocorrido no município de Itumbiara (GO), noticiado pela Agência Brasil (2026), evidencia de forma concreta a configuração da violência vicária no contexto brasileiro contemporâneo. Trata-se de uma modalidade de violência de gênero na qual o agressor não atinge diretamente a mulher, mas utiliza pessoas próximas a ela — especialmente filhos — como forma de provocar sofrimento psicológico e emocional. </w:t>
      </w:r>
    </w:p>
    <w:p w:rsidR="009D60B7" w:rsidRDefault="00425C09">
      <w:pPr>
        <w:spacing w:line="360" w:lineRule="auto"/>
        <w:ind w:firstLine="706"/>
        <w:jc w:val="both"/>
        <w:rPr>
          <w:rFonts w:ascii="Arial" w:hAnsi="Arial"/>
          <w:sz w:val="24"/>
          <w:szCs w:val="24"/>
        </w:rPr>
      </w:pPr>
      <w:r>
        <w:rPr>
          <w:rFonts w:ascii="Arial" w:hAnsi="Arial"/>
          <w:sz w:val="24"/>
          <w:szCs w:val="24"/>
        </w:rPr>
        <w:t>Segundo a secretária nacional de Enfrentamento à Violência contra Mulheres, Estela Bezerra, essa prática ocorre quando o agressor "machuca ou mata pessoas íntimas de uma mulher com o objetivo de puni-la ou atingi-la psicologicamente", o que demonstra que o objetivo central não é apenas a agressão física, mas a produção de dor emocional intensa e prolongada. Nesse sentido, o episódio analisado ultrapassa a compreensão de um crime isolado, revelando uma estratégia de violência que instrumentaliza os vínculos afetivos da vítima como forma de controle e punição.</w:t>
      </w:r>
    </w:p>
    <w:p w:rsidR="009D60B7" w:rsidRDefault="00425C09">
      <w:pPr>
        <w:spacing w:line="360" w:lineRule="auto"/>
        <w:ind w:firstLine="706"/>
        <w:jc w:val="both"/>
        <w:rPr>
          <w:rFonts w:ascii="Arial" w:hAnsi="Arial"/>
          <w:sz w:val="24"/>
          <w:szCs w:val="24"/>
        </w:rPr>
      </w:pPr>
      <w:r>
        <w:rPr>
          <w:rFonts w:ascii="Arial" w:hAnsi="Arial"/>
          <w:sz w:val="24"/>
          <w:szCs w:val="24"/>
        </w:rPr>
        <w:t>Ao atingir os filhos, o agressor amplia o impacto da violência para além do corpo da mulher, atingindo sua dimensão psicológica e social, o que reforça o caráter estrutural e de gênero desse tipo de conduta. Dessa forma, a violência vicária se apresenta como uma das expressões mais extremas da violência doméstica, justamente por deslocar o sofrimento para aquilo que a vítima mais valoriza afetivamente.</w:t>
      </w:r>
    </w:p>
    <w:p w:rsidR="009D60B7" w:rsidRDefault="00425C09">
      <w:pPr>
        <w:spacing w:line="360" w:lineRule="auto"/>
        <w:ind w:firstLine="706"/>
        <w:jc w:val="both"/>
        <w:rPr>
          <w:rFonts w:ascii="Arial" w:hAnsi="Arial"/>
          <w:sz w:val="24"/>
          <w:szCs w:val="24"/>
        </w:rPr>
      </w:pPr>
      <w:r>
        <w:rPr>
          <w:rFonts w:ascii="Arial" w:hAnsi="Arial"/>
          <w:sz w:val="24"/>
          <w:szCs w:val="24"/>
        </w:rPr>
        <w:t xml:space="preserve"> A reportagem também evidencia um elemento recorrente em casos de violência vicária: a construção de narrativas pelo próprio agressor com o objetivo de justificar suas ações e redirecionar a responsabilidade do crime. Segundo Estela Bezerra, é comum que o agressor se apresente como vítima das circunstâncias, recorrendo a argumentos relacionados a conflitos conjugais, separações ou supostas traições, mesmo após a prática de atos violentos graves.</w:t>
      </w:r>
    </w:p>
    <w:p w:rsidR="009D60B7" w:rsidRDefault="00425C09">
      <w:pPr>
        <w:spacing w:line="360" w:lineRule="auto"/>
        <w:ind w:firstLine="706"/>
        <w:jc w:val="both"/>
        <w:rPr>
          <w:rFonts w:ascii="Arial" w:hAnsi="Arial"/>
          <w:sz w:val="24"/>
          <w:szCs w:val="24"/>
        </w:rPr>
      </w:pPr>
      <w:r>
        <w:rPr>
          <w:rFonts w:ascii="Arial" w:hAnsi="Arial"/>
          <w:sz w:val="24"/>
          <w:szCs w:val="24"/>
        </w:rPr>
        <w:t xml:space="preserve">Esse mecanismo discursivo contribui diretamente para a manutenção da culpabilização da vítima, uma vez que parte da interpretação social do caso passa a ser deslocada para a conduta da mulher, e não para a responsabilidade penal e moral do agressor. </w:t>
      </w:r>
    </w:p>
    <w:p w:rsidR="009D60B7" w:rsidRDefault="00425C09">
      <w:pPr>
        <w:spacing w:line="360" w:lineRule="auto"/>
        <w:ind w:firstLine="706"/>
        <w:jc w:val="both"/>
        <w:rPr>
          <w:rFonts w:ascii="Arial" w:hAnsi="Arial"/>
          <w:sz w:val="24"/>
          <w:szCs w:val="24"/>
        </w:rPr>
      </w:pPr>
      <w:r>
        <w:rPr>
          <w:rFonts w:ascii="Arial" w:hAnsi="Arial"/>
          <w:sz w:val="24"/>
          <w:szCs w:val="24"/>
        </w:rPr>
        <w:lastRenderedPageBreak/>
        <w:t>Nesse processo, observa-se a reprodução de estereótipos de gênero historicamente construídos, nos quais a mulher é frequentemente responsabilizada pela ruptura das relações ou pela instabilidade familiar. Assim, a violência não se encerra nos atos em si, mas se prolonga no campo cultural por meio da deslegitimação da vítima e da minimização da conduta do agressor.</w:t>
      </w:r>
    </w:p>
    <w:p w:rsidR="009D60B7" w:rsidRDefault="00425C09">
      <w:pPr>
        <w:spacing w:line="360" w:lineRule="auto"/>
        <w:ind w:firstLine="706"/>
        <w:jc w:val="both"/>
        <w:rPr>
          <w:rFonts w:ascii="Arial" w:hAnsi="Arial"/>
          <w:sz w:val="24"/>
          <w:szCs w:val="24"/>
        </w:rPr>
      </w:pPr>
      <w:r>
        <w:rPr>
          <w:rFonts w:ascii="Arial" w:hAnsi="Arial"/>
          <w:sz w:val="24"/>
          <w:szCs w:val="24"/>
        </w:rPr>
        <w:t xml:space="preserve"> A análise do caso de Itumbiara permite compreender que a violência vicária não pode ser interpretada apenas sob uma perspectiva individual, mas deve ser inserida em um contexto estrutural de desigualdade de gênero. Mesmo diante de situações em que há clara intenção do agressor, ainda persiste socialmente a tendência de buscar justificativas na conduta feminina.</w:t>
      </w:r>
    </w:p>
    <w:p w:rsidR="009D60B7" w:rsidRDefault="00425C09">
      <w:pPr>
        <w:spacing w:line="360" w:lineRule="auto"/>
        <w:ind w:firstLine="706"/>
        <w:jc w:val="both"/>
        <w:rPr>
          <w:rFonts w:ascii="Arial" w:hAnsi="Arial"/>
          <w:sz w:val="24"/>
          <w:szCs w:val="24"/>
        </w:rPr>
      </w:pPr>
      <w:r>
        <w:rPr>
          <w:rFonts w:ascii="Arial" w:hAnsi="Arial"/>
          <w:sz w:val="24"/>
          <w:szCs w:val="24"/>
        </w:rPr>
        <w:t xml:space="preserve">Essa lógica é reforçada tanto pelas informações apresentadas pela Agência Brasil (2026), quanto pelas discussões teóricas de Saffioti (2015), ao apontar que o patriarcado se sustenta por mecanismos simbólicos e materiais que naturalizam a desigualdade entre homens e mulheres. </w:t>
      </w:r>
    </w:p>
    <w:p w:rsidR="009D60B7" w:rsidRDefault="00425C09">
      <w:pPr>
        <w:spacing w:line="360" w:lineRule="auto"/>
        <w:ind w:firstLine="706"/>
        <w:jc w:val="both"/>
        <w:rPr>
          <w:rFonts w:ascii="Arial" w:hAnsi="Arial"/>
          <w:sz w:val="24"/>
          <w:szCs w:val="24"/>
        </w:rPr>
      </w:pPr>
      <w:r>
        <w:rPr>
          <w:rFonts w:ascii="Arial" w:hAnsi="Arial"/>
          <w:sz w:val="24"/>
          <w:szCs w:val="24"/>
        </w:rPr>
        <w:t>Além disso, esse processo também dialoga com a análise de Dias (2019), ao evidenciar que a violência de gênero frequentemente se perpetua por meio da invisibilização de suas múltiplas formas, incluindo aquelas que não deixam marcas físicas imediatas, mas produzem danos psicológicos profundos. Dessa forma, a violência vicária se consolida como uma expressão complexa da violência doméstica, exigindo não apenas resposta penal, mas também enfrentamento cultural e institucional.</w:t>
      </w:r>
    </w:p>
    <w:p w:rsidR="009D60B7" w:rsidRDefault="00425C09">
      <w:pPr>
        <w:spacing w:before="240" w:line="360" w:lineRule="auto"/>
        <w:jc w:val="both"/>
        <w:rPr>
          <w:rFonts w:ascii="Arial" w:hAnsi="Arial"/>
          <w:sz w:val="24"/>
          <w:szCs w:val="24"/>
        </w:rPr>
      </w:pPr>
      <w:r>
        <w:rPr>
          <w:rFonts w:ascii="Arial" w:hAnsi="Arial"/>
          <w:sz w:val="24"/>
          <w:szCs w:val="24"/>
        </w:rPr>
        <w:t>2.3 Consequências da culpabilização da vítima: silenciamento e medo social</w:t>
      </w:r>
    </w:p>
    <w:p w:rsidR="009D60B7" w:rsidRDefault="00425C09">
      <w:pPr>
        <w:spacing w:line="360" w:lineRule="auto"/>
        <w:ind w:firstLine="706"/>
        <w:jc w:val="both"/>
        <w:rPr>
          <w:rFonts w:ascii="Arial" w:hAnsi="Arial"/>
          <w:sz w:val="24"/>
          <w:szCs w:val="24"/>
        </w:rPr>
      </w:pPr>
      <w:r>
        <w:rPr>
          <w:rFonts w:ascii="Arial" w:hAnsi="Arial"/>
          <w:sz w:val="24"/>
          <w:szCs w:val="24"/>
        </w:rPr>
        <w:t>A culpabilização da vítima produz efeitos diretos na subnotificação dos casos de violência contra a mulher no Brasil. Quando a vítima percebe que sua conduta será julgada, há uma tendência ao medo e à evitação da denúncia, especialmente em contextos nos quais predominam valores conservadores. Conforme dados do Fórum Brasileiro de Segurança Pública, a violência de gênero apresenta altos índices de subnotificação, o que indica que uma parcela significativa dos casos não chega ao sistema de justiça. Esse fato está relacionado não apenas ao medo do agressor, mas também ao receio de exposição, julgamento social e responsabilização indireta pela violência sofrida, o que contribui para a invisibilização do problema e dificulta a formulação de políticas públicas eficazes.</w:t>
      </w:r>
    </w:p>
    <w:p w:rsidR="009D60B7" w:rsidRDefault="00425C09">
      <w:pPr>
        <w:spacing w:line="360" w:lineRule="auto"/>
        <w:ind w:firstLine="706"/>
        <w:jc w:val="both"/>
        <w:rPr>
          <w:rFonts w:ascii="Arial" w:hAnsi="Arial"/>
          <w:sz w:val="24"/>
          <w:szCs w:val="24"/>
        </w:rPr>
      </w:pPr>
      <w:r>
        <w:rPr>
          <w:rFonts w:ascii="Arial" w:hAnsi="Arial"/>
          <w:sz w:val="24"/>
          <w:szCs w:val="24"/>
        </w:rPr>
        <w:t xml:space="preserve">Além da subnotificação, a culpabilização da vítima gera um medo social mais amplo, que ultrapassa a esfera da violência física e se estende ao campo simbólico. Esse medo não se restringe ao agressor, mas envolve também a possibilidade de rejeição </w:t>
      </w:r>
      <w:r>
        <w:rPr>
          <w:rFonts w:ascii="Arial" w:hAnsi="Arial"/>
          <w:sz w:val="24"/>
          <w:szCs w:val="24"/>
        </w:rPr>
        <w:lastRenderedPageBreak/>
        <w:t>familiar e reprovação da população.</w:t>
      </w:r>
    </w:p>
    <w:p w:rsidR="009D60B7" w:rsidRDefault="00425C09">
      <w:pPr>
        <w:spacing w:line="360" w:lineRule="auto"/>
        <w:ind w:firstLine="706"/>
        <w:jc w:val="both"/>
        <w:rPr>
          <w:rFonts w:ascii="Arial" w:hAnsi="Arial"/>
          <w:sz w:val="24"/>
          <w:szCs w:val="24"/>
        </w:rPr>
      </w:pPr>
      <w:r>
        <w:rPr>
          <w:rFonts w:ascii="Arial" w:hAnsi="Arial"/>
          <w:sz w:val="24"/>
          <w:szCs w:val="24"/>
        </w:rPr>
        <w:t xml:space="preserve"> Segundo Saffioti (2015), o patriarcado opera não apenas pela violência direta, mas também por mecanismos de controle simbólico que produzem submissão e silenciam as vítimas. Nesse sentido, o medo social funciona como um instrumento de manutenção das relações de poder, que limita a autonomia da mulher e dificulta o rompimento do ciclo de violência, especialmente em contextos nos quais há forte pressão moral e religiosa, como no Centro-Oeste.</w:t>
      </w:r>
    </w:p>
    <w:p w:rsidR="009D60B7" w:rsidRDefault="00425C09">
      <w:pPr>
        <w:spacing w:line="360" w:lineRule="auto"/>
        <w:ind w:firstLine="706"/>
        <w:jc w:val="both"/>
        <w:rPr>
          <w:rFonts w:ascii="Arial" w:hAnsi="Arial"/>
          <w:sz w:val="24"/>
          <w:szCs w:val="24"/>
        </w:rPr>
      </w:pPr>
      <w:r>
        <w:rPr>
          <w:rFonts w:ascii="Arial" w:hAnsi="Arial"/>
          <w:sz w:val="24"/>
          <w:szCs w:val="24"/>
        </w:rPr>
        <w:t>As consequências da culpabilização da vítima também se estendem ao funcionamento das instituições responsáveis pelo enfrentamento da violência. A forma como a sociedade interpreta a vítima pode influenciar o atendimento em delegacias, a condução de investigações e até mesmo decisões judiciais, reproduzindo estereótipos de gênero dentro do próprio sistema de justiça. Conforme aponta a Agência Brasil (2026), a violência de gênero no Brasil ainda é permeada por narrativas que buscam responsabilizar a mulher, o que reforça a necessidade de uma atuação institucional mais qualificada e sensível às especificidades desse tipo de violência. Nesse contexto, torna-se fundamental analisar como essas percepções podem impactar o sistema penal, tema que será aprofundado no tópico seguinte.</w:t>
      </w:r>
    </w:p>
    <w:p w:rsidR="009D60B7" w:rsidRPr="00002891" w:rsidRDefault="00425C09">
      <w:pPr>
        <w:spacing w:before="240" w:line="360" w:lineRule="auto"/>
        <w:jc w:val="both"/>
        <w:rPr>
          <w:rFonts w:ascii="Arial" w:hAnsi="Arial"/>
          <w:sz w:val="24"/>
          <w:szCs w:val="24"/>
        </w:rPr>
      </w:pPr>
      <w:r w:rsidRPr="00002891">
        <w:rPr>
          <w:rFonts w:ascii="Arial" w:hAnsi="Arial"/>
          <w:bCs/>
          <w:spacing w:val="-2"/>
          <w:sz w:val="24"/>
          <w:szCs w:val="24"/>
        </w:rPr>
        <w:t>3. O IMPACTO JURÍDICO E A ATUAÇÃO DO SISTEMA PENAL FRENTE A VIOLÊNCIA DE GÊNERO</w:t>
      </w:r>
    </w:p>
    <w:p w:rsidR="009D60B7" w:rsidRDefault="00425C09">
      <w:pPr>
        <w:spacing w:line="360" w:lineRule="auto"/>
        <w:ind w:firstLine="706"/>
        <w:jc w:val="both"/>
        <w:rPr>
          <w:rFonts w:ascii="Arial" w:hAnsi="Arial"/>
          <w:sz w:val="24"/>
          <w:szCs w:val="24"/>
        </w:rPr>
      </w:pPr>
      <w:r>
        <w:rPr>
          <w:rFonts w:ascii="Arial" w:hAnsi="Arial"/>
          <w:sz w:val="24"/>
          <w:szCs w:val="24"/>
        </w:rPr>
        <w:t>Para analisar o impacto jurídico da violência de gênero, é imperativo compreender o papel do sistema penal como garantidor de direitos fundamentais. Em uma perspectiva teórica e constitucional, o aparato repressivo do Estado atua como ultima ratio, voltado à proteção de bens jurídicos essenciais, como a vida, a integridade física, a liberdade e a dignidade da pessoa humana. No contexto da violência contra a mulher, essa atuação não deve se limitar à punição, mas também abranger a prevenção de novas agressões e a interrupção do ciclo de violência.</w:t>
      </w:r>
    </w:p>
    <w:p w:rsidR="009D60B7" w:rsidRDefault="00425C09">
      <w:pPr>
        <w:spacing w:line="360" w:lineRule="auto"/>
        <w:ind w:firstLine="706"/>
        <w:jc w:val="both"/>
        <w:rPr>
          <w:rFonts w:ascii="Arial" w:hAnsi="Arial"/>
          <w:sz w:val="24"/>
          <w:szCs w:val="24"/>
        </w:rPr>
      </w:pPr>
      <w:r>
        <w:rPr>
          <w:rFonts w:ascii="Arial" w:hAnsi="Arial"/>
          <w:sz w:val="24"/>
          <w:szCs w:val="24"/>
        </w:rPr>
        <w:t>Em determinados contextos sociais, especialmente aqueles marcados por valores tradicionais, observam-se padrões que reforçam a superioridade masculina, o controle sobre o comportamento feminino e a naturalização da submissão da mulher, realidade ainda perceptível em parte do Centro-Oeste brasileiro. Esses elementos influenciam a forma como a violência de gênero é compreendida e tratada, tanto social quanto institucionalmente.</w:t>
      </w:r>
    </w:p>
    <w:p w:rsidR="009D60B7" w:rsidRDefault="00425C09">
      <w:pPr>
        <w:spacing w:line="360" w:lineRule="auto"/>
        <w:ind w:firstLine="706"/>
        <w:jc w:val="both"/>
        <w:rPr>
          <w:rFonts w:ascii="Arial" w:hAnsi="Arial"/>
          <w:sz w:val="24"/>
          <w:szCs w:val="24"/>
        </w:rPr>
      </w:pPr>
      <w:r>
        <w:rPr>
          <w:rFonts w:ascii="Arial" w:hAnsi="Arial"/>
          <w:sz w:val="24"/>
          <w:szCs w:val="24"/>
        </w:rPr>
        <w:t xml:space="preserve">Apesar da existência de um arcabouço jurídico relevante, com destaque para a Lei Maria da Penha (Lei nº 11.340/2006), a efetividade do sistema penal é </w:t>
      </w:r>
      <w:r>
        <w:rPr>
          <w:rFonts w:ascii="Arial" w:hAnsi="Arial"/>
          <w:sz w:val="24"/>
          <w:szCs w:val="24"/>
        </w:rPr>
        <w:lastRenderedPageBreak/>
        <w:t>frequentemente comprometida por falhas estruturais e por práticas institucionais que não acompanham a evolução normativa. Em muitos casos, a atuação estatal não se traduz em proteção concreta, sendo marcada por distanciamento em relação às necessidades da vítima e pela reprodução de estereótipos que enfraquecem sua posição no processo.</w:t>
      </w:r>
    </w:p>
    <w:p w:rsidR="009D60B7" w:rsidRDefault="00425C09">
      <w:pPr>
        <w:spacing w:before="240" w:line="360" w:lineRule="auto"/>
        <w:jc w:val="both"/>
        <w:rPr>
          <w:rFonts w:ascii="Arial" w:hAnsi="Arial"/>
          <w:sz w:val="24"/>
          <w:szCs w:val="24"/>
        </w:rPr>
      </w:pPr>
      <w:r>
        <w:rPr>
          <w:rFonts w:ascii="Arial" w:hAnsi="Arial"/>
          <w:sz w:val="24"/>
          <w:szCs w:val="24"/>
        </w:rPr>
        <w:t>3.1 O Fluxo Processual: Da Investigação ao Julgamento e seus Entraves</w:t>
      </w:r>
    </w:p>
    <w:p w:rsidR="009D60B7" w:rsidRDefault="00425C09">
      <w:pPr>
        <w:spacing w:line="360" w:lineRule="auto"/>
        <w:ind w:firstLine="706"/>
        <w:jc w:val="both"/>
        <w:rPr>
          <w:rFonts w:ascii="Arial" w:hAnsi="Arial"/>
          <w:sz w:val="24"/>
          <w:szCs w:val="24"/>
        </w:rPr>
      </w:pPr>
      <w:r>
        <w:rPr>
          <w:rFonts w:ascii="Arial" w:hAnsi="Arial"/>
          <w:sz w:val="24"/>
          <w:szCs w:val="24"/>
        </w:rPr>
        <w:t>No âmbito do sistema penal, as fases de investigação e instrução deveriam assegurar a apuração adequada dos fatos e a responsabilização do agressor. No entanto, é nessas etapas que se evidenciam entraves relevantes, sobretudo em contextos onde persistem desigualdades de gênero.</w:t>
      </w:r>
    </w:p>
    <w:p w:rsidR="009D60B7" w:rsidRDefault="00425C09">
      <w:pPr>
        <w:spacing w:line="360" w:lineRule="auto"/>
        <w:ind w:firstLine="706"/>
        <w:jc w:val="both"/>
        <w:rPr>
          <w:rFonts w:ascii="Arial" w:hAnsi="Arial"/>
          <w:sz w:val="24"/>
          <w:szCs w:val="24"/>
        </w:rPr>
      </w:pPr>
      <w:r>
        <w:rPr>
          <w:rFonts w:ascii="Arial" w:hAnsi="Arial"/>
          <w:sz w:val="24"/>
          <w:szCs w:val="24"/>
        </w:rPr>
        <w:t xml:space="preserve">Nos crimes de violência doméstica, a produção de provas apresenta particularidades, uma vez que tais condutas ocorrem, em regra, no espaço privado. Diante disso, a palavra da vítima assume papel central. Ainda assim, na prática, sua credibilidade frequentemente é questionada, sendo comum a análise de aspectos pessoais e comportamentais como critério implícito de validação. Esse tipo de abordagem revela um padrão de desconfiança direcionado à mulher e contribui para a fragilização de sua posição no processo. </w:t>
      </w:r>
    </w:p>
    <w:p w:rsidR="009D60B7" w:rsidRDefault="00425C09">
      <w:pPr>
        <w:spacing w:line="360" w:lineRule="auto"/>
        <w:ind w:firstLine="706"/>
        <w:jc w:val="both"/>
        <w:rPr>
          <w:rFonts w:ascii="Arial" w:hAnsi="Arial"/>
          <w:sz w:val="24"/>
          <w:szCs w:val="24"/>
        </w:rPr>
      </w:pPr>
      <w:r>
        <w:rPr>
          <w:rFonts w:ascii="Arial" w:hAnsi="Arial"/>
          <w:sz w:val="24"/>
          <w:szCs w:val="24"/>
        </w:rPr>
        <w:t>Nesse contexto, Dias (2019) esclarece que, em crimes cometidos na clandestinidade do ambiente doméstico, a palavra da vítima deve possuir especial valor probatório, desde que coerente com o contexto dos fatos. No entanto, a autora adverte que o sistema de justiça ainda opera sob uma lógica seletiva, onde estereótipos morais são utilizados para desqualificar o relato feminino, resultando em uma barreira invisível que impede a punição do agressor e perpetua a impunidade.</w:t>
      </w:r>
    </w:p>
    <w:p w:rsidR="009D60B7" w:rsidRDefault="00425C09">
      <w:pPr>
        <w:spacing w:line="360" w:lineRule="auto"/>
        <w:ind w:firstLine="706"/>
        <w:jc w:val="both"/>
        <w:rPr>
          <w:rFonts w:ascii="Arial" w:hAnsi="Arial"/>
          <w:sz w:val="24"/>
          <w:szCs w:val="24"/>
        </w:rPr>
      </w:pPr>
      <w:r>
        <w:rPr>
          <w:rFonts w:ascii="Arial" w:hAnsi="Arial"/>
          <w:sz w:val="24"/>
          <w:szCs w:val="24"/>
        </w:rPr>
        <w:t>Além disso, a adoção de critérios probatórios rígidos, sem consideração das especificidades desses delitos, favorece o arquivamento de investigações e reduz a efetividade da resposta penal. Como consequência, consolida-se uma percepção de ineficiência estatal, especialmente em regiões onde fatores culturais contribuem para a minimização da gravidade dessas condutas.</w:t>
      </w:r>
    </w:p>
    <w:p w:rsidR="009D60B7" w:rsidRDefault="00425C09">
      <w:pPr>
        <w:spacing w:before="240" w:line="360" w:lineRule="auto"/>
        <w:jc w:val="both"/>
        <w:rPr>
          <w:rFonts w:ascii="Arial" w:hAnsi="Arial"/>
          <w:sz w:val="24"/>
          <w:szCs w:val="24"/>
        </w:rPr>
      </w:pPr>
      <w:r>
        <w:rPr>
          <w:rFonts w:ascii="Arial" w:hAnsi="Arial"/>
          <w:sz w:val="24"/>
          <w:szCs w:val="24"/>
        </w:rPr>
        <w:t>3.2 Estereótipos de Gênero nas Decisões Judiciais e a Revitimização</w:t>
      </w:r>
    </w:p>
    <w:p w:rsidR="009D60B7" w:rsidRDefault="00425C09">
      <w:pPr>
        <w:spacing w:line="360" w:lineRule="auto"/>
        <w:ind w:firstLine="706"/>
        <w:jc w:val="both"/>
        <w:rPr>
          <w:rFonts w:ascii="Arial" w:hAnsi="Arial"/>
          <w:sz w:val="24"/>
          <w:szCs w:val="24"/>
        </w:rPr>
      </w:pPr>
      <w:r>
        <w:rPr>
          <w:rFonts w:ascii="Arial" w:hAnsi="Arial"/>
          <w:sz w:val="24"/>
          <w:szCs w:val="24"/>
        </w:rPr>
        <w:t>A atuação dos operadores do Direito não ocorre em um vácuo social. Magistrados, promotores e policiais estão inseridos em um contexto que historicamente atribui papéis distintos a homens e mulheres, o que se reflete na forma como os casos são analisados.</w:t>
      </w:r>
    </w:p>
    <w:p w:rsidR="009D60B7" w:rsidRDefault="00425C09">
      <w:pPr>
        <w:spacing w:line="360" w:lineRule="auto"/>
        <w:ind w:firstLine="706"/>
        <w:jc w:val="both"/>
        <w:rPr>
          <w:rFonts w:ascii="Arial" w:hAnsi="Arial"/>
          <w:sz w:val="24"/>
          <w:szCs w:val="24"/>
        </w:rPr>
      </w:pPr>
      <w:r>
        <w:rPr>
          <w:rFonts w:ascii="Arial" w:hAnsi="Arial"/>
          <w:sz w:val="24"/>
          <w:szCs w:val="24"/>
        </w:rPr>
        <w:t xml:space="preserve">Nesse cenário, não é incomum que a atenção se desloque da conduta do agressor para a vida da vítima. Questionamentos sobre comportamento, relações pessoais e escolhas individuais acabam sendo utilizados para relativizar a violência sofrida. Essa </w:t>
      </w:r>
      <w:r>
        <w:rPr>
          <w:rFonts w:ascii="Arial" w:hAnsi="Arial"/>
          <w:sz w:val="24"/>
          <w:szCs w:val="24"/>
        </w:rPr>
        <w:lastRenderedPageBreak/>
        <w:t>lógica contribui para a desvalorização do relato feminino e para a atribuição indireta de responsabilidade à vítima.</w:t>
      </w:r>
    </w:p>
    <w:p w:rsidR="009D60B7" w:rsidRDefault="00425C09">
      <w:pPr>
        <w:spacing w:line="360" w:lineRule="auto"/>
        <w:ind w:firstLine="706"/>
        <w:jc w:val="both"/>
        <w:rPr>
          <w:rFonts w:ascii="Arial" w:hAnsi="Arial"/>
          <w:sz w:val="24"/>
          <w:szCs w:val="24"/>
        </w:rPr>
      </w:pPr>
      <w:r>
        <w:rPr>
          <w:rFonts w:ascii="Arial" w:hAnsi="Arial"/>
          <w:sz w:val="24"/>
          <w:szCs w:val="24"/>
        </w:rPr>
        <w:t>Situações concretas evidenciam esse fenômeno. Pesquisa desenvolvida no âmbito da Universidade Federal de Goiás, Ser-Tão (UFG) , com análise de boletins de ocorrência e narrativas jornalísticas em Goiânia, identificou que esses registros frequentemente apresentam linguagem machista, julgamento moral da vítima e exposição de sua vida íntima, evidenciando a presença de revitimização no próprio aparato estatal.</w:t>
      </w:r>
    </w:p>
    <w:p w:rsidR="009D60B7" w:rsidRDefault="00425C09">
      <w:pPr>
        <w:spacing w:line="360" w:lineRule="auto"/>
        <w:ind w:firstLine="706"/>
        <w:jc w:val="both"/>
        <w:rPr>
          <w:rFonts w:ascii="Arial" w:hAnsi="Arial"/>
          <w:sz w:val="24"/>
          <w:szCs w:val="24"/>
        </w:rPr>
      </w:pPr>
      <w:r>
        <w:rPr>
          <w:rFonts w:ascii="Arial" w:hAnsi="Arial"/>
          <w:sz w:val="24"/>
          <w:szCs w:val="24"/>
        </w:rPr>
        <w:t>Esse contexto favorece a ocorrência da revitimização, também denominada vitimização secundária. Ao longo do processo, a necessidade de reiterar relatos, a condução inadequada de interrogatórios e a exposição desnecessária da intimidade transformam a atuação estatal em um fator adicional de sofrimento. A Lei Mariana Ferrer (Lei nº 14.245/2021) surge como tentativa de enfrentamento dessa problemática, ao estabelecer limites para condutas abusivas em audiências, embora sua efetividade dependa da aplicação concreta por parte dos agentes envolvidos.</w:t>
      </w:r>
    </w:p>
    <w:p w:rsidR="009D60B7" w:rsidRDefault="00425C09">
      <w:pPr>
        <w:spacing w:before="240" w:line="360" w:lineRule="auto"/>
        <w:jc w:val="both"/>
        <w:rPr>
          <w:rFonts w:ascii="Arial" w:hAnsi="Arial"/>
          <w:sz w:val="24"/>
          <w:szCs w:val="24"/>
        </w:rPr>
      </w:pPr>
      <w:r>
        <w:rPr>
          <w:rFonts w:ascii="Arial" w:hAnsi="Arial"/>
          <w:sz w:val="24"/>
          <w:szCs w:val="24"/>
        </w:rPr>
        <w:t>3.3 Consequências da Falha Estatal: Impunidade e Baixa Efetividade</w:t>
      </w:r>
    </w:p>
    <w:p w:rsidR="009D60B7" w:rsidRDefault="00425C09">
      <w:pPr>
        <w:spacing w:line="360" w:lineRule="auto"/>
        <w:ind w:firstLine="706"/>
        <w:jc w:val="both"/>
        <w:rPr>
          <w:rFonts w:ascii="Arial" w:hAnsi="Arial"/>
          <w:sz w:val="24"/>
          <w:szCs w:val="24"/>
        </w:rPr>
      </w:pPr>
      <w:r>
        <w:rPr>
          <w:rFonts w:ascii="Arial" w:hAnsi="Arial"/>
          <w:sz w:val="24"/>
          <w:szCs w:val="24"/>
        </w:rPr>
        <w:t>As dificuldades enfrentadas ao longo do processo penal resultam em um cenário de baixa efetividade na responsabilização dos agressores. A morosidade, a fragilidade probatória e a condução inadequada dos casos contribuem para a percepção de que a violência contra a mulher não recebe tratamento proporcional à sua gravidade.</w:t>
      </w:r>
    </w:p>
    <w:p w:rsidR="009D60B7" w:rsidRDefault="00425C09">
      <w:pPr>
        <w:spacing w:line="360" w:lineRule="auto"/>
        <w:ind w:firstLine="706"/>
        <w:jc w:val="both"/>
        <w:rPr>
          <w:rFonts w:ascii="Arial" w:hAnsi="Arial"/>
          <w:sz w:val="24"/>
          <w:szCs w:val="24"/>
        </w:rPr>
      </w:pPr>
      <w:r>
        <w:rPr>
          <w:rFonts w:ascii="Arial" w:hAnsi="Arial"/>
          <w:sz w:val="24"/>
          <w:szCs w:val="24"/>
        </w:rPr>
        <w:t>Esse cenário impacta diretamente o comportamento das vítimas. Dados do Fórum Brasileiro de Segurança Pública indicam que muitas mulheres optam por não formalizar denúncia, o que evidencia a desconfiança nas instituições. A percepção de que o sistema não oferece proteção adequada desencoraja a busca por apoio estatal e favorece a continuidade da violência.</w:t>
      </w:r>
    </w:p>
    <w:p w:rsidR="009D60B7" w:rsidRDefault="00425C09">
      <w:pPr>
        <w:spacing w:line="360" w:lineRule="auto"/>
        <w:ind w:firstLine="706"/>
        <w:jc w:val="both"/>
        <w:rPr>
          <w:rFonts w:ascii="Arial" w:hAnsi="Arial"/>
          <w:sz w:val="24"/>
          <w:szCs w:val="24"/>
        </w:rPr>
      </w:pPr>
      <w:r>
        <w:rPr>
          <w:rFonts w:ascii="Arial" w:hAnsi="Arial"/>
          <w:sz w:val="24"/>
          <w:szCs w:val="24"/>
        </w:rPr>
        <w:t>Assim, a atuação institucional, quando marcada por falhas e abordagens inadequadas, contribui para a manutenção do problema, reforçando a distância entre a previsão legal e a realidade enfrentada pelas vítimas.</w:t>
      </w:r>
    </w:p>
    <w:p w:rsidR="009D60B7" w:rsidRDefault="00425C09">
      <w:pPr>
        <w:spacing w:line="360" w:lineRule="auto"/>
        <w:ind w:firstLine="706"/>
        <w:jc w:val="both"/>
        <w:rPr>
          <w:rFonts w:ascii="Arial" w:hAnsi="Arial"/>
          <w:sz w:val="24"/>
          <w:szCs w:val="24"/>
        </w:rPr>
      </w:pPr>
      <w:r>
        <w:rPr>
          <w:rFonts w:ascii="Arial" w:hAnsi="Arial"/>
          <w:sz w:val="24"/>
          <w:szCs w:val="24"/>
        </w:rPr>
        <w:t xml:space="preserve">O Direito Penal, por sua natureza, atua de forma posterior ao fato, o que limita sua capacidade de enfrentamento de problemas estruturais. Embora seja essencial para a responsabilização dos agressores, não é suficiente para alterar, isoladamente, dinâmicas sociais enraizadas. Nesse sentido, Bianchini (2020) ressalta que o Direito Penal possui limites instrínsecos e, se utilizado de forma isolada, acaba por oferecer apenas uma resposta simbólica. A autora argumenta que a efetividade da proteção à </w:t>
      </w:r>
      <w:r>
        <w:rPr>
          <w:rFonts w:ascii="Arial" w:hAnsi="Arial"/>
          <w:sz w:val="24"/>
          <w:szCs w:val="24"/>
        </w:rPr>
        <w:lastRenderedPageBreak/>
        <w:t>mulher depende da 'intersetorialidade', ou seja, da articulação entre a punição do agressor e políticas públicas que promovam a autonomia da vítima, sob pena de o sistema penal continuar gerando um ciclo de impunidade e descrédito institucional.</w:t>
      </w:r>
    </w:p>
    <w:p w:rsidR="009D60B7" w:rsidRDefault="00425C09">
      <w:pPr>
        <w:spacing w:line="360" w:lineRule="auto"/>
        <w:ind w:firstLine="706"/>
        <w:jc w:val="both"/>
        <w:rPr>
          <w:rFonts w:ascii="Arial" w:hAnsi="Arial"/>
          <w:sz w:val="24"/>
          <w:szCs w:val="24"/>
        </w:rPr>
      </w:pPr>
      <w:r>
        <w:rPr>
          <w:rFonts w:ascii="Arial" w:hAnsi="Arial"/>
          <w:sz w:val="24"/>
          <w:szCs w:val="24"/>
        </w:rPr>
        <w:t>O enfrentamento efetivo da violência contra a mulher exige a integração entre o sistema penal e políticas públicas voltadas à educação, à assistência social e ao suporte psicológico. Também se mostra necessária a qualificação dos profissionais envolvidos, de modo a assegurar um atendimento mais adequado às vítimas.</w:t>
      </w:r>
    </w:p>
    <w:p w:rsidR="009D60B7" w:rsidRDefault="00425C09">
      <w:pPr>
        <w:pStyle w:val="Ttulo2"/>
        <w:spacing w:line="360" w:lineRule="auto"/>
        <w:ind w:left="0" w:firstLine="706"/>
        <w:jc w:val="both"/>
        <w:rPr>
          <w:rFonts w:ascii="Arial" w:hAnsi="Arial"/>
          <w:sz w:val="24"/>
          <w:szCs w:val="24"/>
        </w:rPr>
      </w:pPr>
      <w:r>
        <w:rPr>
          <w:rFonts w:ascii="Arial" w:hAnsi="Arial"/>
          <w:sz w:val="24"/>
          <w:szCs w:val="24"/>
        </w:rPr>
        <w:t>A superação desse cenário depende não apenas da existência de normas, mas da transformação das práticas institucionais e da forma como a violência de gênero é compreendida, permitindo que o sistema penal atue de maneira mais efetiva na proteção dos direitos das mulheres</w:t>
      </w:r>
      <w:r>
        <w:rPr>
          <w:rFonts w:ascii="Arial" w:hAnsi="Arial"/>
          <w:spacing w:val="-2"/>
          <w:sz w:val="24"/>
          <w:szCs w:val="24"/>
        </w:rPr>
        <w:t xml:space="preserve"> </w:t>
      </w:r>
    </w:p>
    <w:p w:rsidR="009D60B7" w:rsidRDefault="009D60B7">
      <w:pPr>
        <w:pStyle w:val="Ttulo2"/>
        <w:spacing w:before="1" w:line="360" w:lineRule="auto"/>
        <w:ind w:left="0"/>
        <w:jc w:val="both"/>
        <w:rPr>
          <w:rFonts w:ascii="Arial" w:hAnsi="Arial"/>
          <w:spacing w:val="-2"/>
          <w:sz w:val="24"/>
          <w:szCs w:val="24"/>
        </w:rPr>
      </w:pPr>
    </w:p>
    <w:p w:rsidR="009D60B7" w:rsidRPr="00002891" w:rsidRDefault="00425C09">
      <w:pPr>
        <w:pStyle w:val="Ttulo2"/>
        <w:spacing w:before="1" w:line="360" w:lineRule="auto"/>
        <w:ind w:left="0"/>
        <w:jc w:val="both"/>
        <w:rPr>
          <w:rFonts w:ascii="Arial" w:hAnsi="Arial"/>
          <w:bCs/>
          <w:sz w:val="24"/>
          <w:szCs w:val="24"/>
        </w:rPr>
      </w:pPr>
      <w:r w:rsidRPr="00002891">
        <w:rPr>
          <w:rFonts w:ascii="Arial" w:hAnsi="Arial"/>
          <w:bCs/>
          <w:spacing w:val="-2"/>
          <w:sz w:val="24"/>
          <w:szCs w:val="24"/>
        </w:rPr>
        <w:t>CONCLUSÃO</w:t>
      </w:r>
    </w:p>
    <w:p w:rsidR="009D60B7" w:rsidRDefault="00425C09">
      <w:pPr>
        <w:pStyle w:val="Corpodetexto"/>
        <w:spacing w:line="360" w:lineRule="auto"/>
        <w:ind w:left="142" w:firstLine="709"/>
        <w:jc w:val="both"/>
        <w:rPr>
          <w:rFonts w:ascii="Arial" w:hAnsi="Arial"/>
          <w:sz w:val="24"/>
          <w:szCs w:val="24"/>
        </w:rPr>
      </w:pPr>
      <w:r>
        <w:rPr>
          <w:rFonts w:ascii="Arial" w:hAnsi="Arial"/>
          <w:sz w:val="24"/>
          <w:szCs w:val="24"/>
        </w:rPr>
        <w:t>A análise desenvolvida ao longo do presente artigo permitiu evidenciar que a violência contra a mulher, especialmente em contextos marcados por tradições patriarcais, não pode ser compreendida apenas como um fenômeno isolado, mas como resultado de construções socioculturais historicamente enraizadas. No recorte do Centro-Oeste brasileiro, tais estruturas se manifestam de forma significativa, influenciando não apenas a ocorrência da violência, mas também a forma como ela é percebida e interpretada socialmente.</w:t>
      </w:r>
    </w:p>
    <w:p w:rsidR="009D60B7" w:rsidRDefault="00425C09">
      <w:pPr>
        <w:pStyle w:val="Corpodetexto"/>
        <w:spacing w:line="360" w:lineRule="auto"/>
        <w:ind w:left="142" w:firstLine="709"/>
        <w:jc w:val="both"/>
        <w:rPr>
          <w:rFonts w:ascii="Arial" w:hAnsi="Arial"/>
          <w:sz w:val="24"/>
          <w:szCs w:val="24"/>
        </w:rPr>
      </w:pPr>
      <w:r>
        <w:rPr>
          <w:rFonts w:ascii="Arial" w:hAnsi="Arial"/>
          <w:sz w:val="24"/>
          <w:szCs w:val="24"/>
        </w:rPr>
        <w:t>Verificou-se que a cultura patriarcal, ao estabelecer papéis de gênero rígidos e hierarquizados, contribui diretamente para a culpabilização da vítima, deslocando o foco da responsabilidade do agressor para a conduta da mulher. Esse processo, muitas vezes naturalizado no imaginário social, reforça estigmas, silencia denúncias e perpetua a desigualdade de gênero, dificultando o enfrentamento efetivo da violência.</w:t>
      </w:r>
    </w:p>
    <w:p w:rsidR="009D60B7" w:rsidRDefault="00425C09">
      <w:pPr>
        <w:pStyle w:val="Corpodetexto"/>
        <w:spacing w:line="360" w:lineRule="auto"/>
        <w:ind w:left="142" w:firstLine="709"/>
        <w:jc w:val="both"/>
        <w:rPr>
          <w:rFonts w:ascii="Arial" w:hAnsi="Arial"/>
          <w:sz w:val="24"/>
          <w:szCs w:val="24"/>
        </w:rPr>
      </w:pPr>
      <w:r>
        <w:rPr>
          <w:rFonts w:ascii="Arial" w:hAnsi="Arial"/>
          <w:sz w:val="24"/>
          <w:szCs w:val="24"/>
        </w:rPr>
        <w:t>No âmbito do sistema penal, constatou-se que tais construções culturais não permanecem restritas ao plano social, mas se refletem na atuação institucional, comprometendo a efetividade da proteção jurídica. A presença de estereótipos de gênero na condução das investigações, na valoração das provas e no julgamento dos casos pode resultar na revitimização da mulher e na fragilização da resposta estatal, evidenciando que o sistema penal, longe de ser neutro, também reproduz padrões sociais discriminatórios.</w:t>
      </w:r>
    </w:p>
    <w:p w:rsidR="009D60B7" w:rsidRDefault="00425C09">
      <w:pPr>
        <w:pStyle w:val="Corpodetexto"/>
        <w:spacing w:line="360" w:lineRule="auto"/>
        <w:ind w:left="142" w:firstLine="709"/>
        <w:jc w:val="both"/>
        <w:rPr>
          <w:rFonts w:ascii="Arial" w:hAnsi="Arial"/>
          <w:sz w:val="24"/>
          <w:szCs w:val="24"/>
        </w:rPr>
      </w:pPr>
      <w:r>
        <w:rPr>
          <w:rFonts w:ascii="Arial" w:hAnsi="Arial"/>
          <w:sz w:val="24"/>
          <w:szCs w:val="24"/>
        </w:rPr>
        <w:t xml:space="preserve">Diante disso, conclui-se que a influência da cultura patriarcal na culpabilização da vítima impacta de maneira significativa a atuação do sistema penal nos casos de violência contra a mulher no Centro-Oeste brasileiro, limitando a efetividade das normas </w:t>
      </w:r>
      <w:r>
        <w:rPr>
          <w:rFonts w:ascii="Arial" w:hAnsi="Arial"/>
          <w:sz w:val="24"/>
          <w:szCs w:val="24"/>
        </w:rPr>
        <w:lastRenderedPageBreak/>
        <w:t>protetivas e contribuindo para a manutenção de um cenário de desigualdade e violência. Torna-se, portanto, indispensável a adoção de medidas que ultrapassem a dimensão normativa, envolvendo a capacitação dos agentes públicos, o fortalecimento de políticas de acolhimento às vítimas e a promoção de mudanças culturais que rompam com padrões historicamente consolidados de desigualdade de gênero.</w:t>
      </w:r>
    </w:p>
    <w:p w:rsidR="009D60B7" w:rsidRDefault="00425C09">
      <w:pPr>
        <w:pStyle w:val="Corpodetexto"/>
        <w:spacing w:line="360" w:lineRule="auto"/>
        <w:ind w:left="142" w:firstLine="709"/>
        <w:jc w:val="both"/>
        <w:rPr>
          <w:rFonts w:ascii="Arial" w:hAnsi="Arial"/>
          <w:sz w:val="24"/>
          <w:szCs w:val="24"/>
        </w:rPr>
      </w:pPr>
      <w:r>
        <w:rPr>
          <w:rFonts w:ascii="Arial" w:hAnsi="Arial"/>
          <w:sz w:val="24"/>
          <w:szCs w:val="24"/>
        </w:rPr>
        <w:t>Assim, mais do que a ampliação do aparato legislativo, faz-se necessária a construção de uma atuação estatal sensível às questões de gênero, capaz de garantir não apenas a responsabilização dos agressores, mas também a proteção efetiva e digna das mulheres, assegurando a concretização dos direitos fundamentais e o enfrentamento estrutural da violência.</w:t>
      </w:r>
    </w:p>
    <w:p w:rsidR="009D60B7" w:rsidRDefault="009D60B7">
      <w:pPr>
        <w:pStyle w:val="Ttulo2"/>
        <w:spacing w:line="360" w:lineRule="auto"/>
        <w:ind w:left="0"/>
        <w:jc w:val="both"/>
        <w:rPr>
          <w:rFonts w:ascii="Arial" w:hAnsi="Arial"/>
          <w:spacing w:val="-2"/>
          <w:sz w:val="24"/>
          <w:szCs w:val="24"/>
        </w:rPr>
      </w:pPr>
    </w:p>
    <w:p w:rsidR="009D60B7" w:rsidRPr="00002891" w:rsidRDefault="00425C09">
      <w:pPr>
        <w:pStyle w:val="Ttulo2"/>
        <w:tabs>
          <w:tab w:val="left" w:pos="220"/>
        </w:tabs>
        <w:spacing w:before="1" w:line="360" w:lineRule="auto"/>
        <w:ind w:left="0"/>
        <w:jc w:val="both"/>
        <w:rPr>
          <w:rFonts w:ascii="Arial" w:hAnsi="Arial"/>
          <w:sz w:val="24"/>
          <w:szCs w:val="24"/>
        </w:rPr>
      </w:pPr>
      <w:r>
        <w:rPr>
          <w:rFonts w:ascii="Arial" w:hAnsi="Arial"/>
          <w:b/>
          <w:spacing w:val="-2"/>
          <w:sz w:val="24"/>
          <w:szCs w:val="24"/>
        </w:rPr>
        <w:t xml:space="preserve"> </w:t>
      </w:r>
      <w:r w:rsidRPr="00002891">
        <w:rPr>
          <w:rFonts w:ascii="Arial" w:hAnsi="Arial"/>
          <w:spacing w:val="-2"/>
          <w:sz w:val="24"/>
          <w:szCs w:val="24"/>
        </w:rPr>
        <w:t>REFERÊNCIAS</w:t>
      </w: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REDAÇÃO. </w:t>
      </w:r>
      <w:r>
        <w:rPr>
          <w:rStyle w:val="Hyperlink1"/>
          <w:rFonts w:ascii="Arial" w:hAnsi="Arial"/>
          <w:b/>
          <w:bCs/>
          <w:color w:val="000000" w:themeColor="dark1"/>
          <w:sz w:val="24"/>
          <w:szCs w:val="24"/>
          <w:u w:val="none"/>
        </w:rPr>
        <w:t>Número de feminicídios em 2023 é o maior da série histórica no Brasil, diz Fórum de Segurança Pública</w:t>
      </w:r>
      <w:r>
        <w:rPr>
          <w:rStyle w:val="Hyperlink1"/>
          <w:rFonts w:ascii="Arial" w:hAnsi="Arial"/>
          <w:color w:val="000000" w:themeColor="dark1"/>
          <w:sz w:val="24"/>
          <w:szCs w:val="24"/>
          <w:u w:val="none"/>
        </w:rPr>
        <w:t>. Brasil de Fato, 7 mar. 2024. Disponível em: &lt;</w:t>
      </w:r>
      <w:r>
        <w:rPr>
          <w:rStyle w:val="Hyperlink1"/>
          <w:rFonts w:ascii="Arial" w:hAnsi="Arial"/>
          <w:sz w:val="24"/>
          <w:szCs w:val="24"/>
        </w:rPr>
        <w:t>https://www.brasildefato.com.br/2024/03/07/numero-de-feminicidios-em-2023-e-o-maior-da-serie-historica-no-brasil-diz-forum-de-seguranca-publica/⁠�.</w:t>
      </w:r>
      <w:r>
        <w:rPr>
          <w:rStyle w:val="Hyperlink1"/>
          <w:rFonts w:ascii="Arial" w:hAnsi="Arial"/>
          <w:sz w:val="24"/>
          <w:szCs w:val="24"/>
          <w:u w:val="none"/>
        </w:rPr>
        <w:t xml:space="preserve"> </w:t>
      </w:r>
      <w:r>
        <w:rPr>
          <w:rStyle w:val="Hyperlink1"/>
          <w:rFonts w:ascii="Arial" w:hAnsi="Arial"/>
          <w:color w:val="000000" w:themeColor="dark1"/>
          <w:sz w:val="24"/>
          <w:szCs w:val="24"/>
          <w:u w:val="none"/>
        </w:rPr>
        <w:t>Acesso em: 22 abr. 2026.</w:t>
      </w:r>
      <w:r>
        <w:rPr>
          <w:rStyle w:val="Hyperlink1"/>
          <w:rFonts w:ascii="Arial" w:hAnsi="Arial"/>
          <w:color w:val="000000" w:themeColor="dark1"/>
          <w:sz w:val="24"/>
          <w:szCs w:val="24"/>
          <w:u w:val="none"/>
        </w:rPr>
        <w:br/>
      </w:r>
      <w:r>
        <w:rPr>
          <w:rStyle w:val="Hyperlink1"/>
          <w:rFonts w:ascii="Arial" w:hAnsi="Arial"/>
          <w:color w:val="000000" w:themeColor="dark1"/>
          <w:sz w:val="24"/>
          <w:szCs w:val="24"/>
          <w:u w:val="none"/>
        </w:rPr>
        <w:br/>
        <w:t xml:space="preserve">AGÊNCIA BRASIL. </w:t>
      </w:r>
      <w:r>
        <w:rPr>
          <w:rStyle w:val="Hyperlink1"/>
          <w:rFonts w:ascii="Arial" w:hAnsi="Arial"/>
          <w:b/>
          <w:bCs/>
          <w:color w:val="000000" w:themeColor="dark1"/>
          <w:sz w:val="24"/>
          <w:szCs w:val="24"/>
          <w:u w:val="none"/>
        </w:rPr>
        <w:t>Caso de Itumbiara evidencia violência vicária e culpabilização da vítima</w:t>
      </w:r>
      <w:r>
        <w:rPr>
          <w:rStyle w:val="Hyperlink1"/>
          <w:rFonts w:ascii="Arial" w:hAnsi="Arial"/>
          <w:color w:val="000000" w:themeColor="dark1"/>
          <w:sz w:val="24"/>
          <w:szCs w:val="24"/>
          <w:u w:val="none"/>
        </w:rPr>
        <w:t>. 2026. Disponível em:</w:t>
      </w:r>
      <w:r>
        <w:rPr>
          <w:rStyle w:val="Hyperlink1"/>
          <w:rFonts w:ascii="Arial" w:hAnsi="Arial"/>
          <w:sz w:val="24"/>
          <w:szCs w:val="24"/>
          <w:u w:val="none"/>
        </w:rPr>
        <w:t xml:space="preserve"> &lt;</w:t>
      </w:r>
      <w:r>
        <w:rPr>
          <w:rStyle w:val="Hyperlink1"/>
          <w:rFonts w:ascii="Arial" w:hAnsi="Arial"/>
          <w:sz w:val="24"/>
          <w:szCs w:val="24"/>
        </w:rPr>
        <w:t>https://agenciabrasil.ebc.com.br⁠</w:t>
      </w:r>
      <w:r>
        <w:rPr>
          <w:rStyle w:val="Hyperlink1"/>
          <w:rFonts w:ascii="Arial" w:hAnsi="Arial"/>
          <w:color w:val="000000" w:themeColor="dark1"/>
          <w:sz w:val="24"/>
          <w:szCs w:val="24"/>
          <w:u w:val="none"/>
        </w:rPr>
        <w:t>. Acesso em: 22 abr. 2026.</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FÓRUM BRASILEIRO DE SEGURANÇA PÚBLICA. </w:t>
      </w:r>
      <w:r>
        <w:rPr>
          <w:rStyle w:val="Hyperlink1"/>
          <w:rFonts w:ascii="Arial" w:hAnsi="Arial"/>
          <w:b/>
          <w:bCs/>
          <w:color w:val="000000" w:themeColor="dark1"/>
          <w:sz w:val="24"/>
          <w:szCs w:val="24"/>
          <w:u w:val="none"/>
        </w:rPr>
        <w:t>Anuário Brasileiro de Segurança Pública</w:t>
      </w:r>
      <w:r>
        <w:rPr>
          <w:rStyle w:val="Hyperlink1"/>
          <w:rFonts w:ascii="Arial" w:hAnsi="Arial"/>
          <w:color w:val="000000" w:themeColor="dark1"/>
          <w:sz w:val="24"/>
          <w:szCs w:val="24"/>
          <w:u w:val="none"/>
        </w:rPr>
        <w:t xml:space="preserve">. São Paulo: FBSP, 2025. Disponível em: </w:t>
      </w:r>
      <w:r>
        <w:rPr>
          <w:rStyle w:val="Hyperlink1"/>
          <w:rFonts w:ascii="Arial" w:hAnsi="Arial"/>
          <w:sz w:val="24"/>
          <w:szCs w:val="24"/>
          <w:u w:val="none"/>
        </w:rPr>
        <w:t>&lt;https://forumseguranca.org.br/publicacoes/anuario-brasileiro-de-seguranca-publica</w:t>
      </w:r>
      <w:r>
        <w:rPr>
          <w:rStyle w:val="Hyperlink1"/>
          <w:rFonts w:ascii="Arial" w:hAnsi="Arial"/>
          <w:color w:val="000000" w:themeColor="dark1"/>
          <w:sz w:val="24"/>
          <w:szCs w:val="24"/>
          <w:u w:val="none"/>
        </w:rPr>
        <w:t>/. Acesso em: 22 abr. 2026.</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BRASIL. Lei nº 14.245, de 22 de novembro de 2021. </w:t>
      </w:r>
      <w:r>
        <w:rPr>
          <w:rStyle w:val="Hyperlink1"/>
          <w:rFonts w:ascii="Arial" w:hAnsi="Arial"/>
          <w:b/>
          <w:bCs/>
          <w:color w:val="000000" w:themeColor="dark1"/>
          <w:sz w:val="24"/>
          <w:szCs w:val="24"/>
          <w:u w:val="none"/>
        </w:rPr>
        <w:t>Dispõe sobre o respeito às vítimas de violência e testemunhas.</w:t>
      </w:r>
      <w:r>
        <w:rPr>
          <w:rStyle w:val="Hyperlink1"/>
          <w:rFonts w:ascii="Arial" w:hAnsi="Arial"/>
          <w:color w:val="000000" w:themeColor="dark1"/>
          <w:sz w:val="24"/>
          <w:szCs w:val="24"/>
          <w:u w:val="none"/>
        </w:rPr>
        <w:t xml:space="preserve"> Disponível em: </w:t>
      </w:r>
      <w:r>
        <w:rPr>
          <w:rStyle w:val="Hyperlink1"/>
          <w:rFonts w:ascii="Arial" w:hAnsi="Arial"/>
          <w:sz w:val="24"/>
          <w:szCs w:val="24"/>
          <w:u w:val="none"/>
        </w:rPr>
        <w:t>&lt;http://www.planalto.gov.br/ccivil_03/_ato2019-2022/2021/lei/L14245.htm.</w:t>
      </w:r>
      <w:r>
        <w:rPr>
          <w:rStyle w:val="Hyperlink1"/>
          <w:rFonts w:ascii="Arial" w:hAnsi="Arial"/>
          <w:color w:val="000000" w:themeColor="dark1"/>
          <w:sz w:val="24"/>
          <w:szCs w:val="24"/>
          <w:u w:val="none"/>
        </w:rPr>
        <w:t xml:space="preserve"> Acesso em: 22 abr. 2026.</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BRASIL. Lei nº 11.340, de 7 de agosto de 2006. </w:t>
      </w:r>
      <w:r>
        <w:rPr>
          <w:rStyle w:val="Hyperlink1"/>
          <w:rFonts w:ascii="Arial" w:hAnsi="Arial"/>
          <w:b/>
          <w:bCs/>
          <w:color w:val="000000" w:themeColor="dark1"/>
          <w:sz w:val="24"/>
          <w:szCs w:val="24"/>
          <w:u w:val="none"/>
        </w:rPr>
        <w:t>Cria mecanismos para coibir a violência doméstica e familiar contra a mulher.</w:t>
      </w:r>
      <w:r>
        <w:rPr>
          <w:rStyle w:val="Hyperlink1"/>
          <w:rFonts w:ascii="Arial" w:hAnsi="Arial"/>
          <w:color w:val="000000" w:themeColor="dark1"/>
          <w:sz w:val="24"/>
          <w:szCs w:val="24"/>
          <w:u w:val="none"/>
        </w:rPr>
        <w:t xml:space="preserve"> Disponível em: </w:t>
      </w:r>
      <w:r>
        <w:rPr>
          <w:rStyle w:val="Hyperlink1"/>
          <w:rFonts w:ascii="Arial" w:hAnsi="Arial"/>
          <w:sz w:val="24"/>
          <w:szCs w:val="24"/>
          <w:u w:val="none"/>
        </w:rPr>
        <w:t>&lt;http://www.planalto.gov.br/ccivil_03/_ato2004-2006/2006/lei/l11340.htm.</w:t>
      </w:r>
      <w:r>
        <w:rPr>
          <w:rStyle w:val="Hyperlink1"/>
          <w:rFonts w:ascii="Arial" w:hAnsi="Arial"/>
          <w:color w:val="000000" w:themeColor="dark1"/>
          <w:sz w:val="24"/>
          <w:szCs w:val="24"/>
          <w:u w:val="none"/>
        </w:rPr>
        <w:t xml:space="preserve"> Acesso em: 22 abr. 2026.</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NEVES, Ana Paula de Castro; LIMA, Angelita Pereira de. </w:t>
      </w:r>
      <w:r>
        <w:rPr>
          <w:rStyle w:val="Hyperlink1"/>
          <w:rFonts w:ascii="Arial" w:hAnsi="Arial"/>
          <w:b/>
          <w:bCs/>
          <w:color w:val="000000" w:themeColor="dark1"/>
          <w:sz w:val="24"/>
          <w:szCs w:val="24"/>
          <w:u w:val="none"/>
        </w:rPr>
        <w:t>A revitimização de mulheres em situação de violência pelas narrativas de jornais diários de Goiânia e dos boletins de ocorrência/RAIS</w:t>
      </w:r>
      <w:r>
        <w:rPr>
          <w:rStyle w:val="Hyperlink1"/>
          <w:rFonts w:ascii="Arial" w:hAnsi="Arial"/>
          <w:color w:val="000000" w:themeColor="dark1"/>
          <w:sz w:val="24"/>
          <w:szCs w:val="24"/>
          <w:u w:val="none"/>
        </w:rPr>
        <w:t xml:space="preserve">. Humanidades &amp; Inovação, Palmas, v. 8, n. 58, 2021. Disponível em: </w:t>
      </w:r>
    </w:p>
    <w:p w:rsidR="009D60B7" w:rsidRDefault="00425C09">
      <w:pPr>
        <w:rPr>
          <w:rStyle w:val="Hyperlink1"/>
          <w:rFonts w:ascii="Arial" w:hAnsi="Arial"/>
          <w:color w:val="000000" w:themeColor="dark1"/>
          <w:sz w:val="24"/>
          <w:szCs w:val="24"/>
          <w:u w:val="none"/>
        </w:rPr>
      </w:pPr>
      <w:r>
        <w:rPr>
          <w:rStyle w:val="Hyperlink1"/>
          <w:rFonts w:ascii="Arial" w:hAnsi="Arial"/>
          <w:sz w:val="24"/>
          <w:szCs w:val="24"/>
          <w:u w:val="none"/>
        </w:rPr>
        <w:t>&lt;https://revista.unitins.br/index.php/humanidadeseinovacao/article/view/5468.</w:t>
      </w:r>
      <w:r>
        <w:rPr>
          <w:rStyle w:val="Hyperlink1"/>
          <w:rFonts w:ascii="Arial" w:hAnsi="Arial"/>
          <w:color w:val="000000" w:themeColor="dark1"/>
          <w:sz w:val="24"/>
          <w:szCs w:val="24"/>
          <w:u w:val="none"/>
        </w:rPr>
        <w:t xml:space="preserve"> Acesso em: 22 abr. 2026.</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BOURDIEU, Pierre. </w:t>
      </w:r>
      <w:r>
        <w:rPr>
          <w:rStyle w:val="Hyperlink1"/>
          <w:rFonts w:ascii="Arial" w:hAnsi="Arial"/>
          <w:b/>
          <w:bCs/>
          <w:color w:val="000000" w:themeColor="dark1"/>
          <w:sz w:val="24"/>
          <w:szCs w:val="24"/>
          <w:u w:val="none"/>
        </w:rPr>
        <w:t>A dominação masculina</w:t>
      </w:r>
      <w:r>
        <w:rPr>
          <w:rStyle w:val="Hyperlink1"/>
          <w:rFonts w:ascii="Arial" w:hAnsi="Arial"/>
          <w:color w:val="000000" w:themeColor="dark1"/>
          <w:sz w:val="24"/>
          <w:szCs w:val="24"/>
          <w:u w:val="none"/>
        </w:rPr>
        <w:t>. 2. ed. Rio de Janeiro: Bertrand Brasil, 2002.</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SAFFIOTI, Heleieth I. B. </w:t>
      </w:r>
      <w:r>
        <w:rPr>
          <w:rStyle w:val="Hyperlink1"/>
          <w:rFonts w:ascii="Arial" w:hAnsi="Arial"/>
          <w:b/>
          <w:bCs/>
          <w:color w:val="000000" w:themeColor="dark1"/>
          <w:sz w:val="24"/>
          <w:szCs w:val="24"/>
          <w:u w:val="none"/>
        </w:rPr>
        <w:t>Gênero, patriarcado, violência</w:t>
      </w:r>
      <w:r>
        <w:rPr>
          <w:rStyle w:val="Hyperlink1"/>
          <w:rFonts w:ascii="Arial" w:hAnsi="Arial"/>
          <w:color w:val="000000" w:themeColor="dark1"/>
          <w:sz w:val="24"/>
          <w:szCs w:val="24"/>
          <w:u w:val="none"/>
        </w:rPr>
        <w:t>. 2. ed. São Paulo: Expressão Popular, 2015.</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BUTLER, Judith. </w:t>
      </w:r>
      <w:r>
        <w:rPr>
          <w:rStyle w:val="Hyperlink1"/>
          <w:rFonts w:ascii="Arial" w:hAnsi="Arial"/>
          <w:b/>
          <w:bCs/>
          <w:color w:val="000000" w:themeColor="dark1"/>
          <w:sz w:val="24"/>
          <w:szCs w:val="24"/>
          <w:u w:val="none"/>
        </w:rPr>
        <w:t>Quadros de guerra: quando a vida é passível de luto?</w:t>
      </w:r>
      <w:r>
        <w:rPr>
          <w:rStyle w:val="Hyperlink1"/>
          <w:rFonts w:ascii="Arial" w:hAnsi="Arial"/>
          <w:color w:val="000000" w:themeColor="dark1"/>
          <w:sz w:val="24"/>
          <w:szCs w:val="24"/>
          <w:u w:val="none"/>
        </w:rPr>
        <w:t xml:space="preserve"> 1. ed. Rio de Janeiro: Civilização Brasileira, 2015.</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BIANCHINI, Alice. </w:t>
      </w:r>
      <w:r>
        <w:rPr>
          <w:rStyle w:val="Hyperlink1"/>
          <w:rFonts w:ascii="Arial" w:hAnsi="Arial"/>
          <w:b/>
          <w:bCs/>
          <w:color w:val="000000" w:themeColor="dark1"/>
          <w:sz w:val="24"/>
          <w:szCs w:val="24"/>
          <w:u w:val="none"/>
        </w:rPr>
        <w:t>Crimes contra mulheres: Lei Maria da Penha, crimes contra a liberdade sexual, feminicídio</w:t>
      </w:r>
      <w:r>
        <w:rPr>
          <w:rStyle w:val="Hyperlink1"/>
          <w:rFonts w:ascii="Arial" w:hAnsi="Arial"/>
          <w:color w:val="000000" w:themeColor="dark1"/>
          <w:sz w:val="24"/>
          <w:szCs w:val="24"/>
          <w:u w:val="none"/>
        </w:rPr>
        <w:t>. 2. ed. Salvador: JusPodivm, 2020.</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DIAS, Maria Berenice. </w:t>
      </w:r>
      <w:r>
        <w:rPr>
          <w:rStyle w:val="Hyperlink1"/>
          <w:rFonts w:ascii="Arial" w:hAnsi="Arial"/>
          <w:b/>
          <w:bCs/>
          <w:color w:val="000000" w:themeColor="dark1"/>
          <w:sz w:val="24"/>
          <w:szCs w:val="24"/>
          <w:u w:val="none"/>
        </w:rPr>
        <w:t>A Lei Maria da Penha na Justiça</w:t>
      </w:r>
      <w:r>
        <w:rPr>
          <w:rStyle w:val="Hyperlink1"/>
          <w:rFonts w:ascii="Arial" w:hAnsi="Arial"/>
          <w:color w:val="000000" w:themeColor="dark1"/>
          <w:sz w:val="24"/>
          <w:szCs w:val="24"/>
          <w:u w:val="none"/>
        </w:rPr>
        <w:t>. 6. ed. Salvador: JusPodivm, 2019.</w:t>
      </w:r>
    </w:p>
    <w:p w:rsidR="009D60B7" w:rsidRDefault="009D60B7">
      <w:pPr>
        <w:rPr>
          <w:rStyle w:val="Hyperlink1"/>
          <w:rFonts w:ascii="Arial" w:hAnsi="Arial"/>
          <w:color w:val="000000" w:themeColor="dark1"/>
          <w:sz w:val="24"/>
          <w:szCs w:val="24"/>
          <w:u w:val="none"/>
        </w:rPr>
      </w:pPr>
    </w:p>
    <w:p w:rsidR="009D60B7" w:rsidRDefault="00425C09">
      <w:pPr>
        <w:rPr>
          <w:rStyle w:val="Hyperlink1"/>
          <w:rFonts w:ascii="Arial" w:hAnsi="Arial"/>
          <w:color w:val="000000" w:themeColor="dark1"/>
          <w:sz w:val="24"/>
          <w:szCs w:val="24"/>
          <w:u w:val="none"/>
        </w:rPr>
      </w:pPr>
      <w:r>
        <w:rPr>
          <w:rStyle w:val="Hyperlink1"/>
          <w:rFonts w:ascii="Arial" w:hAnsi="Arial"/>
          <w:color w:val="000000" w:themeColor="dark1"/>
          <w:sz w:val="24"/>
          <w:szCs w:val="24"/>
          <w:u w:val="none"/>
        </w:rPr>
        <w:t xml:space="preserve">MENDES, Soraia da Rosa. </w:t>
      </w:r>
      <w:r>
        <w:rPr>
          <w:rStyle w:val="Hyperlink1"/>
          <w:rFonts w:ascii="Arial" w:hAnsi="Arial"/>
          <w:b/>
          <w:bCs/>
          <w:color w:val="000000" w:themeColor="dark1"/>
          <w:sz w:val="24"/>
          <w:szCs w:val="24"/>
          <w:u w:val="none"/>
        </w:rPr>
        <w:t>Criminologia feminista: novos horizonte</w:t>
      </w:r>
      <w:r>
        <w:rPr>
          <w:rStyle w:val="Hyperlink1"/>
          <w:rFonts w:ascii="Arial" w:hAnsi="Arial"/>
          <w:color w:val="000000" w:themeColor="dark1"/>
          <w:sz w:val="24"/>
          <w:szCs w:val="24"/>
          <w:u w:val="none"/>
        </w:rPr>
        <w:t>s. São Paulo: Saraiva, 2017.</w:t>
      </w:r>
    </w:p>
    <w:p w:rsidR="009D60B7" w:rsidRDefault="009D60B7">
      <w:pPr>
        <w:rPr>
          <w:rStyle w:val="Hyperlink1"/>
          <w:rFonts w:ascii="Arial" w:hAnsi="Arial"/>
          <w:color w:val="000000" w:themeColor="dark1"/>
          <w:sz w:val="24"/>
          <w:szCs w:val="24"/>
          <w:u w:val="none"/>
        </w:rPr>
      </w:pPr>
    </w:p>
    <w:p w:rsidR="009D60B7" w:rsidRDefault="00425C09">
      <w:pPr>
        <w:rPr>
          <w:rFonts w:ascii="Arial" w:hAnsi="Arial"/>
          <w:color w:val="000000" w:themeColor="dark1"/>
          <w:sz w:val="24"/>
          <w:szCs w:val="24"/>
          <w:lang w:val="pt-BR"/>
        </w:rPr>
      </w:pPr>
      <w:r>
        <w:rPr>
          <w:rFonts w:ascii="Arial" w:hAnsi="Arial"/>
          <w:color w:val="000000" w:themeColor="dark1"/>
          <w:sz w:val="24"/>
          <w:szCs w:val="24"/>
          <w:lang w:val="pt-BR"/>
        </w:rPr>
        <w:t xml:space="preserve">ÁVILA, Maria Betânia. </w:t>
      </w:r>
      <w:r>
        <w:rPr>
          <w:rFonts w:ascii="Arial" w:hAnsi="Arial"/>
          <w:b/>
          <w:bCs/>
          <w:i/>
          <w:iCs/>
          <w:color w:val="000000" w:themeColor="dark1"/>
          <w:sz w:val="24"/>
          <w:szCs w:val="24"/>
          <w:lang w:val="pt-BR"/>
        </w:rPr>
        <w:t>O tempo do trabalho doméstico</w:t>
      </w:r>
      <w:r>
        <w:rPr>
          <w:rFonts w:ascii="Arial" w:hAnsi="Arial"/>
          <w:color w:val="000000" w:themeColor="dark1"/>
          <w:sz w:val="24"/>
          <w:szCs w:val="24"/>
          <w:lang w:val="pt-BR"/>
        </w:rPr>
        <w:t>. Recife: SOS Corpo, 2009.</w:t>
      </w:r>
    </w:p>
    <w:p w:rsidR="009D60B7" w:rsidRDefault="009D60B7">
      <w:pPr>
        <w:rPr>
          <w:rFonts w:ascii="Arial" w:hAnsi="Arial"/>
          <w:color w:val="000000" w:themeColor="dark1"/>
          <w:sz w:val="24"/>
          <w:szCs w:val="24"/>
          <w:lang w:val="pt-BR"/>
        </w:rPr>
      </w:pPr>
    </w:p>
    <w:p w:rsidR="009D60B7" w:rsidRDefault="00425C09">
      <w:pPr>
        <w:rPr>
          <w:rFonts w:ascii="Arial" w:hAnsi="Arial"/>
          <w:color w:val="000000" w:themeColor="dark1"/>
          <w:sz w:val="24"/>
          <w:szCs w:val="24"/>
          <w:lang w:val="pt-BR"/>
        </w:rPr>
      </w:pPr>
      <w:r>
        <w:rPr>
          <w:rFonts w:ascii="Arial" w:hAnsi="Arial"/>
          <w:color w:val="000000" w:themeColor="dark1"/>
          <w:sz w:val="24"/>
          <w:szCs w:val="24"/>
          <w:lang w:val="pt-BR"/>
        </w:rPr>
        <w:t xml:space="preserve">BIROLI, Flávia. </w:t>
      </w:r>
      <w:r>
        <w:rPr>
          <w:rFonts w:ascii="Arial" w:hAnsi="Arial"/>
          <w:b/>
          <w:bCs/>
          <w:color w:val="000000" w:themeColor="dark1"/>
          <w:sz w:val="24"/>
          <w:szCs w:val="24"/>
          <w:lang w:val="pt-BR"/>
        </w:rPr>
        <w:t>Gênero e desigualdade: limites da democracia no Brasil.</w:t>
      </w:r>
      <w:r>
        <w:rPr>
          <w:rFonts w:ascii="Arial" w:hAnsi="Arial"/>
          <w:color w:val="000000" w:themeColor="dark1"/>
          <w:sz w:val="24"/>
          <w:szCs w:val="24"/>
          <w:lang w:val="pt-BR"/>
        </w:rPr>
        <w:t xml:space="preserve"> São Paulo: Boitempo, 2018.</w:t>
      </w:r>
    </w:p>
    <w:p w:rsidR="009D60B7" w:rsidRDefault="009D60B7">
      <w:pPr>
        <w:rPr>
          <w:rFonts w:ascii="Arial" w:hAnsi="Arial"/>
          <w:color w:val="000000" w:themeColor="dark1"/>
          <w:sz w:val="24"/>
          <w:szCs w:val="24"/>
          <w:lang w:val="pt-BR"/>
        </w:rPr>
      </w:pPr>
    </w:p>
    <w:p w:rsidR="009D60B7" w:rsidRDefault="00425C09">
      <w:pPr>
        <w:rPr>
          <w:rFonts w:ascii="Arial" w:hAnsi="Arial"/>
          <w:color w:val="000000" w:themeColor="dark1"/>
          <w:sz w:val="24"/>
          <w:szCs w:val="24"/>
          <w:highlight w:val="yellow"/>
          <w:lang w:val="pt-BR"/>
        </w:rPr>
      </w:pPr>
      <w:r>
        <w:rPr>
          <w:rFonts w:ascii="Arial" w:hAnsi="Arial"/>
          <w:color w:val="000000" w:themeColor="dark1"/>
          <w:sz w:val="24"/>
          <w:szCs w:val="24"/>
          <w:lang w:val="pt-BR"/>
        </w:rPr>
        <w:t xml:space="preserve">AGÊNCIA BRASIL. </w:t>
      </w:r>
      <w:r>
        <w:rPr>
          <w:rFonts w:ascii="Arial" w:hAnsi="Arial"/>
          <w:b/>
          <w:bCs/>
          <w:color w:val="000000" w:themeColor="dark1"/>
          <w:sz w:val="24"/>
          <w:szCs w:val="24"/>
          <w:lang w:val="pt-BR"/>
        </w:rPr>
        <w:t>Violência vicária: quando filhos são usados para atingir mães</w:t>
      </w:r>
      <w:r>
        <w:rPr>
          <w:rFonts w:ascii="Arial" w:hAnsi="Arial"/>
          <w:color w:val="000000" w:themeColor="dark1"/>
          <w:sz w:val="24"/>
          <w:szCs w:val="24"/>
          <w:lang w:val="pt-BR"/>
        </w:rPr>
        <w:t xml:space="preserve">. Brasília, 2026. </w:t>
      </w:r>
      <w:r w:rsidRPr="00470FD4">
        <w:rPr>
          <w:rFonts w:ascii="Arial" w:hAnsi="Arial"/>
          <w:color w:val="000000" w:themeColor="dark1"/>
          <w:sz w:val="24"/>
          <w:szCs w:val="24"/>
          <w:lang w:val="pt-BR"/>
        </w:rPr>
        <w:t>Disponível em: [</w:t>
      </w:r>
      <w:r w:rsidR="00470FD4" w:rsidRPr="00470FD4">
        <w:rPr>
          <w:rFonts w:ascii="Arial" w:hAnsi="Arial"/>
          <w:color w:val="000000" w:themeColor="dark1"/>
          <w:sz w:val="24"/>
          <w:szCs w:val="24"/>
          <w:lang w:val="pt-BR"/>
        </w:rPr>
        <w:t>https://agenciabrasil.ebc.com.br/direitos-humanos/noticia/2026-02/caso-em-itumbiara-acende-alerta-para-violencia-vicaria-entenda</w:t>
      </w:r>
      <w:r w:rsidRPr="00470FD4">
        <w:rPr>
          <w:rFonts w:ascii="Arial" w:hAnsi="Arial"/>
          <w:color w:val="000000" w:themeColor="dark1"/>
          <w:sz w:val="24"/>
          <w:szCs w:val="24"/>
          <w:lang w:val="pt-BR"/>
        </w:rPr>
        <w:t>].</w:t>
      </w:r>
      <w:r w:rsidR="00470FD4">
        <w:rPr>
          <w:rFonts w:ascii="Arial" w:hAnsi="Arial"/>
          <w:color w:val="000000" w:themeColor="dark1"/>
          <w:sz w:val="24"/>
          <w:szCs w:val="24"/>
          <w:lang w:val="pt-BR"/>
        </w:rPr>
        <w:t>Acesso em 13 de março de 2026</w:t>
      </w:r>
    </w:p>
    <w:p w:rsidR="009D60B7" w:rsidRDefault="009D60B7">
      <w:pPr>
        <w:rPr>
          <w:rFonts w:ascii="Arial" w:hAnsi="Arial"/>
          <w:color w:val="000000" w:themeColor="dark1"/>
          <w:sz w:val="24"/>
          <w:szCs w:val="24"/>
          <w:highlight w:val="yellow"/>
          <w:lang w:val="pt-BR"/>
        </w:rPr>
      </w:pPr>
    </w:p>
    <w:p w:rsidR="009D60B7" w:rsidRDefault="00425C09">
      <w:pPr>
        <w:rPr>
          <w:rFonts w:ascii="Arial" w:hAnsi="Arial"/>
          <w:color w:val="000000" w:themeColor="dark1"/>
          <w:sz w:val="24"/>
          <w:szCs w:val="24"/>
          <w:lang w:val="pt-BR"/>
        </w:rPr>
      </w:pPr>
      <w:r>
        <w:rPr>
          <w:rFonts w:ascii="Arial" w:hAnsi="Arial"/>
          <w:color w:val="000000" w:themeColor="dark1"/>
          <w:sz w:val="24"/>
          <w:szCs w:val="24"/>
          <w:lang w:val="pt-BR"/>
        </w:rPr>
        <w:t xml:space="preserve">FÓRUM BRASILEIRO DE SEGURANÇA PÚBLICA. </w:t>
      </w:r>
      <w:r>
        <w:rPr>
          <w:rFonts w:ascii="Arial" w:hAnsi="Arial"/>
          <w:b/>
          <w:bCs/>
          <w:i/>
          <w:iCs/>
          <w:color w:val="000000" w:themeColor="dark1"/>
          <w:sz w:val="24"/>
          <w:szCs w:val="24"/>
          <w:lang w:val="pt-BR"/>
        </w:rPr>
        <w:t>Anuário Brasileiro de Segurança Pública 2023</w:t>
      </w:r>
      <w:r>
        <w:rPr>
          <w:rFonts w:ascii="Arial" w:hAnsi="Arial"/>
          <w:color w:val="000000" w:themeColor="dark1"/>
          <w:sz w:val="24"/>
          <w:szCs w:val="24"/>
          <w:lang w:val="pt-BR"/>
        </w:rPr>
        <w:t>. São Paulo: FBSP, 2023.</w:t>
      </w:r>
    </w:p>
    <w:p w:rsidR="009D60B7" w:rsidRDefault="009D60B7">
      <w:pPr>
        <w:rPr>
          <w:rFonts w:ascii="Arial" w:hAnsi="Arial"/>
          <w:color w:val="000000" w:themeColor="dark1"/>
          <w:sz w:val="24"/>
          <w:szCs w:val="24"/>
          <w:lang w:val="pt-BR"/>
        </w:rPr>
      </w:pPr>
    </w:p>
    <w:p w:rsidR="009D60B7" w:rsidRPr="00297418" w:rsidRDefault="00425C09">
      <w:pPr>
        <w:rPr>
          <w:rFonts w:ascii="Arial" w:hAnsi="Arial"/>
          <w:sz w:val="20"/>
          <w:szCs w:val="20"/>
        </w:rPr>
        <w:sectPr w:rsidR="009D60B7" w:rsidRPr="00297418">
          <w:type w:val="continuous"/>
          <w:pgSz w:w="11906" w:h="16838"/>
          <w:pgMar w:top="1100" w:right="992" w:bottom="1220" w:left="1559" w:header="0" w:footer="966" w:gutter="0"/>
          <w:cols w:space="720"/>
          <w:formProt w:val="0"/>
          <w:docGrid w:linePitch="100"/>
        </w:sectPr>
      </w:pPr>
      <w:r>
        <w:rPr>
          <w:rFonts w:ascii="Arial" w:hAnsi="Arial"/>
          <w:color w:val="000000" w:themeColor="dark1"/>
          <w:sz w:val="24"/>
          <w:szCs w:val="24"/>
          <w:lang w:val="pt-BR"/>
        </w:rPr>
        <w:t xml:space="preserve">AGTECH GARAGE. </w:t>
      </w:r>
      <w:r>
        <w:rPr>
          <w:rFonts w:ascii="Arial" w:hAnsi="Arial"/>
          <w:b/>
          <w:bCs/>
          <w:i/>
          <w:iCs/>
          <w:color w:val="000000" w:themeColor="dark1"/>
          <w:sz w:val="24"/>
          <w:szCs w:val="24"/>
          <w:lang w:val="pt-BR"/>
        </w:rPr>
        <w:t>Mulheres no Agro: pesquisa sobre assédio e mercado</w:t>
      </w:r>
      <w:r>
        <w:rPr>
          <w:rFonts w:ascii="Arial" w:hAnsi="Arial"/>
          <w:color w:val="000000" w:themeColor="dark1"/>
          <w:sz w:val="24"/>
          <w:szCs w:val="24"/>
          <w:lang w:val="pt-BR"/>
        </w:rPr>
        <w:t>. Piracicaba, 2023</w:t>
      </w:r>
      <w:r>
        <w:rPr>
          <w:rFonts w:ascii="Arial" w:hAnsi="Arial"/>
          <w:color w:val="000000" w:themeColor="dark1"/>
          <w:sz w:val="20"/>
          <w:szCs w:val="20"/>
          <w:lang w:val="pt-BR"/>
        </w:rPr>
        <w:t>.</w:t>
      </w:r>
    </w:p>
    <w:p w:rsidR="009D60B7" w:rsidRDefault="009D60B7">
      <w:pPr>
        <w:sectPr w:rsidR="009D60B7">
          <w:type w:val="continuous"/>
          <w:pgSz w:w="11906" w:h="16838"/>
          <w:pgMar w:top="1100" w:right="992" w:bottom="1220" w:left="1559" w:header="0" w:footer="966" w:gutter="0"/>
          <w:cols w:space="720"/>
          <w:formProt w:val="0"/>
          <w:docGrid w:linePitch="100"/>
        </w:sectPr>
      </w:pPr>
    </w:p>
    <w:p w:rsidR="009D60B7" w:rsidRDefault="009D60B7">
      <w:pPr>
        <w:rPr>
          <w:rFonts w:ascii="Arial" w:hAnsi="Arial"/>
          <w:b/>
          <w:bCs/>
          <w:sz w:val="20"/>
          <w:szCs w:val="20"/>
          <w:highlight w:val="yellow"/>
          <w:lang w:val="pt-BR"/>
        </w:rPr>
      </w:pPr>
      <w:bookmarkStart w:id="34" w:name="_GoBack_Copia_5"/>
      <w:bookmarkEnd w:id="34"/>
    </w:p>
    <w:p w:rsidR="009D60B7" w:rsidRDefault="009D60B7">
      <w:pPr>
        <w:rPr>
          <w:rFonts w:ascii="Arial" w:hAnsi="Arial"/>
          <w:b/>
          <w:bCs/>
          <w:sz w:val="20"/>
          <w:szCs w:val="20"/>
          <w:highlight w:val="yellow"/>
          <w:lang w:val="pt-BR"/>
        </w:rPr>
      </w:pPr>
    </w:p>
    <w:p w:rsidR="009D60B7" w:rsidRPr="00DE4318" w:rsidRDefault="00425C09" w:rsidP="00DE4318">
      <w:pPr>
        <w:jc w:val="center"/>
        <w:rPr>
          <w:rFonts w:ascii="Arial" w:eastAsia="Arial" w:hAnsi="Arial" w:cs="Arial"/>
          <w:b/>
          <w:bCs/>
          <w:sz w:val="28"/>
          <w:szCs w:val="28"/>
        </w:rPr>
      </w:pPr>
      <w:r w:rsidRPr="00DE4318">
        <w:rPr>
          <w:rFonts w:ascii="Arial" w:eastAsia="Arial" w:hAnsi="Arial" w:cs="Arial"/>
          <w:b/>
          <w:bCs/>
          <w:sz w:val="28"/>
          <w:szCs w:val="28"/>
        </w:rPr>
        <w:t xml:space="preserve">OS PRINCIPAIS DESAFIOS DO LEGISLADOR PARA ALCANÇAR </w:t>
      </w:r>
    </w:p>
    <w:p w:rsidR="009D60B7" w:rsidRPr="00DE4318" w:rsidRDefault="00425C09" w:rsidP="00DE4318">
      <w:pPr>
        <w:jc w:val="center"/>
        <w:rPr>
          <w:rFonts w:ascii="Arial" w:eastAsia="Arial" w:hAnsi="Arial" w:cs="Arial"/>
          <w:b/>
          <w:bCs/>
          <w:sz w:val="28"/>
          <w:szCs w:val="28"/>
        </w:rPr>
      </w:pPr>
      <w:r w:rsidRPr="00DE4318">
        <w:rPr>
          <w:rFonts w:ascii="Arial" w:eastAsia="Arial" w:hAnsi="Arial" w:cs="Arial"/>
          <w:b/>
          <w:bCs/>
          <w:sz w:val="28"/>
          <w:szCs w:val="28"/>
        </w:rPr>
        <w:t>EFICÁCIA SOCIAL DA NORMA</w:t>
      </w:r>
    </w:p>
    <w:p w:rsidR="009D60B7" w:rsidRDefault="009D60B7">
      <w:pPr>
        <w:spacing w:line="360" w:lineRule="auto"/>
        <w:jc w:val="center"/>
        <w:rPr>
          <w:rFonts w:ascii="Arial" w:eastAsia="Arial" w:hAnsi="Arial" w:cs="Arial"/>
          <w:b/>
          <w:bCs/>
          <w:sz w:val="24"/>
          <w:szCs w:val="24"/>
        </w:rPr>
      </w:pPr>
    </w:p>
    <w:p w:rsidR="009D60B7" w:rsidRDefault="00425C09">
      <w:pPr>
        <w:pStyle w:val="Ttulo"/>
        <w:rPr>
          <w:rFonts w:ascii="Arial" w:eastAsia="Arial" w:hAnsi="Arial" w:cs="Arial"/>
          <w:b w:val="0"/>
          <w:bCs w:val="0"/>
          <w:sz w:val="24"/>
          <w:szCs w:val="24"/>
          <w:lang w:val="pt-BR"/>
        </w:rPr>
      </w:pPr>
      <w:r>
        <w:rPr>
          <w:rFonts w:ascii="Arial" w:eastAsia="Arial" w:hAnsi="Arial" w:cs="Arial"/>
          <w:b w:val="0"/>
          <w:bCs w:val="0"/>
          <w:sz w:val="24"/>
          <w:szCs w:val="24"/>
          <w:lang w:val="pt-BR"/>
        </w:rPr>
        <w:t>Joalis Sousa Nunes</w:t>
      </w:r>
      <w:r>
        <w:rPr>
          <w:rStyle w:val="Refdenotaderodap"/>
          <w:rFonts w:ascii="Arial" w:eastAsia="Arial" w:hAnsi="Arial" w:cs="Arial"/>
          <w:b w:val="0"/>
          <w:bCs w:val="0"/>
          <w:sz w:val="24"/>
          <w:szCs w:val="24"/>
          <w:lang w:val="pt-BR"/>
        </w:rPr>
        <w:footnoteReference w:id="44"/>
      </w:r>
    </w:p>
    <w:p w:rsidR="009D60B7" w:rsidRDefault="00425C09">
      <w:pPr>
        <w:jc w:val="center"/>
        <w:rPr>
          <w:rFonts w:ascii="Arial" w:eastAsia="Arial" w:hAnsi="Arial" w:cs="Arial"/>
          <w:sz w:val="24"/>
          <w:szCs w:val="24"/>
          <w:lang w:val="pt-BR"/>
        </w:rPr>
      </w:pPr>
      <w:r>
        <w:rPr>
          <w:rFonts w:ascii="Arial" w:eastAsia="Arial" w:hAnsi="Arial" w:cs="Arial"/>
          <w:sz w:val="24"/>
          <w:szCs w:val="24"/>
          <w:lang w:val="pt-BR"/>
        </w:rPr>
        <w:t>Luana Martins dos Santos</w:t>
      </w:r>
      <w:r>
        <w:rPr>
          <w:rStyle w:val="Refdenotaderodap"/>
          <w:rFonts w:ascii="Arial" w:eastAsia="Arial" w:hAnsi="Arial" w:cs="Arial"/>
          <w:sz w:val="24"/>
          <w:szCs w:val="24"/>
          <w:lang w:val="pt-BR"/>
        </w:rPr>
        <w:footnoteReference w:id="45"/>
      </w:r>
    </w:p>
    <w:p w:rsidR="009D60B7" w:rsidRDefault="00425C09">
      <w:pPr>
        <w:jc w:val="center"/>
        <w:rPr>
          <w:rFonts w:ascii="Arial" w:eastAsia="Arial" w:hAnsi="Arial" w:cs="Arial"/>
          <w:sz w:val="24"/>
          <w:szCs w:val="24"/>
          <w:lang w:val="pt-BR"/>
        </w:rPr>
      </w:pPr>
      <w:r>
        <w:rPr>
          <w:rFonts w:ascii="Arial" w:eastAsia="Arial" w:hAnsi="Arial" w:cs="Arial"/>
          <w:sz w:val="24"/>
          <w:szCs w:val="24"/>
          <w:lang w:val="pt-BR"/>
        </w:rPr>
        <w:t>Maxilene Soares Corr</w:t>
      </w:r>
      <w:r w:rsidR="00060C32">
        <w:rPr>
          <w:rFonts w:ascii="Arial" w:eastAsia="Arial" w:hAnsi="Arial" w:cs="Arial"/>
          <w:sz w:val="24"/>
          <w:szCs w:val="24"/>
          <w:lang w:val="pt-BR"/>
        </w:rPr>
        <w:t>ê</w:t>
      </w:r>
      <w:r>
        <w:rPr>
          <w:rFonts w:ascii="Arial" w:eastAsia="Arial" w:hAnsi="Arial" w:cs="Arial"/>
          <w:sz w:val="24"/>
          <w:szCs w:val="24"/>
          <w:lang w:val="pt-BR"/>
        </w:rPr>
        <w:t>a</w:t>
      </w:r>
      <w:r>
        <w:rPr>
          <w:rStyle w:val="Refdenotaderodap"/>
          <w:rFonts w:ascii="Arial" w:eastAsia="Arial" w:hAnsi="Arial" w:cs="Arial"/>
          <w:sz w:val="24"/>
          <w:szCs w:val="24"/>
          <w:lang w:val="pt-BR"/>
        </w:rPr>
        <w:footnoteReference w:id="46"/>
      </w:r>
    </w:p>
    <w:p w:rsidR="009D60B7" w:rsidRDefault="009D60B7">
      <w:pPr>
        <w:pStyle w:val="Ttulo"/>
        <w:jc w:val="right"/>
        <w:rPr>
          <w:rFonts w:ascii="Arial" w:eastAsia="Arial" w:hAnsi="Arial" w:cs="Arial"/>
          <w:sz w:val="24"/>
          <w:szCs w:val="24"/>
        </w:rPr>
      </w:pPr>
    </w:p>
    <w:p w:rsidR="009D60B7" w:rsidRDefault="009D60B7">
      <w:pPr>
        <w:spacing w:line="360" w:lineRule="auto"/>
        <w:jc w:val="both"/>
        <w:rPr>
          <w:rFonts w:ascii="Arial" w:eastAsia="Arial" w:hAnsi="Arial" w:cs="Arial"/>
          <w:sz w:val="24"/>
          <w:szCs w:val="24"/>
          <w:vertAlign w:val="superscript"/>
        </w:rPr>
      </w:pPr>
    </w:p>
    <w:p w:rsidR="009D60B7" w:rsidRPr="002F6963" w:rsidRDefault="00425C09">
      <w:pPr>
        <w:jc w:val="center"/>
        <w:rPr>
          <w:rFonts w:ascii="Arial" w:eastAsia="Arial" w:hAnsi="Arial" w:cs="Arial"/>
          <w:bCs/>
          <w:sz w:val="24"/>
          <w:szCs w:val="24"/>
        </w:rPr>
      </w:pPr>
      <w:r w:rsidRPr="002F6963">
        <w:rPr>
          <w:rFonts w:ascii="Arial" w:eastAsia="Arial" w:hAnsi="Arial" w:cs="Arial"/>
          <w:bCs/>
          <w:sz w:val="24"/>
          <w:szCs w:val="24"/>
        </w:rPr>
        <w:t>RESUMO</w:t>
      </w:r>
    </w:p>
    <w:p w:rsidR="009D60B7" w:rsidRDefault="009D60B7">
      <w:pPr>
        <w:jc w:val="both"/>
        <w:rPr>
          <w:rFonts w:ascii="Times New Roman" w:eastAsia="Arial" w:hAnsi="Times New Roman" w:cs="Times New Roman"/>
          <w:b/>
          <w:bCs/>
          <w:sz w:val="20"/>
          <w:szCs w:val="20"/>
        </w:rPr>
      </w:pPr>
    </w:p>
    <w:p w:rsidR="009D60B7" w:rsidRDefault="00425C09">
      <w:pPr>
        <w:jc w:val="both"/>
        <w:rPr>
          <w:rFonts w:ascii="Arial" w:eastAsia="Arial" w:hAnsi="Arial" w:cs="Arial"/>
          <w:sz w:val="20"/>
          <w:szCs w:val="20"/>
        </w:rPr>
      </w:pPr>
      <w:r>
        <w:rPr>
          <w:rFonts w:ascii="Arial" w:eastAsia="Arial" w:hAnsi="Arial" w:cs="Arial"/>
          <w:sz w:val="20"/>
          <w:szCs w:val="20"/>
        </w:rPr>
        <w:t>A criação da norma jurídica, embora formalmente estruturada pelo processo legislativo previsto na Constituição de 1988, nem sempre garante sua efetiva aplicação social, evidenciando uma dissociação entre validade, eficácia jurídica e eficácia social. Assim sendo, a problemática a ser respondida é: quais os principais desafios enfrentados pelo legislador na construção de uma norma socialmente eficaz dentro do ordenamento jurídico brasileiro? Para responder esta pergunta, o artigo inicia como exame do processo legislativo brasileiro. Posteriormente, busca uma compreensão sobre os conceitos de eficácia jurídica e social, validade, vigência e aplicabilidade das normas. Por fim, investiga a influência da realidade social e os limites da participação popular na produção normativa. A metodologia adotada é qualitativa e bibliográfica, com análise da legislação constitucional e revisão de autores clássicos e contemporâneos da teoria do Direito. Os resultados indicam que a eficácia social das normas depende da adequação do Direito à realidade social, da observância dos princípios constitucionais e da ampliação da participação democrática. Observou-se também que a falta de diálogo efetivo entre o legislador e a sociedade contribui para a produção de normas ineficazes, gerando déficit democrático e comprometendo a legitimidade do ordenamento jurídico. Conclui-se que o desafio do legislador contemporâneo é produzir normas não só formalmente válidas, mas também socialmente eficazes, demandando maior sensibilidade às transformações sociais e fortalecimento dos instrumentos de participação popular, a fim de garantir maior legitimidade e efetividade ao Direito.</w:t>
      </w:r>
    </w:p>
    <w:p w:rsidR="009D60B7" w:rsidRDefault="009D60B7">
      <w:pPr>
        <w:jc w:val="both"/>
        <w:rPr>
          <w:rFonts w:ascii="Arial" w:eastAsia="Arial" w:hAnsi="Arial" w:cs="Arial"/>
          <w:b/>
          <w:bCs/>
          <w:sz w:val="20"/>
          <w:szCs w:val="20"/>
        </w:rPr>
      </w:pPr>
    </w:p>
    <w:p w:rsidR="009D60B7" w:rsidRDefault="00425C09">
      <w:pPr>
        <w:jc w:val="both"/>
        <w:rPr>
          <w:rFonts w:ascii="Arial" w:eastAsia="Arial" w:hAnsi="Arial" w:cs="Arial"/>
          <w:sz w:val="20"/>
          <w:szCs w:val="20"/>
        </w:rPr>
      </w:pPr>
      <w:r>
        <w:rPr>
          <w:rFonts w:ascii="Arial" w:eastAsia="Arial" w:hAnsi="Arial" w:cs="Arial"/>
          <w:b/>
          <w:bCs/>
          <w:sz w:val="20"/>
          <w:szCs w:val="20"/>
        </w:rPr>
        <w:t>PALAVRAS-CHAVE</w:t>
      </w:r>
      <w:r>
        <w:rPr>
          <w:rFonts w:ascii="Arial" w:eastAsia="Arial" w:hAnsi="Arial" w:cs="Arial"/>
          <w:sz w:val="20"/>
          <w:szCs w:val="20"/>
        </w:rPr>
        <w:t>:</w:t>
      </w:r>
      <w:r>
        <w:rPr>
          <w:rFonts w:ascii="Arial" w:eastAsia="Arial" w:hAnsi="Arial" w:cs="Arial"/>
          <w:b/>
          <w:bCs/>
          <w:sz w:val="20"/>
          <w:szCs w:val="20"/>
        </w:rPr>
        <w:t xml:space="preserve"> </w:t>
      </w:r>
      <w:r>
        <w:rPr>
          <w:rFonts w:ascii="Arial" w:eastAsia="Arial" w:hAnsi="Arial" w:cs="Arial"/>
          <w:sz w:val="20"/>
          <w:szCs w:val="20"/>
        </w:rPr>
        <w:t>Direito. Legislativo. Eficácia. Validade. Constitucional.</w:t>
      </w:r>
    </w:p>
    <w:p w:rsidR="009D60B7" w:rsidRDefault="009D60B7">
      <w:pPr>
        <w:spacing w:line="360" w:lineRule="auto"/>
        <w:jc w:val="both"/>
        <w:rPr>
          <w:rFonts w:ascii="Times New Roman" w:eastAsia="Arial" w:hAnsi="Times New Roman" w:cs="Times New Roman"/>
          <w:b/>
          <w:bCs/>
        </w:rPr>
      </w:pPr>
    </w:p>
    <w:p w:rsidR="009D60B7" w:rsidRPr="003208AB" w:rsidRDefault="00425C09">
      <w:pPr>
        <w:spacing w:line="360" w:lineRule="auto"/>
        <w:jc w:val="both"/>
        <w:rPr>
          <w:rFonts w:ascii="Arial" w:eastAsia="Arial" w:hAnsi="Arial" w:cs="Arial"/>
          <w:bCs/>
          <w:sz w:val="24"/>
          <w:szCs w:val="24"/>
        </w:rPr>
      </w:pPr>
      <w:r w:rsidRPr="003208AB">
        <w:rPr>
          <w:rFonts w:ascii="Arial" w:eastAsia="Arial" w:hAnsi="Arial" w:cs="Arial"/>
          <w:bCs/>
          <w:sz w:val="24"/>
          <w:szCs w:val="24"/>
        </w:rPr>
        <w:t>INTRODUÇÃO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 produção das normas jurídicas no Estado contemporâneo constitui um dos pilares fundamentais para a organização da sociedade e para a concretização dos valores estabelecidos no ordenamento jurídico. No Brasil, esse processo é estruturado pelo processo legislativo previsto na Constituição Federal de 1988, que disciplina a criação, modificação e revogação das normas jurídicas.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Contudo, embora exista um aparato formal bem definido para a elaboração das leis, observa-se que a simples validade normativa não garante, por si só, a sua efetiva aplicação no plano social. Isso evidencia a necessidade de analisar o Direito para além de sua dimensão formal, considerando também sua eficácia no mundo fático.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Nesse contexto, emerge a seguinte problemática: quais os principais desafios </w:t>
      </w:r>
      <w:r>
        <w:rPr>
          <w:rFonts w:ascii="Arial" w:eastAsia="Arial" w:hAnsi="Arial" w:cs="Arial"/>
          <w:sz w:val="24"/>
          <w:szCs w:val="24"/>
        </w:rPr>
        <w:lastRenderedPageBreak/>
        <w:t>enfrentados pelo legislador na construção de uma norma socialmente eficaz dentro do ordenamento jurídico brasileiro? Tal questionamento revela uma tensão recorrente entre a estrutura formal de produção normativa e a realidade social na qual essas normas devem incidir. Essa tensão exige uma análise que ultrapasse os limites do procedimento legislativo e considere os fatores sociais, políticos e institucionais que influenciam a efetividade do Direito.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 relevância deste estudo justifica-se pela necessidade de compreender os desafios enfrentados pelo legislador na busca pela eficácia social das normas jurídicas, especialmente em um cenário marcado por constantes transformações sociais e por limitações nos mecanismos de participação popular.</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 investigação deste tema contribui para o campo acadêmico, aprofundando o debate teórico sobre validade, eficácia e aplicabilidade das normas, e para a sociedade, ao evidenciar a importância de um processo legislativo mais alinhado com a realidade social e com os princípios democráticos.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O objetivo geral deste trabalho é analisar os principais desafios enfrentados pelo legislador brasileiro para alcançar a eficácia social das normas jurídicas. Como objetivos específicos, busca-se examinar o processo legislativo brasileiro, compreender os conceitos de eficácia jurídica e social, validade, vigência e aplicabilidade das normas, bem como investigar a influência da realidade social e os limites da participação popular na produção normativa.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Para alcançar esses objetivos, adotou-se uma metodologia qualitativa, de natureza bibliográfica, baseada na análise da legislação constitucional e na revisão de autores clássicos e contemporâneos da teoria do Direito.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Este trabalho está estruturado em três tópicos: o primeiro aborda a criação da norma jurídica no Brasil, com foco no processo legislativo e seus limites constitucionais; o segundo tópico apresenta uma análise conceitual sobre eficácia, validade, vigência e aplicabilidade das normas jurídicas; e o terceiro tópico examina a influência da realidade social na produção normativa, destacando a importância da adequação social e os desafios relacionados à participação popular e ao déficit democrático.</w:t>
      </w:r>
    </w:p>
    <w:p w:rsidR="009D60B7" w:rsidRDefault="009D60B7">
      <w:pPr>
        <w:spacing w:line="360" w:lineRule="auto"/>
        <w:ind w:firstLine="709"/>
        <w:jc w:val="both"/>
        <w:rPr>
          <w:rFonts w:ascii="Arial" w:eastAsia="Arial" w:hAnsi="Arial" w:cs="Arial"/>
          <w:sz w:val="24"/>
          <w:szCs w:val="24"/>
        </w:rPr>
      </w:pPr>
    </w:p>
    <w:p w:rsidR="009D60B7" w:rsidRPr="004A636B" w:rsidRDefault="00425C09">
      <w:pPr>
        <w:spacing w:line="360" w:lineRule="auto"/>
        <w:jc w:val="both"/>
        <w:rPr>
          <w:rFonts w:ascii="Arial" w:eastAsia="Arial" w:hAnsi="Arial" w:cs="Arial"/>
          <w:bCs/>
          <w:color w:val="000000"/>
          <w:sz w:val="24"/>
          <w:szCs w:val="24"/>
        </w:rPr>
      </w:pPr>
      <w:r w:rsidRPr="004A636B">
        <w:rPr>
          <w:rFonts w:ascii="Arial" w:eastAsia="Arial" w:hAnsi="Arial" w:cs="Arial"/>
          <w:bCs/>
          <w:sz w:val="24"/>
          <w:szCs w:val="24"/>
        </w:rPr>
        <w:t xml:space="preserve">1. </w:t>
      </w:r>
      <w:r w:rsidRPr="004A636B">
        <w:rPr>
          <w:rFonts w:ascii="Arial" w:eastAsia="Arial" w:hAnsi="Arial" w:cs="Arial"/>
          <w:bCs/>
          <w:color w:val="000000"/>
          <w:sz w:val="24"/>
          <w:szCs w:val="24"/>
        </w:rPr>
        <w:t xml:space="preserve">A CRIAÇÃO DA </w:t>
      </w:r>
      <w:sdt>
        <w:sdtPr>
          <w:rPr>
            <w:rFonts w:ascii="Arial" w:hAnsi="Arial" w:cs="Arial"/>
            <w:sz w:val="24"/>
            <w:szCs w:val="24"/>
          </w:rPr>
          <w:tag w:val="goog_rdk_0"/>
          <w:id w:val="147477861"/>
        </w:sdtPr>
        <w:sdtContent/>
      </w:sdt>
      <w:r w:rsidRPr="004A636B">
        <w:rPr>
          <w:rFonts w:ascii="Arial" w:eastAsia="Arial" w:hAnsi="Arial" w:cs="Arial"/>
          <w:bCs/>
          <w:color w:val="000000"/>
          <w:sz w:val="24"/>
          <w:szCs w:val="24"/>
        </w:rPr>
        <w:t>NORMA JURÍDICA NO BRASIL: PROCESSOS E DESAFIOS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O presente tópico examina o processo de criação da norma jurídica no Brasil, com enfoque no processo legislativo como principal mecanismo de produção normativa. Inicialmente, será analisada a estrutura do processo legislativo, contemplando as </w:t>
      </w:r>
      <w:r>
        <w:rPr>
          <w:rFonts w:ascii="Arial" w:eastAsia="Arial" w:hAnsi="Arial" w:cs="Arial"/>
          <w:sz w:val="24"/>
          <w:szCs w:val="24"/>
        </w:rPr>
        <w:lastRenderedPageBreak/>
        <w:t>espécies normativas previstas na Constituição (1988), e as etapas que compõem a formação das leis, desde a iniciativa até a sanção, promulgação e publicação. Também serão abordados os limites constitucionais à atividade legislativa e as contribuições doutrinárias acerca da validade e da hierarquia das normas jurídicas.</w:t>
      </w:r>
    </w:p>
    <w:p w:rsidR="009D60B7" w:rsidRDefault="009D60B7">
      <w:pPr>
        <w:spacing w:line="360" w:lineRule="auto"/>
        <w:ind w:firstLine="709"/>
        <w:jc w:val="both"/>
        <w:rPr>
          <w:rFonts w:ascii="Arial" w:eastAsia="Arial" w:hAnsi="Arial" w:cs="Arial"/>
          <w:b/>
          <w:bCs/>
          <w:sz w:val="24"/>
          <w:szCs w:val="24"/>
        </w:rPr>
      </w:pPr>
    </w:p>
    <w:p w:rsidR="009D60B7" w:rsidRDefault="00425C09">
      <w:pPr>
        <w:numPr>
          <w:ilvl w:val="1"/>
          <w:numId w:val="4"/>
        </w:numPr>
        <w:spacing w:line="360" w:lineRule="auto"/>
        <w:jc w:val="both"/>
        <w:rPr>
          <w:rFonts w:ascii="Arial" w:eastAsia="Arial" w:hAnsi="Arial" w:cs="Arial"/>
          <w:color w:val="000000"/>
          <w:sz w:val="24"/>
          <w:szCs w:val="24"/>
        </w:rPr>
      </w:pPr>
      <w:r>
        <w:rPr>
          <w:rFonts w:ascii="Arial" w:eastAsia="Arial" w:hAnsi="Arial" w:cs="Arial"/>
          <w:color w:val="000000"/>
          <w:sz w:val="24"/>
          <w:szCs w:val="24"/>
        </w:rPr>
        <w:t>O processo legislativo brasileiro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No Brasil, a elaboração das normas jurídicas se dá por meio de um processo legislativo descrito na Constituição de 1988. Em seu artigo 59 é enumerado as principais espécies normativas, sendo que o processo legislativo abrange a criação de emendas constitucionais, leis complementares, leis ordinárias, leis delegadas, medidas provisórias, decretos legislativos e resoluções (1988). O processo legislativo pode ser entendido como um sistema que consiste em uma série organizada de ações interligadas, ocorrendo a criação, alteração ou revogação de leis.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Cada uma dessas espécies normativas adota seu próprio processo legislativo. Por exemplo, as emendas à Constituição (1988) têm hierarquia constitucional e visam modificar o texto constitucional, seja por meio da inclusão, alteração ou exclusão de dispositivos. Devido à sua rigidez, o processo de aprovação de uma emenda constitucional é mais estrito, requerendo debate e votação em dois turnos em cada Casa do Congresso Nacional.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Além disso, conforme o artigo 60 da Constituição (1988), é necessário o voto favorável de três quintos dos parlamentares. Uma vez aprovadas, as emendas são promulgadas pelas Mesas da Câmara dos Deputados e do Senado Federal, não estando sujeitas à sanção ou veto do Presidente da República.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As leis complementares têm como objetivo regulamentar assuntos que a própria Constituição (1988) reserva especificamente para esse tipo de norma. Sua principal característica é que, para ser aprovada, é necessário um quórum mais elevado do que o das leis ordinárias, sendo necessária a maioria absoluta dos membros da respectiva Casa legislativa. Por outro lado, as leis ordinárias seguem um processo legislativo mais comum, regulando assuntos que não estão reservados pela Constituição (1988) a outros tipos de normas. Para ser aprovado, seu processo requer o voto da maioria simples dos parlamentares presentes na sessão deliberativa.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De acordo com o artigo 68 da Carta Magna (1988), o Presidente da República elabora leis delegadas com a autorização do Congresso Nacional. Nesse cenário, o Poder Legislativo concede ao Chefe do Poder Executivo a responsabilidade de criar uma </w:t>
      </w:r>
      <w:r>
        <w:rPr>
          <w:rFonts w:ascii="Arial" w:eastAsia="Arial" w:hAnsi="Arial" w:cs="Arial"/>
          <w:sz w:val="24"/>
          <w:szCs w:val="24"/>
        </w:rPr>
        <w:lastRenderedPageBreak/>
        <w:t xml:space="preserve">norma específica, definindo antecipadamente os parâmetros e as condições dessa concessão.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Já as medidas provisórias, conforme estabelecido no artigo 62 da Constituição (1988), são atos normativos emitidos pelo Presidente em circunstâncias de relevância e urgência, tendo efeito de lei desde o momento de sua publicação. No entanto, estas devem ser submetidas imediatamente ao Congresso Nacional, que poderá aprová-las ou rejeitá-las.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Os decretos legislativos são atos normativos promulgados pelo Congresso Nacional para tratar de assuntos de sua competência exclusiva, não necessitando da aprovação do Presidente. Uma de suas responsabilidades é a ratificação de tratados e acordos internacionais assinados pelo Brasil. Por último, as resoluções são normas estabelecidas pelas Casas do Congresso Nacional para regular questões relacionadas à organização e ao funcionamento interno do Poder Legislativo.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Assim, a iniciativa legislativa representa a etapa inicial do processo legislativo, envolvendo a apresentação de uma proposição normativa, como projetos de lei ordinária (PLO), projetos de lei complementar (PLC), propostas de emenda à Constituição (PEC) ou medidas provisórias (MP), por aqueles que possuem competência para tal.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O artigo 61 da Carta Magna (1988) dispõe que a iniciativa de leis ordinárias e complementares pode ser exercida por qualquer membro ou comissão da Câmara dos Deputados ou do Senado Federal, pelo Presidente da República, pelo Supremo Tribunal Federal (STF), pelos Tribunais Superiores, pelo Procurador-Geral da República e também pelos cidadãos, por iniciativa popular.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Conforme o artigo 61, §2º, da Carta Magna (1988), a iniciativa popular requer a assinatura de pelo menos um por cento do eleitorado nacional, devendo ser distribuída em pelo menos cinco estados, com uma participação mínima de três décimos por cento do eleitorado em cada um deles.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Essa previsão possibilita a participação direta da sociedade na criação de leis, apesar de o alto número de assinaturas exigido dificultar sua utilização. Após a etapa de iniciativa, o projeto começa a sua tramitação sendo encaminhado às comissões temáticas das casas legislativas, onde passa por análise e discussão, podendo receber pareceres e emendas.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Em seguida, o projeto é encaminhado para discussão e votação no plenário da casa iniciadora. Caso seja aprovado, o projeto será enviado à outra Casa, que realizará o mesmo processo de discussão, podendo sugerir emendas. Para que a lei seja </w:t>
      </w:r>
      <w:r>
        <w:rPr>
          <w:rFonts w:ascii="Arial" w:eastAsia="Arial" w:hAnsi="Arial" w:cs="Arial"/>
          <w:sz w:val="24"/>
          <w:szCs w:val="24"/>
        </w:rPr>
        <w:lastRenderedPageBreak/>
        <w:t>aprovada, é necessário que ambas as Casas do Congresso Nacional concordem com o mesmo texto.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Depois de aprovado pelo Parlamento, o projeto é enviado ao Presidente da República para sanção ou veto. O Chefe do Executivo tem um prazo de 15 dias úteis para aprovar ou rejeitar a proposta, seja de forma total ou parcial, caso a julgue inconstitucional ou prejudicial ao interesse público. O veto deve ser justificado e comunicado ao Congresso Nacional dentro de um prazo de 48 horas.</w:t>
      </w:r>
    </w:p>
    <w:p w:rsidR="009D60B7" w:rsidRDefault="00425C09">
      <w:pPr>
        <w:spacing w:line="360" w:lineRule="auto"/>
        <w:ind w:firstLine="709"/>
        <w:jc w:val="both"/>
        <w:rPr>
          <w:rFonts w:ascii="Arial" w:eastAsia="Arial" w:hAnsi="Arial" w:cs="Arial"/>
          <w:sz w:val="24"/>
          <w:szCs w:val="24"/>
          <w:highlight w:val="yellow"/>
        </w:rPr>
      </w:pPr>
      <w:r>
        <w:rPr>
          <w:rFonts w:ascii="Arial" w:eastAsia="Arial" w:hAnsi="Arial" w:cs="Arial"/>
          <w:sz w:val="24"/>
          <w:szCs w:val="24"/>
        </w:rPr>
        <w:t xml:space="preserve">Caso não haja manifestação dentro do prazo estipulado, ocorre a sanção tácita, e o projeto é considerado aprovado. Caso haja veto, o Congresso Nacional o analisará em sessão conjunta, e poderá ser rejeitado se a maioria absoluta dos Deputados e Senadores votarem contra. Se o veto for rejeitado, o projeto prossegue para promulgação; se mantido, a parte vetada é arquivada. Por fim, a promulgação e a publicação da lei finalizam o processo legislativo, garantindo a autenticidade do texto normativo e tornando-o público, passando a produzir efeitos após a publicação, podendo a própria lei determinar um período de </w:t>
      </w:r>
      <w:r>
        <w:rPr>
          <w:rFonts w:ascii="Arial" w:eastAsia="Arial" w:hAnsi="Arial" w:cs="Arial"/>
          <w:i/>
          <w:iCs/>
          <w:sz w:val="24"/>
          <w:szCs w:val="24"/>
        </w:rPr>
        <w:t>vacatio legis</w:t>
      </w:r>
      <w:r>
        <w:rPr>
          <w:rFonts w:ascii="Arial" w:eastAsia="Arial" w:hAnsi="Arial" w:cs="Arial"/>
          <w:sz w:val="24"/>
          <w:szCs w:val="24"/>
        </w:rPr>
        <w:t xml:space="preserve">, que corresponde ao intervalo entre a publicação da lei e o momento em que ela entra em vigor.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Durante o período de </w:t>
      </w:r>
      <w:r>
        <w:rPr>
          <w:rFonts w:ascii="Arial" w:eastAsia="Arial" w:hAnsi="Arial" w:cs="Arial"/>
          <w:i/>
          <w:iCs/>
          <w:sz w:val="24"/>
          <w:szCs w:val="24"/>
        </w:rPr>
        <w:t>vacatio</w:t>
      </w:r>
      <w:r>
        <w:rPr>
          <w:rFonts w:ascii="Arial" w:eastAsia="Arial" w:hAnsi="Arial" w:cs="Arial"/>
          <w:sz w:val="24"/>
          <w:szCs w:val="24"/>
        </w:rPr>
        <w:t xml:space="preserve">, a norma ainda não é obrigatória, permitindo que a sociedade, órgãos públicos e entidades privadas se adaptem às novas disposições legais, sendo que sua duração pode ser determinada pela própria lei.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É fundamental ressaltar o papel do Poder Legislativo na elaboração de normas, assim como as restrições constitucionais que afetam essa atividade típica. O Congresso Nacional tem a responsabilidade de criar as leis que governam o país, materializando a soberania popular de maneira representativa (arts. 44 e 48 da CRFB/88).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No entanto, essa competência não é absoluta, e o legislador deve respeitar os limites definidos pela Constituição (1988). Há assuntos cuja iniciativa é exclusiva de outros Poderes, como os que dizem respeito à organização administrativa, aos servidores públicos e ao orçamento, cuja proposição é reservada ao Presidente da República (art. 61, §1º, da CRFB/88). Ademais, certas normas requerem quórum qualificado ou processos legislativos específicos.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No aspecto material, nenhuma lei pode ir contra a Constituição (1988), cuja supremacia possibilita ao Poder Judiciário realizar o controle de constitucionalidade. Além disso, a Lei Maior (1988) determina cláusulas pétreas que não podem ser abolidas nem por emenda constitucional.</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Dessa forma, os limites estabelecidos pela Constituição (1988) atuam como </w:t>
      </w:r>
      <w:r>
        <w:rPr>
          <w:rFonts w:ascii="Arial" w:eastAsia="Arial" w:hAnsi="Arial" w:cs="Arial"/>
          <w:sz w:val="24"/>
          <w:szCs w:val="24"/>
        </w:rPr>
        <w:lastRenderedPageBreak/>
        <w:t>garantias de que a produção normativa esteja em conformidade com os valores e princípios fundamentais acordados pela sociedade. Em resumo, o Legislativo não possui poder absoluto: deve respeitar as competências estabelecidas (não invadindo as atribuições exclusivas de Estados, Municípios ou de outros Poderes) e cumprir rigorosamente os direitos fundamentais e outros preceitos constitucionais.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Bobbio (2003) e Kelsen (2009), sob a perspectiva da teoria do Direito, fornecem uma base para entender a criação de normas jurídicas e seus limites. Bobbio (2003) destaca que um dos requisitos formais para a validade de uma lei é que ela seja criada pela autoridade competente, conforme o procedimento estabelecido.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Ou seja, o legislador deve cumprir obrigatoriamente o processo legislativo. A falta de cumprimento do rito formal (como a aprovação de uma lei sem o quórum necessário ou por um órgão incompetente) afeta a validade da norma, podendo ser invalidada devido a um vício formal. No aspecto material, as normas infraconstitucionais obtêm sua força das normas superiores. Em sua teoria pura do direito</w:t>
      </w:r>
      <w:sdt>
        <w:sdtPr>
          <w:rPr>
            <w:rFonts w:ascii="Arial" w:hAnsi="Arial" w:cs="Arial"/>
            <w:sz w:val="24"/>
            <w:szCs w:val="24"/>
          </w:rPr>
          <w:tag w:val="goog_rdk_1"/>
          <w:id w:val="147476870"/>
        </w:sdtPr>
        <w:sdtContent/>
      </w:sdt>
      <w:r>
        <w:rPr>
          <w:rFonts w:ascii="Arial" w:eastAsia="Arial" w:hAnsi="Arial" w:cs="Arial"/>
          <w:sz w:val="24"/>
          <w:szCs w:val="24"/>
        </w:rPr>
        <w:t xml:space="preserve">, Kelsen (2009) descreve o ordenamento jurídico como uma pirâmide de normas, em que cada norma obtém sua validade de uma norma superior, até chegar à Constituição (1988).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Portanto, qualquer lei infraconstitucional que seja contrária à Lei maior (1988) perde sua validade no ordenamento. Nesse cenário, Kelsen elabora sua teoria sobre o fundamento de validade das normas, argumentando que a validade de uma norma jurídica não reside no mundo dos fatos, mas de uma norma que seja hierarquicamente superior a ela. Assim, a base de validade de uma norma está em uma norma: “figurativamente designada como norma superior” (Kelsen, 2009, p. 215).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Em resumo, o Processo Legislativo fundamentado na Constituição de 1988 abrange etapas e mecanismos de controle para garantir que as leis e atos normativos sejam criados de maneira legítima, participativa e em conformidade com a ordem jurídica, assegurando a estabilidade do sistema normativo e segurança jurídica.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Dessa forma, após compreender o processo legislativo brasileiro, é fundamental abordar como as normas, uma vez criadas, se efetivam na prática. Não basta que uma norma seja formalmente válida; é necessário que ela seja eficaz tanto do ponto de vista jurídico quanto social. A eficácia das normas jurídicas depende de sua aplicabilidade, validade, vigência e eficiência, sendo essas as condições que determinam sua capacidade de produzir os efeitos desejados na sociedade. </w:t>
      </w:r>
    </w:p>
    <w:p w:rsidR="009D60B7" w:rsidRDefault="009D60B7">
      <w:pPr>
        <w:spacing w:line="360" w:lineRule="auto"/>
        <w:jc w:val="both"/>
        <w:rPr>
          <w:rFonts w:ascii="Arial" w:eastAsia="Arial" w:hAnsi="Arial" w:cs="Arial"/>
          <w:b/>
          <w:bCs/>
          <w:sz w:val="24"/>
          <w:szCs w:val="24"/>
        </w:rPr>
      </w:pPr>
    </w:p>
    <w:p w:rsidR="009D60B7" w:rsidRDefault="00425C09">
      <w:pPr>
        <w:spacing w:line="360" w:lineRule="auto"/>
        <w:jc w:val="both"/>
        <w:rPr>
          <w:rFonts w:ascii="Arial" w:eastAsia="Arial" w:hAnsi="Arial" w:cs="Arial"/>
          <w:b/>
          <w:bCs/>
          <w:color w:val="000000"/>
          <w:sz w:val="24"/>
          <w:szCs w:val="24"/>
        </w:rPr>
      </w:pPr>
      <w:r w:rsidRPr="004A636B">
        <w:rPr>
          <w:rFonts w:ascii="Arial" w:eastAsia="Arial" w:hAnsi="Arial" w:cs="Arial"/>
          <w:bCs/>
          <w:sz w:val="24"/>
          <w:szCs w:val="24"/>
        </w:rPr>
        <w:t xml:space="preserve">2. </w:t>
      </w:r>
      <w:r w:rsidRPr="004A636B">
        <w:rPr>
          <w:rFonts w:ascii="Arial" w:eastAsia="Arial" w:hAnsi="Arial" w:cs="Arial"/>
          <w:bCs/>
          <w:color w:val="000000"/>
          <w:sz w:val="24"/>
          <w:szCs w:val="24"/>
        </w:rPr>
        <w:t xml:space="preserve">EFICÁCIA (JURÍDICA E SOCIAL), EFICIÊNCIA, VALIDADE, APLICABILIDADE E </w:t>
      </w:r>
      <w:r w:rsidRPr="004A636B">
        <w:rPr>
          <w:rFonts w:ascii="Arial" w:eastAsia="Arial" w:hAnsi="Arial" w:cs="Arial"/>
          <w:bCs/>
          <w:color w:val="000000"/>
          <w:sz w:val="24"/>
          <w:szCs w:val="24"/>
        </w:rPr>
        <w:lastRenderedPageBreak/>
        <w:t>VIGÊNCIA: UMA ABORDAGEM CONCEITUAL</w:t>
      </w:r>
      <w:r>
        <w:rPr>
          <w:rFonts w:ascii="Arial" w:eastAsia="Arial" w:hAnsi="Arial" w:cs="Arial"/>
          <w:b/>
          <w:bCs/>
          <w:color w:val="000000"/>
          <w:sz w:val="24"/>
          <w:szCs w:val="24"/>
        </w:rPr>
        <w:t> </w:t>
      </w:r>
      <w:sdt>
        <w:sdtPr>
          <w:rPr>
            <w:rFonts w:ascii="Arial" w:hAnsi="Arial" w:cs="Arial"/>
            <w:sz w:val="24"/>
            <w:szCs w:val="24"/>
          </w:rPr>
          <w:tag w:val="goog_rdk_2"/>
          <w:id w:val="147475419"/>
        </w:sdtPr>
        <w:sdtContent/>
      </w:sdt>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 Para entender como as normas jurídicas operam no sistema constitucional, é preciso diferenciar alguns conceitos que a teoria do Direito usa com frequência, como eficácia jurídica, eficácia social, aplicabilidade, vigência e validade das normas. Apesar de interligados, esses conceitos têm significados próprios e exercem papéis diferentes na análise do funcionamento das normas no sistema jurídico.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Primeiramente, é necessário distinguir a eficácia jurídica da chamada eficácia social da norma. Esta última refere-se ao reconhecimento do Direito pela coletividade e aos efeitos que a norma produz a partir de seu cumprimento. Nesse sentido, a eficácia social está diretamente relacionada aos resultados concretos que a norma jurídica gera quando aplicada na prática (Reale, 1996).</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Por outro lado, a eficácia jurídica refere-se à capacidade de uma norma de gerar efeitos no âmbito jurídico. Refere-se à capacidade da norma de produzir efeitos normativos, relacionados à sua aplicabilidade, obrigatoriedade ou possibilidade de execução.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Assim, a eficácia jurídica está relacionada à capacidade de aplicação da norma, enquanto a eficácia social, geralmente ligada ao conceito de efetividade, diz respeito à realização prática desses efeitos no âmbito social.</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Nesse contexto, a efetividade pode ser entendida como a aplicação prática do Direito e a execução de sua função social. Refere-se à concretização dos preceitos normativos no mundo real, buscando, na medida do possível, alinhar o dever-ser à realidade social. Logo, a eficácia das normas depende de sua eficácia jurídica, ou seja, da capacidade formal da norma de se aplicar às situações da vida e gerar os efeitos que lhe são inerentes.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Também se mostra relevante distinguir tais noções dos conceitos de vigência, validade e existência da norma jurídica. A doutrina não é unânime quanto à definição precisa desses elementos; contudo, há relativo consenso no sentido de que vigência não se confunde com eficácia, independentemente do significado atribuído a esta última (Sarlet, 2006).</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Destaca-se que a eficácia da norma está diretamente ligada à sua projeção no meio social, isto é, à capacidade de seus comandos abstratos adquirirem concretude na realidade. Quanto maior essa inserção social, mais efetiva será a norma, de modo que, ausente um nível mínimo de eficácia, ela tende a permanecer apenas no plano teórico, sem repercussão prática (Silva, 2017).</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lastRenderedPageBreak/>
        <w:t>Além disso, a análise da relação entre validade e eficácia é aprofundada no âmbito da teoria do ordenamento jurídico, na medida em que, embora uma norma isolada possa ser válida sem ser eficaz, quando se observa o sistema jurídico como um todo, a eficácia passa a desempenhar papel fundamental na sustentação da própria validade (Bobbio, 1996).</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Com base nessas considerações, é possível identificar alguns consensos doutrinários importantes: todas as normas jurídicas têm algum nível de eficácia; essa eficácia é sempre variável; e todas as normas têm aplicabilidade direta, em maior ou menor grau.</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Entender os conceitos de eficácia jurídica, aplicabilidade e efetividade das normas constitucionais possibilita progredir para a análise de como essas normas se expressam no sistema jurídico. Nesse cenário, a doutrina constitucional brasileira criou classificações para determinar o nível de aplicabilidade das normas constitucionais e a força de seus efeitos jurídicos.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Uma das classificações mais relevantes é a sugerida por Silva (2017), que é amplamente divulgada pela doutrina constitucional contemporânea e replicada por escritores como Alexandre de Moraes. De acordo com essa perspectiva, as regras constitucionais podem ser classificadas em três categorias principais com base em sua eficácia e aplicabilidade: regras de eficácia plena, regras de eficácia contida e regras de eficácia limitada.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As normas constitucionais de eficácia plena são aquelas que produzem, desde o início da vigência da Constituição de 1988, todos os efeitos a que se destinam. Caracterizam-se por apresentar conteúdo normativo completo, o que dispensa a necessidade de regulamentação por legislação infraconstitucional para que possam ser aplicadas.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De acordo com Chimenti (2005), as normas constitucionais de eficácia plena caracterizam-se por serem autoaplicáveis, completas e auto executáveis, isto é, suficientes em si mesmas para produzir efeitos jurídicos, independentemente de regulamentação. Como exemplo, pode-se citar o princípio da separação dos poderes, previsto no artigo 2º da Constituição de 1988.</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As normas constitucionais de eficácia contida, por outro lado, são aquelas que, apesar de terem aplicabilidade imediata e produzirem efeitos desde a promulgação da Constituição de 1988, permitem que o legislador as restrinja. Nesses casos, o constituinte define o direito ou a garantia de maneira direta, mas autoriza que a lei </w:t>
      </w:r>
      <w:r>
        <w:rPr>
          <w:rFonts w:ascii="Arial" w:eastAsia="Arial" w:hAnsi="Arial" w:cs="Arial"/>
          <w:sz w:val="24"/>
          <w:szCs w:val="24"/>
        </w:rPr>
        <w:lastRenderedPageBreak/>
        <w:t>subsequente determine as condições para o exercício desse direito. Um exemplo disso é o que estabelece o artigo 5º, inciso XXVII, da CRFB/88, que garante aos autores o direito exclusivo de usar, publicar ou reproduzir suas obras, “pelo tempo que a lei fixar”.</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Segundo Chimenti (2005), as regras de eficácia contida também podem ser chamadas de regras de integração restringível, pois permitem que uma legislação inferior amplie ou limite seu alcance, desde que exista autorização constitucional. Além disso, a limitação da eficácia de certas disposições constitucionais pode resultar da aplicação de outras normas constitucionais. Por exemplo, a liberdade de reunião, garantida pelo artigo 5º da CRFB/88, pode ser restringida em circunstâncias excepcionais, como durante os períodos de estado de defesa ou estado de sítio,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Em contrapartida, as normas constitucionais de eficácia limitada possuem aplicabilidade indireta, mediata e reduzida. Para que essas normas possam produzir plenamente seus efeitos, é necessário que o legislador atue posteriormente. Em outras palavras, embora façam parte do texto constitucional, seu conteúdo normativo requer complementação legislativa para que possam regular as situações que abordam. Menciona-se o que está previsto no artigo 5º, inciso XXXII, da CRFB/88, que afirma que “o Estado promoverá, na forma da lei, a defesa do consumidor”. Demonstrando que a realização desse direito fundamental requer a criação de leis que os regulamentem.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Chimenti (2005) aponta que a própria Carta Magna (1988) sinaliza a natureza dessas normas ao empregar expressões como “nos termos da lei”, “na forma da lei”, “a lei disporá” ou “a lei regulará”. Indicando que certos dispositivos constitucionais necessitam de uma legislação subsequente para atingir sua plena eficácia.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Na teoria constitucional, Diniz (2001) sugere uma classificação diferente das normas constitucionais, diferenciando-as também em relação à sua intangibilidade e à geração de efeitos concretos. Nesse cenário, a autora aponta a presença de normas constitucionais de eficácia absoluta, que seriam aquelas que não podem ser modificadas, correspondendo às chamadas cláusulas pétreas.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No entanto, essa classificação é alvo de críticas na doutrina contemporânea. Sarlet (2006) enfatiza que, embora existam normas tidas como de eficácia plena ou absoluta, elas não estão necessariamente isentas de restrições. Isso ocorre porque o sistema constitucional permite a existência de limitações que surgem da convivência entre direitos fundamentais. Assim, a doutrina sustenta que não há direitos absolutamente ilimitados, aplicando a teoria dos limites imanentes aos direitos fundamentais.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lastRenderedPageBreak/>
        <w:t>Após a análise dos conceitos de eficácia, validade, aplicabilidade e vigência das normas, é fundamental compreender como a realidade social influencia a produção e a efetividade das normas jurídicas. A eficácia das normas não se resume à sua validade formal, mas está intrinsecamente ligada à sua capacidade de se adaptar às mudanças sociais, às demandas da população e aos contextos específicos em que devem ser aplicadas.</w:t>
      </w:r>
    </w:p>
    <w:p w:rsidR="009D60B7" w:rsidRDefault="009D60B7">
      <w:pPr>
        <w:spacing w:line="360" w:lineRule="auto"/>
        <w:jc w:val="both"/>
        <w:rPr>
          <w:rFonts w:ascii="Arial" w:eastAsia="Arial" w:hAnsi="Arial" w:cs="Arial"/>
          <w:sz w:val="24"/>
          <w:szCs w:val="24"/>
        </w:rPr>
      </w:pPr>
    </w:p>
    <w:p w:rsidR="009D60B7" w:rsidRPr="004A636B" w:rsidRDefault="00425C09">
      <w:pPr>
        <w:spacing w:line="360" w:lineRule="auto"/>
        <w:jc w:val="both"/>
        <w:rPr>
          <w:rFonts w:ascii="Arial" w:eastAsia="Arial" w:hAnsi="Arial" w:cs="Arial"/>
          <w:bCs/>
          <w:color w:val="000000"/>
          <w:sz w:val="24"/>
          <w:szCs w:val="24"/>
        </w:rPr>
      </w:pPr>
      <w:r w:rsidRPr="004A636B">
        <w:rPr>
          <w:rFonts w:ascii="Arial" w:eastAsia="Arial" w:hAnsi="Arial" w:cs="Arial"/>
          <w:bCs/>
          <w:sz w:val="24"/>
          <w:szCs w:val="24"/>
        </w:rPr>
        <w:t xml:space="preserve">3. </w:t>
      </w:r>
      <w:r w:rsidRPr="004A636B">
        <w:rPr>
          <w:rFonts w:ascii="Arial" w:eastAsia="Arial" w:hAnsi="Arial" w:cs="Arial"/>
          <w:bCs/>
          <w:color w:val="000000"/>
          <w:sz w:val="24"/>
          <w:szCs w:val="24"/>
        </w:rPr>
        <w:t>A INFLUÊNCIA DA REALIDADE SOCIAL NA PRODUÇÃO DA NORMA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 criação do Direito não ocorre de forma abstrata ou isolada da sociedade; pelo contrário, para que a norma jurídica seja eficaz e legítima, ela precisa espelhar a realidade social. Durante o século XX, vários teóricos do Direito destacaram a relação entre norma e fato social.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Em outras palavras, para que uma norma seja eficaz, ela deve estar alinhada com os valores, comportamentos e demandas da sociedade que busca regular. Uma lei que não reflete a realidade social tende a ser ineficaz: se a sociedade não a aceita ou não a compreende, é pouco provável que seja cumprida integralmente, podendo se tornar um “peso morto” no sistema jurídico ou causar conflitos práticos.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Bobbio (2003) reforça esse conceito ao declarar que, para serem eficazes, as normas jurídicas precisam refletir a realidade social. Quando o legislador ignora os fatos e desejos da sociedade, há o perigo de criar leis que não atendem às demandas do povo. Normas estabelecidas sem considerar a realidade atual podem ser ineficazes ou até mesmo injustas, não conseguindo atingir suas metas e causando desconfiança ou oposição.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O antigo crime de adultério, previsto no </w:t>
      </w:r>
      <w:sdt>
        <w:sdtPr>
          <w:rPr>
            <w:rFonts w:ascii="Arial" w:hAnsi="Arial" w:cs="Arial"/>
            <w:sz w:val="24"/>
            <w:szCs w:val="24"/>
          </w:rPr>
          <w:tag w:val="goog_rdk_3"/>
          <w:id w:val="147477505"/>
        </w:sdtPr>
        <w:sdtContent/>
      </w:sdt>
      <w:r>
        <w:rPr>
          <w:rFonts w:ascii="Arial" w:eastAsia="Arial" w:hAnsi="Arial" w:cs="Arial"/>
          <w:sz w:val="24"/>
          <w:szCs w:val="24"/>
        </w:rPr>
        <w:t xml:space="preserve">Código Penal, é um exemplo histórico esclarecedor. (Brasil, 1940). Por muitos anos, o adultério foi considerado um crime, mas o progresso cultural e a transformação dos valores tornaram essa definição obsoleta. A sociedade começou a ver a infidelidade conjugal como uma questão privada, em vez de um assunto passível de punição penal. Ao reconhecer essa desadequação social, o legislador finalmente descriminalizou o adultério em 2005: a Lei 11.106 aboliu a disposição do Código Penal que previa pena de detenção </w:t>
      </w:r>
      <w:sdt>
        <w:sdtPr>
          <w:rPr>
            <w:rFonts w:ascii="Arial" w:hAnsi="Arial" w:cs="Arial"/>
            <w:sz w:val="24"/>
            <w:szCs w:val="24"/>
          </w:rPr>
          <w:tag w:val="goog_rdk_4"/>
          <w:id w:val="147475500"/>
        </w:sdtPr>
        <w:sdtContent/>
      </w:sdt>
      <w:r>
        <w:rPr>
          <w:rFonts w:ascii="Arial" w:eastAsia="Arial" w:hAnsi="Arial" w:cs="Arial"/>
          <w:sz w:val="24"/>
          <w:szCs w:val="24"/>
        </w:rPr>
        <w:t xml:space="preserve">para esse ato. (Brasil, 2005)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 revogação constituiu uma significativa alteração jurídica, ajustando a norma aos costumes atuais. Embora as infidelidades conjugais não tenham desaparecido, passou-se a entender que o direito penal não deveria lidar com essas questões de foro íntimo.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O caso do adultério ilustra como uma norma que antes era aceita se tornou </w:t>
      </w:r>
      <w:r>
        <w:rPr>
          <w:rFonts w:ascii="Arial" w:eastAsia="Arial" w:hAnsi="Arial" w:cs="Arial"/>
          <w:sz w:val="24"/>
          <w:szCs w:val="24"/>
        </w:rPr>
        <w:lastRenderedPageBreak/>
        <w:t xml:space="preserve">obsoleta em face de novos padrões de comportamento: mantê-la seria impor uma moralidade ultrapassada ao presente, sobrecarregando o Judiciário e deslegitimando a lei. Ao removê-la do ordenamento, o legislador confirmou que o Direito precisa se adaptar às novas condições sociais, caso contrário, corre o risco de perder sua função de regulação.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Como Bobbio resume, um dos maiores desafios do legislador é criar normas que sejam funcionalmente adequadas ao seu tempo; caso contrário, há o risco de produzir um regramento obsoleto e ineficaz.</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No campo doutrinário, o princípio da adequação social reflete essa conexão entre a norma jurídica e a realidade social. Desenvolvido por </w:t>
      </w:r>
      <w:sdt>
        <w:sdtPr>
          <w:rPr>
            <w:rFonts w:ascii="Arial" w:hAnsi="Arial" w:cs="Arial"/>
            <w:sz w:val="24"/>
            <w:szCs w:val="24"/>
          </w:rPr>
          <w:tag w:val="goog_rdk_5"/>
          <w:id w:val="147460003"/>
        </w:sdtPr>
        <w:sdtContent/>
      </w:sdt>
      <w:r>
        <w:rPr>
          <w:rFonts w:ascii="Arial" w:eastAsia="Arial" w:hAnsi="Arial" w:cs="Arial"/>
          <w:sz w:val="24"/>
          <w:szCs w:val="24"/>
        </w:rPr>
        <w:t xml:space="preserve">Welzel (2004, apud Bitencourt, 2025), um jurista penal alemão, esse princípio afirma que o Direito não deve punir comportamentos amplamente aceitos pela sociedade, uma vez que essas condutas, consideradas socialmente adequadas, não ferem o sentimento jurídico coletivo.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 Constituição de 1988 trata da interpretação das normas conforme os valores e princípios constitucionais, e essa abordagem pode ser aplicada ao conceito de família. O artigo 226 da Carta Magna (1988, </w:t>
      </w:r>
      <w:r>
        <w:rPr>
          <w:rFonts w:ascii="Arial" w:eastAsia="Arial" w:hAnsi="Arial" w:cs="Arial"/>
          <w:i/>
          <w:iCs/>
          <w:sz w:val="24"/>
          <w:szCs w:val="24"/>
        </w:rPr>
        <w:t>online</w:t>
      </w:r>
      <w:r>
        <w:rPr>
          <w:rFonts w:ascii="Arial" w:eastAsia="Arial" w:hAnsi="Arial" w:cs="Arial"/>
          <w:sz w:val="24"/>
          <w:szCs w:val="24"/>
        </w:rPr>
        <w:t xml:space="preserve">) estabelece que a família é a base da sociedade, mas ao longo do tempo, o conceito de família evoluiu, incorporando novas formas de arranjos familiares.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Nesse contexto, a interpretação do conceito de família, conforme a Constituição (1988), deve estar em consonância com o princípio da adequação social. Isso significa que o conceito de família precisa refletir as mudanças sociais e a aceitação de diferentes configurações familiares, garantindo, assim, a plena proteção constitucional a todas as formas de família reconhecidas pela sociedade contemporânea.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Ainda, Welzel (2004) propôs a adequação social como uma excludente de tipicidade ou ilicitude no Direito Penal. Isso significa que um comportamento que, embora formalmente típico, esteja alinhado com o sentimento social não deveria ser classificado como crime. Posteriormente, Welzel (2004) aprimorou sua perspectiva, considerando a adequação social como uma norma geral para a interpretação do Direito: tanto o aplicador quanto o legislador devem considerar o contexto social ao determinar se uma determinada conduta deve ser reprimida juridicamente.</w:t>
      </w:r>
    </w:p>
    <w:p w:rsidR="009D60B7" w:rsidRDefault="00425C09">
      <w:pPr>
        <w:spacing w:line="360" w:lineRule="auto"/>
        <w:ind w:firstLine="709"/>
        <w:jc w:val="both"/>
        <w:rPr>
          <w:rFonts w:ascii="Arial" w:eastAsia="Arial" w:hAnsi="Arial" w:cs="Arial"/>
          <w:sz w:val="24"/>
          <w:szCs w:val="24"/>
        </w:rPr>
      </w:pPr>
      <w:sdt>
        <w:sdtPr>
          <w:rPr>
            <w:rFonts w:ascii="Arial" w:hAnsi="Arial" w:cs="Arial"/>
            <w:sz w:val="24"/>
            <w:szCs w:val="24"/>
          </w:rPr>
          <w:tag w:val="goog_rdk_6"/>
          <w:id w:val="147482598"/>
        </w:sdtPr>
        <w:sdtContent/>
      </w:sdt>
      <w:r>
        <w:rPr>
          <w:rFonts w:ascii="Arial" w:eastAsia="Arial" w:hAnsi="Arial" w:cs="Arial"/>
          <w:sz w:val="24"/>
          <w:szCs w:val="24"/>
        </w:rPr>
        <w:t xml:space="preserve">Bitencourt (2025), ao comentar a teoria de Welzel (2004, apud Bitencourt, 2025), esclarece que, após revisões, o autor a admitiu como um princípio hermenêutico abrangente, que orienta a elaboração e a aplicação da norma penal. Em tradução livre de um trecho da obra de Welzel, observa-se que os tipos penais refletem a natureza </w:t>
      </w:r>
      <w:r>
        <w:rPr>
          <w:rFonts w:ascii="Arial" w:eastAsia="Arial" w:hAnsi="Arial" w:cs="Arial"/>
          <w:sz w:val="24"/>
          <w:szCs w:val="24"/>
        </w:rPr>
        <w:lastRenderedPageBreak/>
        <w:t xml:space="preserve">social e histórica do Direito Penal: as figuras delitivas selecionam comportamentos que, por um lado, fazem parte da convivência social, mas, por outro lado, são incompatíveis com uma vida social harmoniosa.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Em outras palavras, as leis penais definem quais comportamentos representam violações significativas da ordem social em um determinado período histórico. Portanto, essa seleção é dinâmica: comportamentos que antes eram vistos como ilícitos podem, em um determinado momento, passar a ser considerados moral e socialmente irrelevantes, deixando de ser criminalizados.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Welzel (2004) afirma que o fator social é crucial na formação do ordenamento jurídico atual: práticas que foram criminalizadas em um determinado período histórico podem, posteriormente, ser consideradas aceitáveis. O legislador deve, portanto, reconhecer a mudança de valores e desconsiderar a ilicitude dessas práticas quando elas não ferem mais o senso social. Dessa forma, os costumes e a evolução moral da sociedade servem como referência para o legislador: é sua responsabilidade identificar quando uma norma se desvinculou da realidade social e ajustá-la ou anulá-la, garantindo que o ordenamento continue sendo considerado legítimo pela comunidade.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Outros juristas de destaque também destacam a conexão intrínseca entre o Direito e a realidade social. Bobbio (2003), ao analisar o realismo jurídico, afirma que o direito “vive” das relações sociais subjacentes. Kelsen (2009), embora fosse reconhecido por uma teoria jurídica livre de componentes sociológicos, reconhecia que a eficácia de um sistema jurídico depende, em grande parte, de fatores sociais.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Uma norma geral que não é observada pela sociedade de forma consistente perde sua eficácia e pode comprometer a validade de todo o sistema normativo. A legitimidade social da norma jurídica é essencial para sua continuidade. Quando existe um divórcio significativo entre a lei e a realidade (fatos sociais, valores e expectativas da sociedade), surge uma crise de efetividade. Isso pode exigir a ação do legislador para modificar a norma ou do intérprete para ajustá-la por meio da hermenêutica.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Assim, a produção normativa deve levar em conta o contexto social em que será implementada, a fim de cumprir o princípio da adequação social. Esse princípio funciona como um critério de legitimidade: leis que não são socialmente aceitáveis tendem a se tornar obsoletas ou a serem rejeitadas pela dinâmica social.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Em resumo, uma norma eficaz é aquela que está enraizada na sociedade. O legislador enfrenta o desafio constante de ouvir a sociedade, seus costumes, transformações nas tradições e novas necessidades, para que o Direito positivo se </w:t>
      </w:r>
      <w:r>
        <w:rPr>
          <w:rFonts w:ascii="Arial" w:eastAsia="Arial" w:hAnsi="Arial" w:cs="Arial"/>
          <w:sz w:val="24"/>
          <w:szCs w:val="24"/>
        </w:rPr>
        <w:lastRenderedPageBreak/>
        <w:t>mantenha dinâmico frente às transformações sociais, assegurando, dessa forma, que as normas jurídicas preservem sua autoridade normativa e fomentem a ordem justa e eficaz que se espera delas.</w:t>
      </w:r>
    </w:p>
    <w:p w:rsidR="009D60B7" w:rsidRDefault="009D60B7">
      <w:pPr>
        <w:spacing w:line="360" w:lineRule="auto"/>
        <w:jc w:val="both"/>
        <w:rPr>
          <w:rFonts w:ascii="Arial" w:eastAsia="Arial" w:hAnsi="Arial" w:cs="Arial"/>
          <w:sz w:val="24"/>
          <w:szCs w:val="24"/>
        </w:rPr>
      </w:pPr>
    </w:p>
    <w:p w:rsidR="009D60B7" w:rsidRDefault="00425C09">
      <w:pPr>
        <w:numPr>
          <w:ilvl w:val="1"/>
          <w:numId w:val="5"/>
        </w:numPr>
        <w:spacing w:line="360" w:lineRule="auto"/>
        <w:jc w:val="both"/>
        <w:rPr>
          <w:rFonts w:ascii="Arial" w:eastAsia="Arial" w:hAnsi="Arial" w:cs="Arial"/>
          <w:color w:val="000000"/>
          <w:sz w:val="24"/>
          <w:szCs w:val="24"/>
        </w:rPr>
      </w:pPr>
      <w:r>
        <w:rPr>
          <w:rFonts w:ascii="Arial" w:eastAsia="Arial" w:hAnsi="Arial" w:cs="Arial"/>
          <w:color w:val="000000"/>
          <w:sz w:val="24"/>
          <w:szCs w:val="24"/>
        </w:rPr>
        <w:t>A participação popular e os déficits democrático</w:t>
      </w:r>
      <w:sdt>
        <w:sdtPr>
          <w:rPr>
            <w:rFonts w:ascii="Arial" w:hAnsi="Arial" w:cs="Arial"/>
            <w:sz w:val="24"/>
            <w:szCs w:val="24"/>
          </w:rPr>
          <w:tag w:val="goog_rdk_7"/>
          <w:id w:val="147473273"/>
        </w:sdtPr>
        <w:sdtContent/>
      </w:sdt>
      <w:r>
        <w:rPr>
          <w:rFonts w:ascii="Arial" w:eastAsia="Arial" w:hAnsi="Arial" w:cs="Arial"/>
          <w:color w:val="000000"/>
          <w:sz w:val="24"/>
          <w:szCs w:val="24"/>
        </w:rPr>
        <w:t>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Desde o processo de redemocratização, a consolidação da democracia brasileira tem enfrentado desafios consideráveis. No entanto, atualmente, nota-se um cenário alarmante de natureza pós-democrática, em que as instituições democráticas continuam operando formalmente, mas seu conteúdo material está sendo progressivamente reduzido. Nesse cenário, diminuem-se as ferramentas que permitem o envolvimento ativo da população na formação e nas escolhas políticas do país.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 Constituição (1988) estabeleceu um sistema de democracia semidireta, mesclando a representação política com mecanismos de envolvimento popular no processo legislativo. Na teoria, instrumentos como plebiscito, referendo e iniciativa popular de leis possibilitam a participação direta da sociedade na criação de normas. Ademais, durante a análise de propostas legislativas, o Parlamento pode realizar consultas populares e audiências públicas para ouvir diversos setores da sociedade.</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Na prática, no entanto, esses mecanismos têm mostrado um alcance restrito. O plebiscito e o referendo, por exemplo, necessitam de convocação institucional e foram empregados raramente desde 1988, tornando-se, assim, mecanismos pouco familiares para a população. Da mesma forma, processos de impeachment presidencial e outras decisões políticas importantes ocorreram sem consulta direta ao povo.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Em relação à iniciativa popular, desde a promulgação da Constituição de 1988, apenas quatro leis federais foram aprovadas por esse meio. Entre elas estão a Lei n.º 9.840 de 1999, que estabeleceu mecanismos para combater a corrupção eleitoral, e a Lei Complementar n.º 135 de 2010, também chamada de Lei da Ficha Limpa. Esse número baixo destaca os desafios que a sociedade enfrenta ao participar diretamente da elaboração de leis.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Essa diferença entre o ideal democrático e sua realização contribui para o fenômeno chamado de “adjetivação da democracia”. Juan Carlos Monedero (2012, p. 81) comenta que, em face das limitações significativas desses modelos democráticos, foram utilizados adjetivos para fins de justificação dessa situação: “então, começou-se a falar de ‘déficit democrático’ e acompanhar o termo democracia com qualificações como ‘de baixa intensidade’, ‘incompleta’, ‘incerta’, ou na exacerbação do paradoxo, </w:t>
      </w:r>
      <w:r>
        <w:rPr>
          <w:rFonts w:ascii="Arial" w:eastAsia="Arial" w:hAnsi="Arial" w:cs="Arial"/>
          <w:sz w:val="24"/>
          <w:szCs w:val="24"/>
        </w:rPr>
        <w:lastRenderedPageBreak/>
        <w:t>‘autoritária’.”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 prática política também revela que, em diversos regimes tidos como democráticos, as decisões políticas são geralmente tomadas por uma minoria privilegiada, que costuma deter mais poder econômico e capital educacional do que a maior parte da população.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Nesse contexto, é importante ressaltar a reflexão de Miguel (2014, p. 39), que destaca um paradoxo intrínseco à própria noção de democracia:</w:t>
      </w:r>
    </w:p>
    <w:p w:rsidR="009D60B7" w:rsidRDefault="009D60B7">
      <w:pPr>
        <w:spacing w:line="360" w:lineRule="auto"/>
        <w:jc w:val="both"/>
        <w:rPr>
          <w:rFonts w:ascii="Arial" w:eastAsia="Arial" w:hAnsi="Arial" w:cs="Arial"/>
          <w:sz w:val="24"/>
          <w:szCs w:val="24"/>
        </w:rPr>
      </w:pPr>
    </w:p>
    <w:p w:rsidR="009D60B7" w:rsidRDefault="00425C09">
      <w:pPr>
        <w:ind w:left="2268"/>
        <w:jc w:val="both"/>
        <w:rPr>
          <w:rFonts w:ascii="Arial" w:eastAsia="Arial" w:hAnsi="Arial" w:cs="Arial"/>
          <w:sz w:val="20"/>
          <w:szCs w:val="20"/>
        </w:rPr>
      </w:pPr>
      <w:r>
        <w:rPr>
          <w:rFonts w:ascii="Arial" w:eastAsia="Arial" w:hAnsi="Arial" w:cs="Arial"/>
          <w:sz w:val="20"/>
          <w:szCs w:val="20"/>
        </w:rPr>
        <w:t>Há um paradoxo democrático mais básico, no entanto: é o regime político que atribui as funções de governo a uma categoria que se define exatamente por não governar. Povo não é uma categoria econômica, como “operariado” ou “classe trabalhadora”, por exemplo. Povo é uma categoria política, que reúne as pessoas que estão submetidas a um governo. Dessa forma, povo se opõe exatamente a governo: povo e governo são antípodas na relação de dominação política que é própria das mais diversas sociedades humanas. Um ‘governo do povo’ é, assim, uma contradição em termos.</w:t>
      </w:r>
    </w:p>
    <w:p w:rsidR="009D60B7" w:rsidRDefault="009D60B7">
      <w:pPr>
        <w:spacing w:line="360" w:lineRule="auto"/>
        <w:ind w:firstLine="709"/>
        <w:jc w:val="both"/>
        <w:rPr>
          <w:rFonts w:ascii="Times New Roman" w:eastAsia="Arial" w:hAnsi="Times New Roman" w:cs="Times New Roman"/>
        </w:rPr>
      </w:pP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Nesse cenário, apesar de haver mecanismos institucionais de participação, sua eficácia é muitas vezes restrita. Um dos principais canais formais de participação social é a realização de audiências públicas no Parlamento durante a tramitação de projetos legislativos, pois elas possibilitam o diálogo entre parlamentares e representantes de grupos interessados. No entanto, há limitações pois, muitas audiências acontecem em horários que não são convenientes para o cidadão, o que dificulta a participação ativa da sociedade.</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Ademais, é frequente que as opiniões e propostas da população não sejam realmente integradas ao texto final das normas discutidas. Isso faz com que as audiências públicas e consultas populares, em muitos casos, tenham um caráter apenas formal, ao invés de se tornarem uma autêntica co-construção legislativa. Essa situação é comumente vista nas câmaras municipais, onde, embora sejam realizadas audiências públicas sobre certos projetos de lei, a participação social efetiva é geralmente baixa.</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Em face dessas limitações, o tema da participação social tem ganhado relevância nas últimas décadas, particularmente no âmbito dos debates acerca da ampliação das possibilidades de democratização das ações do Estado. A questão começou a ganhar destaque nas pesquisas e nos debates acadêmicos e políticos, impulsionada pelas vitórias democráticas decorrentes da mobilização organizada da sociedade civil (Duriguetto, 2007).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Esse movimento ajudou a expandir os espaços institucionais de participação, observando-se a partir daí, uma considerável mudança originada da atuação de novos </w:t>
      </w:r>
      <w:r>
        <w:rPr>
          <w:rFonts w:ascii="Arial" w:eastAsia="Arial" w:hAnsi="Arial" w:cs="Arial"/>
          <w:sz w:val="24"/>
          <w:szCs w:val="24"/>
        </w:rPr>
        <w:lastRenderedPageBreak/>
        <w:t>interlocutores que via órgãos representativos participe nos espaços de deliberações, das diretrizes, planejamento, execução e controle das políticas pública (Raichelis, 2006).</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Nesse cenário, observa-se o fortalecimento, no Brasil, das discussões voltadas à ampliação da participação social nos processos de tomada de decisão. Diferentes segmentos da sociedade passaram a reivindicar maior envolvimento nas políticas públicas, defendendo a consolidação da democracia participativa, o exercício do controle social sobre o Estado e a construção de parcerias entre o poder público e a sociedade civil (Albuquerque, 2004).</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Essas reivindicações visam aumentar a independência dos movimentos sociais em relação ao poder estatal e superar os modelos históricos de centralização política, sobretudo os que foram consolidados durante o período do Estado Novo (Rocha; Couto, 2009). Assim, as mobilizações sociais e ações coletivas tiveram um papel importante na ampliação dos espaços de participação democrática reconhecidos pela Constituição de 1988, que não só expandiu os direitos sociais, mas também estabeleceu mecanismos para a formulação, gestão e controle das políticas públicas, principalmente por meio de organizações representativas e conselhos deliberativos (Bulla; Leal, 2006).</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 restrição da participação popular no processo legislativo afeta diretamente a legitimidade e a efetividade das leis criadas. As leis criadas sem diálogo com a sociedade costumam ser vistas como menos representativas da vontade popular. Isso pode levar à desconfiança nas instituições, ao afastamento político e à menor disposição dos cidadãos em cumprir as normas. Em contrapartida, quando as pessoas se veem como parte do processo de tomada de decisões, a aceitação social da norma tende a aumentar.</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Bobbio (2003) </w:t>
      </w:r>
      <w:sdt>
        <w:sdtPr>
          <w:rPr>
            <w:rFonts w:ascii="Arial" w:hAnsi="Arial" w:cs="Arial"/>
            <w:sz w:val="24"/>
            <w:szCs w:val="24"/>
          </w:rPr>
          <w:tag w:val="goog_rdk_8"/>
          <w:id w:val="147480253"/>
        </w:sdtPr>
        <w:sdtContent/>
      </w:sdt>
      <w:r>
        <w:rPr>
          <w:rFonts w:ascii="Arial" w:eastAsia="Arial" w:hAnsi="Arial" w:cs="Arial"/>
          <w:sz w:val="24"/>
          <w:szCs w:val="24"/>
        </w:rPr>
        <w:t>já advertia que a verdadeira democratização requer não apenas direitos formais de participação, mas também oportunidades reais para que a sociedade possa influenciar as decisões que a afetam, caso contrário, a democracia corre o risco de se transformar em um sistema oligárquico disfarçado.</w:t>
      </w:r>
    </w:p>
    <w:p w:rsidR="009D60B7" w:rsidRDefault="00425C09">
      <w:pPr>
        <w:spacing w:line="360" w:lineRule="auto"/>
        <w:ind w:firstLine="709"/>
        <w:jc w:val="both"/>
        <w:rPr>
          <w:rFonts w:ascii="Arial" w:eastAsia="Arial" w:hAnsi="Arial" w:cs="Arial"/>
          <w:sz w:val="24"/>
          <w:szCs w:val="24"/>
        </w:rPr>
      </w:pPr>
      <w:sdt>
        <w:sdtPr>
          <w:rPr>
            <w:rFonts w:ascii="Arial" w:hAnsi="Arial" w:cs="Arial"/>
            <w:sz w:val="24"/>
            <w:szCs w:val="24"/>
          </w:rPr>
          <w:tag w:val="goog_rdk_9"/>
          <w:id w:val="147468746"/>
        </w:sdtPr>
        <w:sdtContent/>
      </w:sdt>
      <w:r>
        <w:rPr>
          <w:rFonts w:ascii="Arial" w:eastAsia="Arial" w:hAnsi="Arial" w:cs="Arial"/>
          <w:sz w:val="24"/>
          <w:szCs w:val="24"/>
        </w:rPr>
        <w:t xml:space="preserve">Kelsen (2009), embora fosse um defensor da democracia representativa, também reconhecia que a autenticidade da representação política depende da presença de espaços públicos para debate, onde a opinião popular possa ser formada e expressa.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Nos últimos anos, algumas ações têm procurado expandir os meios de participação popular, como o debate sobre a simplificação dos processos de iniciativa popular, o desenvolvimento de plataformas digitais para consulta pública no Congresso Nacional e o reforço de ferramentas de transparência na administração pública. No </w:t>
      </w:r>
      <w:r>
        <w:rPr>
          <w:rFonts w:ascii="Arial" w:eastAsia="Arial" w:hAnsi="Arial" w:cs="Arial"/>
          <w:sz w:val="24"/>
          <w:szCs w:val="24"/>
        </w:rPr>
        <w:lastRenderedPageBreak/>
        <w:t>entanto, os resultados dessas ações ainda são modestos.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O maior desafio é fazer com que a participação popular seja um componente real do processo legislativo, em vez de apenas simbólico. Isso inclui investimentos em educação cívica, melhoria institucional e reforço dos canais de comunicação entre representantes e sociedade. A redução do déficit democrático, o aumento da legitimidade das leis e o fortalecimento da eficácia social das normas criadas só poderão ser alcançados por meio de uma interação mais profunda entre o Parlamento e a população.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Portanto, uma norma criada para o povo, mas sem a participação do povo, provavelmente não conseguirá cumprir sua finalidade regulatória nem atender ao bem comum. Assim, a criação de um processo legislativo mais inclusivo não é apenas um objetivo constitucional, mas também uma exigência para o aprimoramento da ordem jurídica e para a implementação completa do princípio da soberania popular, previsto no art. 1º, parágrafo único, da </w:t>
      </w:r>
      <w:r w:rsidR="004A636B">
        <w:rPr>
          <w:rFonts w:ascii="Arial" w:eastAsia="Arial" w:hAnsi="Arial" w:cs="Arial"/>
          <w:sz w:val="24"/>
          <w:szCs w:val="24"/>
        </w:rPr>
        <w:t>C</w:t>
      </w:r>
      <w:r>
        <w:rPr>
          <w:rFonts w:ascii="Arial" w:eastAsia="Arial" w:hAnsi="Arial" w:cs="Arial"/>
          <w:sz w:val="24"/>
          <w:szCs w:val="24"/>
        </w:rPr>
        <w:t xml:space="preserve">arta </w:t>
      </w:r>
      <w:r w:rsidR="004A636B">
        <w:rPr>
          <w:rFonts w:ascii="Arial" w:eastAsia="Arial" w:hAnsi="Arial" w:cs="Arial"/>
          <w:sz w:val="24"/>
          <w:szCs w:val="24"/>
        </w:rPr>
        <w:t>M</w:t>
      </w:r>
      <w:r>
        <w:rPr>
          <w:rFonts w:ascii="Arial" w:eastAsia="Arial" w:hAnsi="Arial" w:cs="Arial"/>
          <w:sz w:val="24"/>
          <w:szCs w:val="24"/>
        </w:rPr>
        <w:t>agna.</w:t>
      </w:r>
    </w:p>
    <w:p w:rsidR="009D60B7" w:rsidRDefault="009D60B7">
      <w:pPr>
        <w:spacing w:line="360" w:lineRule="auto"/>
        <w:jc w:val="both"/>
        <w:rPr>
          <w:rFonts w:ascii="Arial" w:eastAsia="Arial" w:hAnsi="Arial" w:cs="Arial"/>
          <w:sz w:val="24"/>
          <w:szCs w:val="24"/>
        </w:rPr>
      </w:pPr>
    </w:p>
    <w:p w:rsidR="009D60B7" w:rsidRPr="004A636B" w:rsidRDefault="00425C09">
      <w:pPr>
        <w:spacing w:line="360" w:lineRule="auto"/>
        <w:jc w:val="both"/>
        <w:rPr>
          <w:rFonts w:ascii="Arial" w:eastAsia="Arial" w:hAnsi="Arial" w:cs="Arial"/>
          <w:bCs/>
          <w:sz w:val="24"/>
          <w:szCs w:val="24"/>
        </w:rPr>
      </w:pPr>
      <w:r w:rsidRPr="004A636B">
        <w:rPr>
          <w:rFonts w:ascii="Arial" w:eastAsia="Arial" w:hAnsi="Arial" w:cs="Arial"/>
          <w:bCs/>
          <w:sz w:val="24"/>
          <w:szCs w:val="24"/>
        </w:rPr>
        <w:t>CONCLUSÃO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O presente trabalho teve como objetivo analisar os desafios enfrentados pelo legislador brasileiro na busca pela eficácia social das normas jurídicas, especialmente no contexto contemporâneo, marcado por transformações rápidas e complexas. </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 pesquisa evidenciou que, embora o processo legislativo esteja formalmente bem estruturado pela Constituição de 1988, ele nem sempre resulta na efetiva aplicação das normas no plano social. A validade formal das normas não é suficiente para garantir que elas cumpram seu papel de promover justiça social e atender às necessidades da população.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Foi identificado que a adequação das normas à realidade social é essencial para garantir que as leis não sejam apenas teóricas, mas também práticas e aplicáveis à vida cotidiana. A eficácia das normas deve ser avaliada não só pela sua existência formal, mas também pela sua capacidade de impactar positivamente a sociedade. Quando as normas não são adaptadas ao contexto social, elas tendem a falhar em sua implementação, o que compromete sua eficácia social e enfraquece a legitimidade do sistema jurídico.</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 xml:space="preserve">A participação popular no processo legislativo é um dos aspectos mais críticos para a criação de normas eficazes. Sendo que, apesar de a Constituição de 1988 prever a participação da sociedade, por meio de instrumentos como o plebiscito e a iniciativa popular, a aplicação desses mecanismos ainda é limitada. Isso cria um descompasso </w:t>
      </w:r>
      <w:r>
        <w:rPr>
          <w:rFonts w:ascii="Arial" w:eastAsia="Arial" w:hAnsi="Arial" w:cs="Arial"/>
          <w:sz w:val="24"/>
          <w:szCs w:val="24"/>
        </w:rPr>
        <w:lastRenderedPageBreak/>
        <w:t>entre as necessidades da sociedade e as normas que são criadas, resultando em normas pouco eficazes e em um déficit democrático. A falta de um diálogo constante entre o legislador e a população compromete a legitimidade das leis e sua capacidade de atender aos reais problemas sociais.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Outro ponto importante discutido foi o princípio da adequação social, que afirma que o Direito deve estar em sintonia com as transformações sociais. A norma jurídica não deve ser rígida a ponto de se desconectar das realidades mutáveis da sociedade. A adequação social implica que as leis sejam criadas com base nas necessidades reais da população, refletindo os valores e comportamentos que prevalecem em cada momento histórico. Esse princípio é essencial para a efetividade das normas, pois garante que o Direito não se torne uma estrutura estagnada, mas um instrumento dinâmico que responde às mudanças sociais.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Além disso, a análise da eficácia social das normas revelou que as leis só são realmente eficazes quando são implementadas de maneira a transformar a realidade social de forma positiva. Para que isso aconteça, o legislador precisa estar atento às transformações nas estruturas sociais e aos novos desafios da sociedade. Isso implica uma postura mais flexível e adaptativa por parte do legislador, que deve ser capaz de ajustar as normas conforme as demandas sociais emergentes.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Conclui-se que o grande desafio do legislador contemporâneo é produzir normas que, além de formalmente válidas, sejam também socialmente eficazes. Para isso, é necessário um processo legislativo que não apenas siga os trâmites constitucionais, mas que também considere a realidade social em suas decisões. A participação popular deve ser incentivada e os mecanismos de fiscalização e controle precisam ser fortalecidos para garantir que as normas sejam efetivamente cumpridas.</w:t>
      </w:r>
    </w:p>
    <w:p w:rsidR="009D60B7" w:rsidRDefault="00425C09">
      <w:pPr>
        <w:spacing w:line="360" w:lineRule="auto"/>
        <w:ind w:firstLine="709"/>
        <w:jc w:val="both"/>
        <w:rPr>
          <w:rFonts w:ascii="Arial" w:eastAsia="Arial" w:hAnsi="Arial" w:cs="Arial"/>
          <w:sz w:val="24"/>
          <w:szCs w:val="24"/>
        </w:rPr>
      </w:pPr>
      <w:r>
        <w:rPr>
          <w:rFonts w:ascii="Arial" w:eastAsia="Arial" w:hAnsi="Arial" w:cs="Arial"/>
          <w:sz w:val="24"/>
          <w:szCs w:val="24"/>
        </w:rPr>
        <w:t>Por fim, o trabalho reafirma a importância de um processo legislativo mais inclusivo e dinâmico, que, em sintonia com as transformações sociais, assegure a legitimidade das normas e sua efetividade prática. Somente com um diálogo contínuo entre o legislador e a sociedade será possível construir um sistema jurídico que não apenas atenda à legalidade formal, mas também promova justiça social, respeitando as necessidades e as especificidades da população. A legislação deve ser um reflexo da sociedade, não um obstáculo à sua evolução.</w:t>
      </w:r>
    </w:p>
    <w:p w:rsidR="009D60B7" w:rsidRDefault="009D60B7">
      <w:pPr>
        <w:spacing w:line="360" w:lineRule="auto"/>
        <w:jc w:val="both"/>
        <w:rPr>
          <w:rFonts w:ascii="Arial" w:eastAsia="Arial" w:hAnsi="Arial" w:cs="Arial"/>
          <w:b/>
          <w:bCs/>
          <w:sz w:val="24"/>
          <w:szCs w:val="24"/>
        </w:rPr>
      </w:pPr>
    </w:p>
    <w:p w:rsidR="009D60B7" w:rsidRPr="004A636B" w:rsidRDefault="00425C09">
      <w:pPr>
        <w:spacing w:line="360" w:lineRule="auto"/>
        <w:jc w:val="both"/>
        <w:rPr>
          <w:rFonts w:ascii="Arial" w:eastAsia="Arial" w:hAnsi="Arial" w:cs="Arial"/>
          <w:sz w:val="24"/>
          <w:szCs w:val="24"/>
        </w:rPr>
      </w:pPr>
      <w:r w:rsidRPr="004A636B">
        <w:rPr>
          <w:rFonts w:ascii="Arial" w:eastAsia="Arial" w:hAnsi="Arial" w:cs="Arial"/>
          <w:bCs/>
          <w:sz w:val="24"/>
          <w:szCs w:val="24"/>
        </w:rPr>
        <w:t xml:space="preserve">REFERÊNCIAS </w:t>
      </w:r>
    </w:p>
    <w:p w:rsidR="009D60B7" w:rsidRDefault="00425C09">
      <w:pPr>
        <w:rPr>
          <w:rFonts w:ascii="Arial" w:eastAsia="Arial" w:hAnsi="Arial" w:cs="Arial"/>
          <w:sz w:val="24"/>
          <w:szCs w:val="24"/>
        </w:rPr>
      </w:pPr>
      <w:r>
        <w:rPr>
          <w:rFonts w:ascii="Arial" w:eastAsia="Arial" w:hAnsi="Arial" w:cs="Arial"/>
          <w:sz w:val="24"/>
          <w:szCs w:val="24"/>
        </w:rPr>
        <w:t xml:space="preserve">ALBUQUERQUE, M. DO C. </w:t>
      </w:r>
      <w:r>
        <w:rPr>
          <w:rFonts w:ascii="Arial" w:eastAsia="Arial" w:hAnsi="Arial" w:cs="Arial"/>
          <w:b/>
          <w:bCs/>
          <w:sz w:val="24"/>
          <w:szCs w:val="24"/>
        </w:rPr>
        <w:t>Participação Cidadã nas Políticas Públicas</w:t>
      </w:r>
      <w:r>
        <w:rPr>
          <w:rFonts w:ascii="Arial" w:eastAsia="Arial" w:hAnsi="Arial" w:cs="Arial"/>
          <w:sz w:val="24"/>
          <w:szCs w:val="24"/>
        </w:rPr>
        <w:t xml:space="preserve">. In: HERMANNS, K. (Ed.). Participação Cidadã - Novos Conceitos e Metodologias. 1ª ed. </w:t>
      </w:r>
      <w:r>
        <w:rPr>
          <w:rFonts w:ascii="Arial" w:eastAsia="Arial" w:hAnsi="Arial" w:cs="Arial"/>
          <w:sz w:val="24"/>
          <w:szCs w:val="24"/>
        </w:rPr>
        <w:lastRenderedPageBreak/>
        <w:t>Ceará - Fortaleza: Expressão Gráfica e Editora, 2004. p. 168.</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BITENCOURT, Cezar Roberto. </w:t>
      </w:r>
      <w:r>
        <w:rPr>
          <w:rFonts w:ascii="Arial" w:eastAsia="Arial" w:hAnsi="Arial" w:cs="Arial"/>
          <w:b/>
          <w:bCs/>
          <w:sz w:val="24"/>
          <w:szCs w:val="24"/>
        </w:rPr>
        <w:t xml:space="preserve">Tratado de direito penal: </w:t>
      </w:r>
      <w:sdt>
        <w:sdtPr>
          <w:rPr>
            <w:rFonts w:ascii="Arial" w:hAnsi="Arial" w:cs="Arial"/>
            <w:sz w:val="24"/>
            <w:szCs w:val="24"/>
          </w:rPr>
          <w:tag w:val="goog_rdk_10"/>
          <w:id w:val="147455403"/>
        </w:sdtPr>
        <w:sdtContent/>
      </w:sdt>
      <w:r>
        <w:rPr>
          <w:rFonts w:ascii="Arial" w:eastAsia="Arial" w:hAnsi="Arial" w:cs="Arial"/>
          <w:b/>
          <w:bCs/>
          <w:sz w:val="24"/>
          <w:szCs w:val="24"/>
        </w:rPr>
        <w:t>parte especial 4</w:t>
      </w:r>
      <w:r>
        <w:rPr>
          <w:rFonts w:ascii="Arial" w:eastAsia="Arial" w:hAnsi="Arial" w:cs="Arial"/>
          <w:sz w:val="24"/>
          <w:szCs w:val="24"/>
        </w:rPr>
        <w:t>. 19. ed. São Paulo: Saraiva Educação, 2025.</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BOBBIO, Norberto. </w:t>
      </w:r>
      <w:r>
        <w:rPr>
          <w:rFonts w:ascii="Arial" w:eastAsia="Arial" w:hAnsi="Arial" w:cs="Arial"/>
          <w:b/>
          <w:bCs/>
          <w:sz w:val="24"/>
          <w:szCs w:val="24"/>
        </w:rPr>
        <w:t>Teoria da norma jurídica</w:t>
      </w:r>
      <w:r>
        <w:rPr>
          <w:rFonts w:ascii="Arial" w:eastAsia="Arial" w:hAnsi="Arial" w:cs="Arial"/>
          <w:sz w:val="24"/>
          <w:szCs w:val="24"/>
        </w:rPr>
        <w:t>. 2. ed. rev. Trad. Fernando Pavan Baptista e Ariani Bueno Sudatti. Bauru: Edipro, 2003.</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BOBBIO, Norberto.</w:t>
      </w:r>
      <w:r>
        <w:rPr>
          <w:rFonts w:ascii="Arial" w:eastAsia="Arial" w:hAnsi="Arial" w:cs="Arial"/>
          <w:b/>
          <w:bCs/>
          <w:sz w:val="24"/>
          <w:szCs w:val="24"/>
        </w:rPr>
        <w:t>Teoria do Ordenamento Jurídico</w:t>
      </w:r>
      <w:r>
        <w:rPr>
          <w:rFonts w:ascii="Arial" w:eastAsia="Arial" w:hAnsi="Arial" w:cs="Arial"/>
          <w:sz w:val="24"/>
          <w:szCs w:val="24"/>
        </w:rPr>
        <w:t>. 8. ed. trad. Maria Celeste Cordeiro Leite dos Santos.Editora Universidade de Brasília, 1996. p. 29.</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BRASIL. </w:t>
      </w:r>
      <w:r>
        <w:rPr>
          <w:rFonts w:ascii="Arial" w:eastAsia="Arial" w:hAnsi="Arial" w:cs="Arial"/>
          <w:b/>
          <w:bCs/>
          <w:sz w:val="24"/>
          <w:szCs w:val="24"/>
        </w:rPr>
        <w:t>Constituição da República Federativa do Brasil de 1988</w:t>
      </w:r>
      <w:r>
        <w:rPr>
          <w:rFonts w:ascii="Arial" w:eastAsia="Arial" w:hAnsi="Arial" w:cs="Arial"/>
          <w:sz w:val="24"/>
          <w:szCs w:val="24"/>
        </w:rPr>
        <w:t>. Brasília, DF: Presidência da República, [2016]. Disponível em: https://www.planalto.gov.br/ccivil_03/constituicao/constituicao.htm. Acesso em: 17 nov. 2025.</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BULLA, L. C.; LEAL, M. L. M. </w:t>
      </w:r>
      <w:r>
        <w:rPr>
          <w:rFonts w:ascii="Arial" w:eastAsia="Arial" w:hAnsi="Arial" w:cs="Arial"/>
          <w:b/>
          <w:bCs/>
          <w:sz w:val="24"/>
          <w:szCs w:val="24"/>
        </w:rPr>
        <w:t>A participação da sociedade civil no Conselho Municipal de Assistência Social: o desafio de uma representação democrática</w:t>
      </w:r>
      <w:r>
        <w:rPr>
          <w:rFonts w:ascii="Arial" w:eastAsia="Arial" w:hAnsi="Arial" w:cs="Arial"/>
          <w:sz w:val="24"/>
          <w:szCs w:val="24"/>
        </w:rPr>
        <w:t>. Textos &amp; Contextos (Porto Alegre), v. 3, n. 1, 2006.</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CHIMENTI, Ricardo Cunha. </w:t>
      </w:r>
      <w:r>
        <w:rPr>
          <w:rFonts w:ascii="Arial" w:eastAsia="Arial" w:hAnsi="Arial" w:cs="Arial"/>
          <w:b/>
          <w:bCs/>
          <w:sz w:val="24"/>
          <w:szCs w:val="24"/>
        </w:rPr>
        <w:t>Curso de Direito Constitucional</w:t>
      </w:r>
      <w:r>
        <w:rPr>
          <w:rFonts w:ascii="Arial" w:eastAsia="Arial" w:hAnsi="Arial" w:cs="Arial"/>
          <w:sz w:val="24"/>
          <w:szCs w:val="24"/>
        </w:rPr>
        <w:t>. 2. ed. São Paulo: Saraiva, 2005. p. 28-31.</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DINIZ, Maria Helena. </w:t>
      </w:r>
      <w:r>
        <w:rPr>
          <w:rFonts w:ascii="Arial" w:eastAsia="Arial" w:hAnsi="Arial" w:cs="Arial"/>
          <w:b/>
          <w:bCs/>
          <w:sz w:val="24"/>
          <w:szCs w:val="24"/>
        </w:rPr>
        <w:t>Norma constitucional e seus efeitos</w:t>
      </w:r>
      <w:r>
        <w:rPr>
          <w:rFonts w:ascii="Arial" w:eastAsia="Arial" w:hAnsi="Arial" w:cs="Arial"/>
          <w:sz w:val="24"/>
          <w:szCs w:val="24"/>
        </w:rPr>
        <w:t>. 5 ed. São Paulo: Saraiva, 2001, p. 98-103.</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DURIGUETTO, M. L. D</w:t>
      </w:r>
      <w:r>
        <w:rPr>
          <w:rFonts w:ascii="Arial" w:eastAsia="Arial" w:hAnsi="Arial" w:cs="Arial"/>
          <w:b/>
          <w:bCs/>
          <w:sz w:val="24"/>
          <w:szCs w:val="24"/>
        </w:rPr>
        <w:t>escentralização, políticas públicas e participação popular</w:t>
      </w:r>
      <w:r>
        <w:rPr>
          <w:rFonts w:ascii="Arial" w:eastAsia="Arial" w:hAnsi="Arial" w:cs="Arial"/>
          <w:sz w:val="24"/>
          <w:szCs w:val="24"/>
        </w:rPr>
        <w:t>. Núcleo de Pesquisas e Movimentos Sociais. In: Movimentos sociais, participação e democracia. Florianópolis. Santa Catarina: Universidade Federal de Santa Catarina, 25 abr. 2007</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GASPARDO, Murilo. </w:t>
      </w:r>
      <w:r>
        <w:rPr>
          <w:rFonts w:ascii="Arial" w:eastAsia="Arial" w:hAnsi="Arial" w:cs="Arial"/>
          <w:b/>
          <w:bCs/>
          <w:sz w:val="24"/>
          <w:szCs w:val="24"/>
        </w:rPr>
        <w:t>Globalização e déficit democrático</w:t>
      </w:r>
      <w:r>
        <w:rPr>
          <w:rFonts w:ascii="Arial" w:eastAsia="Arial" w:hAnsi="Arial" w:cs="Arial"/>
          <w:sz w:val="24"/>
          <w:szCs w:val="24"/>
        </w:rPr>
        <w:t xml:space="preserve">: </w:t>
      </w:r>
      <w:sdt>
        <w:sdtPr>
          <w:rPr>
            <w:rFonts w:ascii="Arial" w:hAnsi="Arial" w:cs="Arial"/>
            <w:sz w:val="24"/>
            <w:szCs w:val="24"/>
          </w:rPr>
          <w:tag w:val="goog_rdk_11"/>
          <w:id w:val="147451965"/>
        </w:sdtPr>
        <w:sdtContent/>
      </w:sdt>
      <w:r>
        <w:rPr>
          <w:rFonts w:ascii="Arial" w:eastAsia="Arial" w:hAnsi="Arial" w:cs="Arial"/>
          <w:sz w:val="24"/>
          <w:szCs w:val="24"/>
        </w:rPr>
        <w:t>uma crítica à legitimação democrática no contexto da ordem global. São Paulo: Saraiva, 2015.</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KELSEN, H. </w:t>
      </w:r>
      <w:r>
        <w:rPr>
          <w:rFonts w:ascii="Arial" w:eastAsia="Arial" w:hAnsi="Arial" w:cs="Arial"/>
          <w:b/>
          <w:bCs/>
          <w:sz w:val="24"/>
          <w:szCs w:val="24"/>
        </w:rPr>
        <w:t>Teoria Pura do Direito</w:t>
      </w:r>
      <w:r>
        <w:rPr>
          <w:rFonts w:ascii="Arial" w:eastAsia="Arial" w:hAnsi="Arial" w:cs="Arial"/>
          <w:sz w:val="24"/>
          <w:szCs w:val="24"/>
        </w:rPr>
        <w:t>. Tradução de João Baptista Machado. 8. ed. São Paulo: Martins Fontes, 2009, p. 215.</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MIGUEL, Luis Felipe. </w:t>
      </w:r>
      <w:r>
        <w:rPr>
          <w:rFonts w:ascii="Arial" w:eastAsia="Arial" w:hAnsi="Arial" w:cs="Arial"/>
          <w:b/>
          <w:bCs/>
          <w:sz w:val="24"/>
          <w:szCs w:val="24"/>
        </w:rPr>
        <w:t>Consenso e conflito na teoria democrática: para além do "agonismo"</w:t>
      </w:r>
      <w:r>
        <w:rPr>
          <w:rFonts w:ascii="Arial" w:eastAsia="Arial" w:hAnsi="Arial" w:cs="Arial"/>
          <w:sz w:val="24"/>
          <w:szCs w:val="24"/>
        </w:rPr>
        <w:t>. Lua Nova, São Paulo, n. 92, p.39, 2014.</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MONEDERO, Juan Carlos</w:t>
      </w:r>
      <w:r>
        <w:rPr>
          <w:rFonts w:ascii="Arial" w:eastAsia="Arial" w:hAnsi="Arial" w:cs="Arial"/>
          <w:i/>
          <w:iCs/>
          <w:sz w:val="24"/>
          <w:szCs w:val="24"/>
        </w:rPr>
        <w:t xml:space="preserve">. </w:t>
      </w:r>
      <w:r>
        <w:rPr>
          <w:rFonts w:ascii="Arial" w:eastAsia="Arial" w:hAnsi="Arial" w:cs="Arial"/>
          <w:b/>
          <w:bCs/>
          <w:i/>
          <w:iCs/>
          <w:sz w:val="24"/>
          <w:szCs w:val="24"/>
        </w:rPr>
        <w:t>Posdemocracia: Frente al pesimismo de la nostalgia, el optimismo de la desobediencia</w:t>
      </w:r>
      <w:r>
        <w:rPr>
          <w:rFonts w:ascii="Arial" w:eastAsia="Arial" w:hAnsi="Arial" w:cs="Arial"/>
          <w:i/>
          <w:iCs/>
          <w:sz w:val="24"/>
          <w:szCs w:val="24"/>
        </w:rPr>
        <w:t>. Nueva Sociedad</w:t>
      </w:r>
      <w:r>
        <w:rPr>
          <w:rFonts w:ascii="Arial" w:eastAsia="Arial" w:hAnsi="Arial" w:cs="Arial"/>
          <w:sz w:val="24"/>
          <w:szCs w:val="24"/>
        </w:rPr>
        <w:t>, Buenos Aires, n. 240, p.81, ago. 2012.</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RAICHELIS, R. </w:t>
      </w:r>
      <w:r>
        <w:rPr>
          <w:rFonts w:ascii="Arial" w:eastAsia="Arial" w:hAnsi="Arial" w:cs="Arial"/>
          <w:b/>
          <w:bCs/>
          <w:sz w:val="24"/>
          <w:szCs w:val="24"/>
        </w:rPr>
        <w:t>Democratizar a Gestão das Políticas Sociais – Um Desafio a Ser Enfrentado pela Sociedade Civil</w:t>
      </w:r>
      <w:r>
        <w:rPr>
          <w:rFonts w:ascii="Arial" w:eastAsia="Arial" w:hAnsi="Arial" w:cs="Arial"/>
          <w:sz w:val="24"/>
          <w:szCs w:val="24"/>
        </w:rPr>
        <w:t>. In: MOTA, A. E. et al. (Eds.). Serviço Social e Saúde: Formação e Trabalho Profissional. 1 a. ed. São Paulo/SP: Cortez, 2006. p. 408.</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REALE, Miguel. </w:t>
      </w:r>
      <w:r>
        <w:rPr>
          <w:rFonts w:ascii="Arial" w:eastAsia="Arial" w:hAnsi="Arial" w:cs="Arial"/>
          <w:b/>
          <w:bCs/>
          <w:sz w:val="24"/>
          <w:szCs w:val="24"/>
        </w:rPr>
        <w:t>Lições preliminares de direito</w:t>
      </w:r>
      <w:r>
        <w:rPr>
          <w:rFonts w:ascii="Arial" w:eastAsia="Arial" w:hAnsi="Arial" w:cs="Arial"/>
          <w:sz w:val="24"/>
          <w:szCs w:val="24"/>
        </w:rPr>
        <w:t>. 23.ed. São Paulo: Saraiva, 1996. p. 135.</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lastRenderedPageBreak/>
        <w:t xml:space="preserve">ROCHA, D. G.; COUTO, R. M. B. DO. </w:t>
      </w:r>
      <w:r>
        <w:rPr>
          <w:rFonts w:ascii="Arial" w:eastAsia="Arial" w:hAnsi="Arial" w:cs="Arial"/>
          <w:b/>
          <w:bCs/>
          <w:sz w:val="24"/>
          <w:szCs w:val="24"/>
        </w:rPr>
        <w:t>A participação política na construção das políticas sociais</w:t>
      </w:r>
      <w:r>
        <w:rPr>
          <w:rFonts w:ascii="Arial" w:eastAsia="Arial" w:hAnsi="Arial" w:cs="Arial"/>
          <w:sz w:val="24"/>
          <w:szCs w:val="24"/>
        </w:rPr>
        <w:t>. Revista Brasileira de Gestão Urbana, v. 1, n. 1, p. 61–70, 2009.</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SARLET, Ingo Wolfgang. </w:t>
      </w:r>
      <w:r>
        <w:rPr>
          <w:rFonts w:ascii="Arial" w:eastAsia="Arial" w:hAnsi="Arial" w:cs="Arial"/>
          <w:b/>
          <w:bCs/>
          <w:sz w:val="24"/>
          <w:szCs w:val="24"/>
        </w:rPr>
        <w:t>A Eficácia dos Direitos Fundamentais</w:t>
      </w:r>
      <w:r>
        <w:rPr>
          <w:rFonts w:ascii="Arial" w:eastAsia="Arial" w:hAnsi="Arial" w:cs="Arial"/>
          <w:sz w:val="24"/>
          <w:szCs w:val="24"/>
        </w:rPr>
        <w:t>. 6. ed. Porto Alegre: Livraria do Advogado, 2006.p. 245.</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SILVA, José Afonso da. “</w:t>
      </w:r>
      <w:r>
        <w:rPr>
          <w:rFonts w:ascii="Arial" w:eastAsia="Arial" w:hAnsi="Arial" w:cs="Arial"/>
          <w:b/>
          <w:bCs/>
          <w:sz w:val="24"/>
          <w:szCs w:val="24"/>
        </w:rPr>
        <w:t>Processo Constitucional de Formação das Leis</w:t>
      </w:r>
      <w:r>
        <w:rPr>
          <w:rFonts w:ascii="Arial" w:eastAsia="Arial" w:hAnsi="Arial" w:cs="Arial"/>
          <w:sz w:val="24"/>
          <w:szCs w:val="24"/>
        </w:rPr>
        <w:t>” em sua 3ª ed., de 2017. p. 236.</w:t>
      </w:r>
    </w:p>
    <w:p w:rsidR="009D60B7" w:rsidRDefault="009D60B7">
      <w:pPr>
        <w:rPr>
          <w:rFonts w:ascii="Arial" w:eastAsia="Arial" w:hAnsi="Arial" w:cs="Arial"/>
          <w:sz w:val="24"/>
          <w:szCs w:val="24"/>
        </w:rPr>
      </w:pPr>
    </w:p>
    <w:p w:rsidR="009D60B7" w:rsidRDefault="00425C09">
      <w:pPr>
        <w:rPr>
          <w:rFonts w:ascii="Arial" w:eastAsia="Arial" w:hAnsi="Arial" w:cs="Arial"/>
          <w:sz w:val="24"/>
          <w:szCs w:val="24"/>
        </w:rPr>
      </w:pPr>
      <w:r>
        <w:rPr>
          <w:rFonts w:ascii="Arial" w:eastAsia="Arial" w:hAnsi="Arial" w:cs="Arial"/>
          <w:sz w:val="24"/>
          <w:szCs w:val="24"/>
        </w:rPr>
        <w:t xml:space="preserve">WELZEL, Hans. </w:t>
      </w:r>
      <w:r>
        <w:rPr>
          <w:rFonts w:ascii="Arial" w:eastAsia="Arial" w:hAnsi="Arial" w:cs="Arial"/>
          <w:b/>
          <w:bCs/>
          <w:i/>
          <w:iCs/>
          <w:sz w:val="24"/>
          <w:szCs w:val="24"/>
        </w:rPr>
        <w:t>El nuevo</w:t>
      </w:r>
      <w:r>
        <w:rPr>
          <w:rFonts w:ascii="Arial" w:eastAsia="Arial" w:hAnsi="Arial" w:cs="Arial"/>
          <w:b/>
          <w:bCs/>
          <w:sz w:val="24"/>
          <w:szCs w:val="24"/>
        </w:rPr>
        <w:t xml:space="preserve"> sistema </w:t>
      </w:r>
      <w:r>
        <w:rPr>
          <w:rFonts w:ascii="Arial" w:eastAsia="Arial" w:hAnsi="Arial" w:cs="Arial"/>
          <w:b/>
          <w:bCs/>
          <w:i/>
          <w:iCs/>
          <w:sz w:val="24"/>
          <w:szCs w:val="24"/>
        </w:rPr>
        <w:t>del derecho</w:t>
      </w:r>
      <w:r>
        <w:rPr>
          <w:rFonts w:ascii="Arial" w:eastAsia="Arial" w:hAnsi="Arial" w:cs="Arial"/>
          <w:b/>
          <w:bCs/>
          <w:sz w:val="24"/>
          <w:szCs w:val="24"/>
        </w:rPr>
        <w:t xml:space="preserve"> penal: parte general</w:t>
      </w:r>
      <w:r>
        <w:rPr>
          <w:rFonts w:ascii="Arial" w:eastAsia="Arial" w:hAnsi="Arial" w:cs="Arial"/>
          <w:sz w:val="24"/>
          <w:szCs w:val="24"/>
        </w:rPr>
        <w:t>. Buenos Aires; Montevideo: Editorial B de F, 2004. Disponível em: https://www.academia.edu/27959241/Welzel_hans_el_nuevo_sistema_del_derecho_penal. Acesso em: 18 nov. 2025.</w:t>
      </w:r>
    </w:p>
    <w:p w:rsidR="009D60B7" w:rsidRDefault="009D60B7">
      <w:pPr>
        <w:rPr>
          <w:rFonts w:ascii="Times New Roman" w:eastAsia="Arial" w:hAnsi="Times New Roman" w:cs="Times New Roman"/>
        </w:rPr>
      </w:pPr>
    </w:p>
    <w:p w:rsidR="009D60B7" w:rsidRDefault="009D60B7">
      <w:pPr>
        <w:jc w:val="both"/>
        <w:rPr>
          <w:rFonts w:ascii="Times New Roman" w:eastAsia="Arial" w:hAnsi="Times New Roman" w:cs="Times New Roman"/>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rPr>
          <w:rFonts w:ascii="Arial" w:hAnsi="Arial"/>
          <w:b/>
          <w:bCs/>
          <w:sz w:val="20"/>
          <w:szCs w:val="20"/>
          <w:highlight w:val="yellow"/>
          <w:lang w:val="pt-BR"/>
        </w:rPr>
      </w:pPr>
    </w:p>
    <w:p w:rsidR="009D60B7" w:rsidRDefault="009D60B7">
      <w:pPr>
        <w:ind w:right="136"/>
        <w:jc w:val="both"/>
        <w:rPr>
          <w:rFonts w:ascii="Arial" w:eastAsia="Times New Roman" w:hAnsi="Arial" w:cs="Times New Roman"/>
          <w:color w:val="1155CC"/>
          <w:sz w:val="20"/>
          <w:szCs w:val="20"/>
          <w:highlight w:val="yellow"/>
          <w:u w:val="single"/>
          <w:lang w:val="pt-BR"/>
        </w:rPr>
      </w:pPr>
    </w:p>
    <w:p w:rsidR="009D60B7" w:rsidRDefault="009D60B7">
      <w:pPr>
        <w:ind w:left="142" w:right="142" w:hanging="10"/>
        <w:rPr>
          <w:rFonts w:ascii="Arial" w:hAnsi="Arial" w:cs="Times New Roman"/>
          <w:b/>
          <w:bCs/>
          <w:sz w:val="20"/>
          <w:szCs w:val="20"/>
        </w:rPr>
      </w:pPr>
    </w:p>
    <w:p w:rsidR="009D60B7" w:rsidRDefault="009D60B7">
      <w:pPr>
        <w:ind w:left="142" w:right="142" w:hanging="10"/>
        <w:rPr>
          <w:rFonts w:ascii="Arial" w:hAnsi="Arial" w:cs="Times New Roman"/>
          <w:sz w:val="20"/>
          <w:szCs w:val="20"/>
        </w:rPr>
      </w:pPr>
    </w:p>
    <w:p w:rsidR="009D60B7" w:rsidRDefault="009D60B7">
      <w:pPr>
        <w:ind w:left="142" w:right="142" w:hanging="10"/>
        <w:rPr>
          <w:rFonts w:ascii="Arial" w:hAnsi="Arial" w:cs="Times New Roman"/>
          <w:sz w:val="20"/>
          <w:szCs w:val="20"/>
        </w:rPr>
      </w:pPr>
    </w:p>
    <w:p w:rsidR="009D60B7" w:rsidRDefault="009D60B7">
      <w:pPr>
        <w:spacing w:line="360" w:lineRule="auto"/>
        <w:jc w:val="both"/>
        <w:rPr>
          <w:rFonts w:ascii="Arial" w:hAnsi="Arial"/>
          <w:sz w:val="20"/>
          <w:szCs w:val="20"/>
        </w:rPr>
      </w:pPr>
    </w:p>
    <w:p w:rsidR="009D60B7" w:rsidRDefault="009D60B7">
      <w:pPr>
        <w:spacing w:line="360" w:lineRule="auto"/>
        <w:jc w:val="both"/>
        <w:rPr>
          <w:rFonts w:ascii="Arial" w:hAnsi="Arial" w:cs="Arial"/>
          <w:b/>
          <w:bCs/>
          <w:sz w:val="20"/>
          <w:szCs w:val="20"/>
        </w:rPr>
      </w:pPr>
    </w:p>
    <w:p w:rsidR="009D60B7" w:rsidRPr="004925B1" w:rsidRDefault="00425C09" w:rsidP="004925B1">
      <w:pPr>
        <w:jc w:val="center"/>
        <w:rPr>
          <w:rFonts w:ascii="Arial" w:hAnsi="Arial" w:cs="Arial"/>
          <w:b/>
          <w:bCs/>
          <w:sz w:val="28"/>
          <w:szCs w:val="28"/>
        </w:rPr>
      </w:pPr>
      <w:r w:rsidRPr="004925B1">
        <w:rPr>
          <w:rFonts w:ascii="Arial" w:hAnsi="Arial" w:cs="Arial"/>
          <w:b/>
          <w:bCs/>
          <w:sz w:val="28"/>
          <w:szCs w:val="28"/>
        </w:rPr>
        <w:lastRenderedPageBreak/>
        <w:t>O PAPEL DA ASSISTÊNCIA À ACUSAÇÃO NA EFETIVAÇÃO DOS DIREITOS DA VÍTIMA: A POSSIBILIDADE DE ATUAÇÃO DO ADVOGADO DA VÍTIMA NA FASE INVESTIGATIVA</w:t>
      </w:r>
    </w:p>
    <w:p w:rsidR="009D60B7" w:rsidRDefault="009D60B7">
      <w:pPr>
        <w:pStyle w:val="Corpodetexto"/>
        <w:spacing w:before="58" w:line="360" w:lineRule="auto"/>
        <w:rPr>
          <w:rFonts w:ascii="Arial" w:hAnsi="Arial"/>
          <w:b/>
          <w:sz w:val="24"/>
          <w:szCs w:val="24"/>
        </w:rPr>
      </w:pPr>
    </w:p>
    <w:p w:rsidR="009D60B7" w:rsidRDefault="00425C09">
      <w:pPr>
        <w:pStyle w:val="Corpodetexto"/>
        <w:ind w:right="14"/>
        <w:jc w:val="center"/>
        <w:rPr>
          <w:rFonts w:ascii="Arial" w:hAnsi="Arial"/>
          <w:sz w:val="24"/>
          <w:szCs w:val="24"/>
        </w:rPr>
      </w:pPr>
      <w:r>
        <w:rPr>
          <w:rFonts w:ascii="Arial" w:hAnsi="Arial" w:cs="Arial"/>
          <w:sz w:val="24"/>
          <w:szCs w:val="24"/>
        </w:rPr>
        <w:t>Maria Eduarda Guilherme Santana</w:t>
      </w:r>
      <w:r>
        <w:rPr>
          <w:rStyle w:val="Refdenotaderodap"/>
          <w:rFonts w:ascii="Arial" w:hAnsi="Arial" w:cs="Arial"/>
          <w:sz w:val="24"/>
          <w:szCs w:val="24"/>
        </w:rPr>
        <w:footnoteReference w:id="47"/>
      </w:r>
    </w:p>
    <w:p w:rsidR="009D60B7" w:rsidRDefault="00425C09">
      <w:pPr>
        <w:pStyle w:val="Corpodetexto"/>
        <w:ind w:right="14"/>
        <w:jc w:val="center"/>
        <w:rPr>
          <w:rFonts w:ascii="Arial" w:hAnsi="Arial"/>
          <w:sz w:val="24"/>
          <w:szCs w:val="24"/>
        </w:rPr>
      </w:pPr>
      <w:r>
        <w:rPr>
          <w:rFonts w:ascii="Arial" w:hAnsi="Arial" w:cs="Arial"/>
          <w:sz w:val="24"/>
          <w:szCs w:val="24"/>
        </w:rPr>
        <w:t xml:space="preserve">Victor Gabriel Lourenço da Silva </w:t>
      </w:r>
      <w:r>
        <w:rPr>
          <w:rStyle w:val="Refdenotaderodap"/>
          <w:rFonts w:ascii="Arial" w:hAnsi="Arial" w:cs="Arial"/>
          <w:sz w:val="24"/>
          <w:szCs w:val="24"/>
        </w:rPr>
        <w:footnoteReference w:id="48"/>
      </w:r>
    </w:p>
    <w:p w:rsidR="009D60B7" w:rsidRDefault="00425C09">
      <w:pPr>
        <w:pStyle w:val="Corpodetexto"/>
        <w:ind w:right="14"/>
        <w:jc w:val="center"/>
        <w:rPr>
          <w:rFonts w:ascii="Arial" w:hAnsi="Arial"/>
          <w:sz w:val="24"/>
          <w:szCs w:val="24"/>
        </w:rPr>
      </w:pPr>
      <w:r>
        <w:rPr>
          <w:rFonts w:ascii="Arial" w:hAnsi="Arial" w:cs="Arial"/>
          <w:sz w:val="24"/>
          <w:szCs w:val="24"/>
        </w:rPr>
        <w:t>Cristiane Ingrid de Souza Bonfim</w:t>
      </w:r>
      <w:r>
        <w:rPr>
          <w:rFonts w:ascii="Arial" w:hAnsi="Arial" w:cs="Arial"/>
          <w:spacing w:val="-25"/>
          <w:sz w:val="24"/>
          <w:szCs w:val="24"/>
        </w:rPr>
        <w:t xml:space="preserve"> </w:t>
      </w:r>
      <w:r>
        <w:rPr>
          <w:rStyle w:val="Refdenotaderodap"/>
          <w:rFonts w:ascii="Arial" w:hAnsi="Arial" w:cs="Arial"/>
          <w:spacing w:val="-16"/>
          <w:sz w:val="24"/>
          <w:szCs w:val="24"/>
        </w:rPr>
        <w:footnoteReference w:id="49"/>
      </w:r>
    </w:p>
    <w:p w:rsidR="009D60B7" w:rsidRDefault="009D60B7">
      <w:pPr>
        <w:pStyle w:val="Corpodetexto"/>
        <w:spacing w:before="58" w:line="360" w:lineRule="auto"/>
        <w:rPr>
          <w:rFonts w:ascii="Arial" w:hAnsi="Arial"/>
          <w:b/>
          <w:bCs/>
          <w:sz w:val="24"/>
          <w:szCs w:val="24"/>
        </w:rPr>
      </w:pPr>
    </w:p>
    <w:p w:rsidR="009D60B7" w:rsidRPr="000D2BCD" w:rsidRDefault="00425C09">
      <w:pPr>
        <w:pStyle w:val="Ttulo1"/>
        <w:spacing w:line="360" w:lineRule="auto"/>
        <w:rPr>
          <w:rFonts w:ascii="Arial" w:hAnsi="Arial"/>
          <w:bCs/>
          <w:sz w:val="24"/>
          <w:szCs w:val="24"/>
        </w:rPr>
      </w:pPr>
      <w:bookmarkStart w:id="35" w:name="RESUMO__"/>
      <w:bookmarkEnd w:id="35"/>
      <w:r w:rsidRPr="000D2BCD">
        <w:rPr>
          <w:rFonts w:ascii="Arial" w:hAnsi="Arial" w:cs="Arial"/>
          <w:bCs/>
          <w:spacing w:val="-2"/>
          <w:sz w:val="24"/>
          <w:szCs w:val="24"/>
        </w:rPr>
        <w:t>RESUMO</w:t>
      </w:r>
    </w:p>
    <w:p w:rsidR="009D60B7" w:rsidRDefault="00425C09">
      <w:pPr>
        <w:jc w:val="both"/>
        <w:rPr>
          <w:rFonts w:ascii="Arial" w:hAnsi="Arial"/>
          <w:sz w:val="20"/>
          <w:szCs w:val="20"/>
        </w:rPr>
      </w:pPr>
      <w:r>
        <w:rPr>
          <w:rFonts w:ascii="Arial" w:hAnsi="Arial" w:cs="Arial"/>
          <w:sz w:val="20"/>
          <w:szCs w:val="20"/>
        </w:rPr>
        <w:t xml:space="preserve">O presente trabalho analisa o papel da assistência à acusação na efetivação dos direitos da vítima no processo penal brasileiro, com ênfase na possibilidade de atuação do advogado da vítima ainda na fase investigativa. Tradicionalmente, a assistência à acusação é compreendida como instituto aplicável apenas após o recebimento da denúncia, conforme previsto no artigo 268 do Código de Processo Penal, o que limita a participação formal da vítima e de seu representante legal ao momento posterior ao início da ação penal. </w:t>
      </w:r>
      <w:r>
        <w:rPr>
          <w:rFonts w:ascii="Arial" w:hAnsi="Arial" w:cs="Arial"/>
          <w:sz w:val="20"/>
          <w:szCs w:val="20"/>
          <w:lang w:val="pt-BR"/>
        </w:rPr>
        <w:t xml:space="preserve">A </w:t>
      </w:r>
      <w:r>
        <w:rPr>
          <w:rFonts w:ascii="Arial" w:hAnsi="Arial" w:cs="Arial"/>
          <w:sz w:val="20"/>
          <w:szCs w:val="20"/>
        </w:rPr>
        <w:t>evolução constitucional e o fortalecimento dos instrumentos internacionais de proteção aos direitos humanos têm ampliado o debate acerca da necessidade de maior participação da vítima no sistema de justiça criminal. Nesse contexto, o estudo busca analisar se a interpretação restritiva do referido dispositivo legal é compatível com os princípios constitucionais do devido processo legal, da dignidade da pessoa humana e do acesso à justiça. Como objetivo geral, pretende-se examinar a possibilidade jurídica de ampliação d</w:t>
      </w:r>
      <w:r>
        <w:rPr>
          <w:rStyle w:val="Refdenotaderodap"/>
          <w:rFonts w:ascii="Arial" w:hAnsi="Arial" w:cs="Arial"/>
          <w:sz w:val="20"/>
          <w:szCs w:val="20"/>
        </w:rPr>
        <w:footnoteReference w:id="50"/>
      </w:r>
      <w:r>
        <w:rPr>
          <w:rFonts w:ascii="Arial" w:hAnsi="Arial" w:cs="Arial"/>
          <w:sz w:val="20"/>
          <w:szCs w:val="20"/>
        </w:rPr>
        <w:t>a atuação do advogado da vítima na fase investigativa. A metodologia utilizada baseia-se em pesquisa bibliográfica e legislativa, com análise de doutrina, legislação nacional e instrumentos internacionais, bem como decisões da Corte Interamericana de Direitos Humanos e resoluções institucionais relacionadas à proteção das vítimas. Conclui-se que a ampliação da participação da vítima, por meio de seu advogado, na fase investigativa é juridicamente possível e compatível com os princípios constitucionais do devido processo legal, da dignidade da pessoa humana e do acesso à justiça. Essa ampliação contribui para o fortalecimento da proteção dos direitos da vítima e para a democratização do processo penal</w:t>
      </w:r>
      <w:r>
        <w:rPr>
          <w:rFonts w:ascii="Arial" w:hAnsi="Arial" w:cs="Arial"/>
          <w:sz w:val="20"/>
          <w:szCs w:val="20"/>
          <w:lang w:val="pt-BR"/>
        </w:rPr>
        <w:t>.</w:t>
      </w:r>
    </w:p>
    <w:p w:rsidR="009D60B7" w:rsidRDefault="009D60B7">
      <w:pPr>
        <w:spacing w:line="360" w:lineRule="auto"/>
        <w:jc w:val="both"/>
        <w:rPr>
          <w:rFonts w:ascii="Arial" w:hAnsi="Arial" w:cs="Arial"/>
          <w:sz w:val="20"/>
          <w:szCs w:val="20"/>
          <w:lang w:val="pt-BR"/>
        </w:rPr>
      </w:pPr>
    </w:p>
    <w:p w:rsidR="009D60B7" w:rsidRDefault="0044516C">
      <w:pPr>
        <w:spacing w:line="360" w:lineRule="auto"/>
        <w:jc w:val="both"/>
        <w:rPr>
          <w:rFonts w:ascii="Arial" w:hAnsi="Arial" w:cs="Arial"/>
          <w:b/>
          <w:bCs/>
          <w:sz w:val="20"/>
          <w:szCs w:val="20"/>
        </w:rPr>
      </w:pPr>
      <w:r>
        <w:rPr>
          <w:rFonts w:ascii="Arial" w:hAnsi="Arial" w:cs="Arial"/>
          <w:b/>
          <w:bCs/>
          <w:sz w:val="20"/>
          <w:szCs w:val="20"/>
        </w:rPr>
        <w:t>PALAVRAS-CHAVE</w:t>
      </w:r>
      <w:r w:rsidR="00425C09">
        <w:rPr>
          <w:rFonts w:ascii="Arial" w:hAnsi="Arial" w:cs="Arial"/>
          <w:b/>
          <w:bCs/>
          <w:sz w:val="20"/>
          <w:szCs w:val="20"/>
        </w:rPr>
        <w:t>:</w:t>
      </w:r>
      <w:r w:rsidR="00425C09">
        <w:rPr>
          <w:rFonts w:ascii="Arial" w:hAnsi="Arial" w:cs="Arial"/>
          <w:sz w:val="20"/>
          <w:szCs w:val="20"/>
        </w:rPr>
        <w:t xml:space="preserve"> assistência à acusação. vítima. processo penal. investigação criminal. direitos humanos.</w:t>
      </w:r>
    </w:p>
    <w:p w:rsidR="009D60B7" w:rsidRDefault="009D60B7">
      <w:pPr>
        <w:spacing w:line="360" w:lineRule="auto"/>
        <w:jc w:val="both"/>
        <w:rPr>
          <w:rFonts w:ascii="Arial" w:hAnsi="Arial" w:cs="Arial"/>
          <w:b/>
          <w:bCs/>
          <w:sz w:val="20"/>
          <w:szCs w:val="20"/>
        </w:rPr>
      </w:pPr>
    </w:p>
    <w:p w:rsidR="009D60B7" w:rsidRDefault="00425C09">
      <w:pPr>
        <w:spacing w:line="360" w:lineRule="auto"/>
        <w:jc w:val="both"/>
        <w:rPr>
          <w:rFonts w:ascii="Arial" w:hAnsi="Arial" w:cs="Arial"/>
          <w:sz w:val="24"/>
          <w:szCs w:val="24"/>
        </w:rPr>
      </w:pPr>
      <w:r>
        <w:rPr>
          <w:rFonts w:ascii="Arial" w:hAnsi="Arial" w:cs="Arial"/>
          <w:sz w:val="24"/>
          <w:szCs w:val="24"/>
        </w:rPr>
        <w:t>INTRODUÇÃO</w:t>
      </w:r>
    </w:p>
    <w:p w:rsidR="009D60B7" w:rsidRDefault="00425C09">
      <w:pPr>
        <w:spacing w:line="360" w:lineRule="auto"/>
        <w:ind w:firstLine="708"/>
        <w:jc w:val="both"/>
        <w:rPr>
          <w:rFonts w:ascii="Arial" w:hAnsi="Arial"/>
          <w:sz w:val="24"/>
          <w:szCs w:val="24"/>
        </w:rPr>
      </w:pPr>
      <w:r>
        <w:rPr>
          <w:rFonts w:ascii="Arial" w:hAnsi="Arial" w:cs="Arial"/>
          <w:sz w:val="24"/>
          <w:szCs w:val="24"/>
        </w:rPr>
        <w:t>O processo penal brasileiro, historicamente estruturado sob forte influência do modelo acusatório estatal, atribuiu ao Ministério Público o protagonismo da persecução penal, relegando à vítima papel secundário no desenvolvimento da ação penal pública.</w:t>
      </w:r>
    </w:p>
    <w:p w:rsidR="009D60B7" w:rsidRDefault="00425C09" w:rsidP="004925B1">
      <w:pPr>
        <w:spacing w:line="360" w:lineRule="auto"/>
        <w:ind w:firstLine="708"/>
        <w:jc w:val="both"/>
        <w:rPr>
          <w:rFonts w:ascii="Arial" w:hAnsi="Arial"/>
          <w:sz w:val="24"/>
          <w:szCs w:val="24"/>
        </w:rPr>
      </w:pPr>
      <w:r>
        <w:rPr>
          <w:rFonts w:ascii="Arial" w:hAnsi="Arial" w:cs="Arial"/>
          <w:sz w:val="24"/>
          <w:szCs w:val="24"/>
        </w:rPr>
        <w:t xml:space="preserve">Nesse contexto, a assistência à acusação foi concebida como instrumento de atuação acessória, permitindo ao ofendido colaborar com o órgão acusador apenas após o recebimento da denúncia. Entretanto, a evolução do constitucionalismo </w:t>
      </w:r>
      <w:r>
        <w:rPr>
          <w:rFonts w:ascii="Arial" w:hAnsi="Arial" w:cs="Arial"/>
          <w:sz w:val="24"/>
          <w:szCs w:val="24"/>
        </w:rPr>
        <w:lastRenderedPageBreak/>
        <w:t>contemporâneo e a incorporação de tratados internacionais de direitos humanos modificaram substancialmente a posição jurídica da vítima no sistema de justiça criminal</w:t>
      </w:r>
      <w:r w:rsidR="004925B1">
        <w:rPr>
          <w:rFonts w:ascii="Arial" w:hAnsi="Arial" w:cs="Arial"/>
          <w:sz w:val="24"/>
          <w:szCs w:val="24"/>
        </w:rPr>
        <w:t>.</w:t>
      </w:r>
      <w:r>
        <w:rPr>
          <w:rFonts w:ascii="Arial" w:hAnsi="Arial" w:cs="Arial"/>
          <w:sz w:val="24"/>
          <w:szCs w:val="24"/>
          <w:lang w:val="pt-BR"/>
        </w:rPr>
        <w:tab/>
      </w:r>
      <w:r>
        <w:rPr>
          <w:rFonts w:ascii="Arial" w:hAnsi="Arial" w:cs="Arial"/>
          <w:sz w:val="24"/>
          <w:szCs w:val="24"/>
        </w:rPr>
        <w:t>A vítima passou a ser reconhecida como sujeito de direitos processuais, e não mais como mera espectadora do conflito penal</w:t>
      </w:r>
      <w:r>
        <w:rPr>
          <w:rFonts w:ascii="Arial" w:hAnsi="Arial" w:cs="Arial"/>
          <w:sz w:val="24"/>
          <w:szCs w:val="24"/>
          <w:lang w:val="pt-BR"/>
        </w:rPr>
        <w:t xml:space="preserve">. </w:t>
      </w:r>
      <w:r>
        <w:rPr>
          <w:rFonts w:ascii="Arial" w:hAnsi="Arial"/>
          <w:sz w:val="24"/>
          <w:szCs w:val="24"/>
          <w:lang w:val="pt-BR"/>
        </w:rPr>
        <w:t>Diante dessa transformação, surge o questionamento central deste estudo: é juridicamente possível admitir a atuação da assistência à acusação ainda na fase investigativa, especialmente no inquérito policial, assim teremos essa investigação.</w:t>
      </w:r>
    </w:p>
    <w:p w:rsidR="009D60B7" w:rsidRDefault="00425C09">
      <w:pPr>
        <w:spacing w:line="360" w:lineRule="auto"/>
        <w:ind w:firstLine="708"/>
        <w:jc w:val="both"/>
        <w:rPr>
          <w:rFonts w:ascii="Arial" w:hAnsi="Arial"/>
          <w:sz w:val="24"/>
          <w:szCs w:val="24"/>
        </w:rPr>
      </w:pPr>
      <w:r>
        <w:rPr>
          <w:rFonts w:ascii="Arial" w:hAnsi="Arial"/>
          <w:sz w:val="24"/>
          <w:szCs w:val="24"/>
          <w:lang w:val="pt-BR"/>
        </w:rPr>
        <w:t>O objetivo geral da pesquisa consiste em analisar a possibilidade de ampliação da atuação do advogado da vítima para além do momento processual tradicionalmente previsto no Código de Processo Penal. Como objetivos específicos tem-se: a) examinar o fundamento legal da assistência à acusação; b) discutir a interpretação restritiva do artigo 268 do CPP; e c) analisar a influência das normas internacionais de proteção às vítimas e avaliar a compatibilidade da ampliação da atuação com o modelo acusatório constitucional.</w:t>
      </w:r>
    </w:p>
    <w:p w:rsidR="009D60B7" w:rsidRDefault="00425C09">
      <w:pPr>
        <w:spacing w:line="360" w:lineRule="auto"/>
        <w:ind w:firstLine="708"/>
        <w:jc w:val="both"/>
        <w:rPr>
          <w:rFonts w:ascii="Arial" w:hAnsi="Arial"/>
          <w:sz w:val="24"/>
          <w:szCs w:val="24"/>
          <w:lang w:val="pt-BR"/>
        </w:rPr>
      </w:pPr>
      <w:r>
        <w:rPr>
          <w:rFonts w:ascii="Arial" w:hAnsi="Arial"/>
          <w:sz w:val="24"/>
          <w:szCs w:val="24"/>
          <w:lang w:val="pt-BR"/>
        </w:rPr>
        <w:t>A metodologia utilizada é de natureza qualitativa, com base em pesquisa bibliográfica, legislativa e análise de decisões e normativas relevantes. O trabalho está estruturado em três partes principais: a primeira aborda a assistência à acusação sob a perspectiva legal e doutrinária; a segunda discute a posição da vítima no inquérito policial e o impacto das normas internacionais; a terceira analisa a viabilidade jurídica da ampliação da atuação na fase investigativa.</w:t>
      </w:r>
    </w:p>
    <w:p w:rsidR="009D60B7" w:rsidRPr="006B67FF" w:rsidRDefault="009D60B7">
      <w:pPr>
        <w:spacing w:line="360" w:lineRule="auto"/>
        <w:ind w:firstLine="708"/>
        <w:jc w:val="both"/>
        <w:rPr>
          <w:rFonts w:ascii="Arial" w:hAnsi="Arial"/>
          <w:sz w:val="24"/>
          <w:szCs w:val="24"/>
          <w:lang w:val="pt-BR"/>
        </w:rPr>
      </w:pPr>
    </w:p>
    <w:p w:rsidR="009D60B7" w:rsidRPr="006B67FF" w:rsidRDefault="00425C09">
      <w:pPr>
        <w:pStyle w:val="NormalWeb"/>
        <w:widowControl/>
        <w:spacing w:beforeAutospacing="0" w:afterAutospacing="0" w:line="360" w:lineRule="auto"/>
        <w:jc w:val="both"/>
        <w:rPr>
          <w:rFonts w:ascii="Arial" w:hAnsi="Arial"/>
        </w:rPr>
      </w:pPr>
      <w:r w:rsidRPr="006B67FF">
        <w:rPr>
          <w:rFonts w:ascii="Arial" w:hAnsi="Arial" w:cs="Arial"/>
          <w:bCs/>
          <w:w w:val="105"/>
          <w:lang w:val="pt-BR"/>
        </w:rPr>
        <w:t>1 A</w:t>
      </w:r>
      <w:r w:rsidRPr="006B67FF">
        <w:rPr>
          <w:rFonts w:ascii="Arial" w:hAnsi="Arial" w:cs="Arial"/>
          <w:bCs/>
          <w:spacing w:val="-10"/>
          <w:w w:val="105"/>
        </w:rPr>
        <w:t xml:space="preserve"> </w:t>
      </w:r>
      <w:r w:rsidRPr="006B67FF">
        <w:rPr>
          <w:rFonts w:ascii="Arial" w:hAnsi="Arial" w:cs="Arial"/>
          <w:bCs/>
          <w:spacing w:val="-10"/>
          <w:w w:val="105"/>
          <w:lang w:val="pt-BR"/>
        </w:rPr>
        <w:t>A</w:t>
      </w:r>
      <w:r w:rsidRPr="006B67FF">
        <w:rPr>
          <w:rFonts w:ascii="Arial" w:hAnsi="Arial" w:cs="Arial"/>
          <w:bCs/>
          <w:w w:val="105"/>
        </w:rPr>
        <w:t>SSISTÊNCIA</w:t>
      </w:r>
      <w:r w:rsidRPr="006B67FF">
        <w:rPr>
          <w:rFonts w:ascii="Arial" w:hAnsi="Arial" w:cs="Arial"/>
          <w:bCs/>
          <w:spacing w:val="-6"/>
          <w:w w:val="105"/>
        </w:rPr>
        <w:t xml:space="preserve"> </w:t>
      </w:r>
      <w:r w:rsidRPr="006B67FF">
        <w:rPr>
          <w:rFonts w:ascii="Arial" w:hAnsi="Arial" w:cs="Arial"/>
          <w:bCs/>
          <w:w w:val="105"/>
        </w:rPr>
        <w:t>À</w:t>
      </w:r>
      <w:r w:rsidRPr="006B67FF">
        <w:rPr>
          <w:rFonts w:ascii="Arial" w:hAnsi="Arial" w:cs="Arial"/>
          <w:bCs/>
          <w:spacing w:val="-8"/>
          <w:w w:val="105"/>
        </w:rPr>
        <w:t xml:space="preserve"> </w:t>
      </w:r>
      <w:r w:rsidRPr="006B67FF">
        <w:rPr>
          <w:rFonts w:ascii="Arial" w:hAnsi="Arial" w:cs="Arial"/>
          <w:bCs/>
          <w:w w:val="105"/>
        </w:rPr>
        <w:t>ACUSAÇÃO</w:t>
      </w:r>
      <w:r w:rsidRPr="006B67FF">
        <w:rPr>
          <w:rFonts w:ascii="Arial" w:hAnsi="Arial" w:cs="Arial"/>
          <w:bCs/>
          <w:spacing w:val="-9"/>
          <w:w w:val="105"/>
        </w:rPr>
        <w:t xml:space="preserve"> </w:t>
      </w:r>
      <w:r w:rsidRPr="006B67FF">
        <w:rPr>
          <w:rFonts w:ascii="Arial" w:hAnsi="Arial" w:cs="Arial"/>
          <w:bCs/>
          <w:w w:val="105"/>
        </w:rPr>
        <w:t>NO</w:t>
      </w:r>
      <w:r w:rsidRPr="006B67FF">
        <w:rPr>
          <w:rFonts w:ascii="Arial" w:hAnsi="Arial" w:cs="Arial"/>
          <w:bCs/>
          <w:spacing w:val="-8"/>
          <w:w w:val="105"/>
        </w:rPr>
        <w:t xml:space="preserve"> </w:t>
      </w:r>
      <w:r w:rsidRPr="006B67FF">
        <w:rPr>
          <w:rFonts w:ascii="Arial" w:hAnsi="Arial" w:cs="Arial"/>
          <w:bCs/>
          <w:w w:val="105"/>
        </w:rPr>
        <w:t>PROCESSO</w:t>
      </w:r>
      <w:r w:rsidRPr="006B67FF">
        <w:rPr>
          <w:rFonts w:ascii="Arial" w:hAnsi="Arial" w:cs="Arial"/>
          <w:bCs/>
          <w:spacing w:val="-6"/>
          <w:w w:val="105"/>
        </w:rPr>
        <w:t xml:space="preserve"> </w:t>
      </w:r>
      <w:r w:rsidRPr="006B67FF">
        <w:rPr>
          <w:rFonts w:ascii="Arial" w:hAnsi="Arial" w:cs="Arial"/>
          <w:bCs/>
          <w:w w:val="105"/>
        </w:rPr>
        <w:t>PENAL</w:t>
      </w:r>
      <w:r w:rsidRPr="006B67FF">
        <w:rPr>
          <w:rFonts w:ascii="Arial" w:hAnsi="Arial" w:cs="Arial"/>
          <w:bCs/>
          <w:spacing w:val="-8"/>
          <w:w w:val="105"/>
        </w:rPr>
        <w:t xml:space="preserve"> </w:t>
      </w:r>
      <w:r w:rsidRPr="006B67FF">
        <w:rPr>
          <w:rFonts w:ascii="Arial" w:hAnsi="Arial" w:cs="Arial"/>
          <w:bCs/>
          <w:spacing w:val="-2"/>
          <w:w w:val="105"/>
        </w:rPr>
        <w:t>BRASILEIRO</w:t>
      </w:r>
    </w:p>
    <w:p w:rsidR="009D60B7" w:rsidRDefault="00425C09">
      <w:pPr>
        <w:pStyle w:val="NormalWeb"/>
        <w:widowControl/>
        <w:spacing w:beforeAutospacing="0" w:afterAutospacing="0" w:line="360" w:lineRule="auto"/>
        <w:ind w:firstLine="708"/>
        <w:jc w:val="both"/>
        <w:rPr>
          <w:rFonts w:ascii="Arial" w:hAnsi="Arial" w:cs="Arial"/>
        </w:rPr>
      </w:pPr>
      <w:r>
        <w:rPr>
          <w:rFonts w:ascii="Arial" w:hAnsi="Arial" w:cs="Arial"/>
        </w:rPr>
        <w:t xml:space="preserve">A assistência à acusação está prevista nos artigos 268 a 273 do Código de Processo Penal (1941), permitindo ao ofendido ou seu representante legal intervir na ação penal pública como auxiliar do Ministério Público. Trata-se de instrumento tradicional do sistema processual penal brasileiro, cuja finalidade consiste em ampliar a participação da vítima na persecução penal. </w:t>
      </w:r>
    </w:p>
    <w:p w:rsidR="009D60B7" w:rsidRDefault="00425C09">
      <w:pPr>
        <w:pStyle w:val="NormalWeb"/>
        <w:widowControl/>
        <w:spacing w:beforeAutospacing="0" w:afterAutospacing="0" w:line="360" w:lineRule="auto"/>
        <w:ind w:firstLine="708"/>
        <w:jc w:val="both"/>
        <w:rPr>
          <w:rFonts w:ascii="Arial" w:hAnsi="Arial"/>
        </w:rPr>
      </w:pPr>
      <w:r>
        <w:rPr>
          <w:rFonts w:ascii="Arial" w:hAnsi="Arial" w:cs="Arial"/>
        </w:rPr>
        <w:t>A ação penal é o instrumento processual por meio do qual se provoca a jurisdição para que o Estado exerça diante da prática de uma infração penal. Trata-se do procedimento judicial iniciado pelo titular da ação quando há indícios suficientes de autoria e materialidade delitiva, a fim de que o juiz declare procedente a pretensão punitiva estatal e condene o autor da infração (Estefam, 2025).</w:t>
      </w:r>
      <w:r>
        <w:rPr>
          <w:rFonts w:ascii="Arial" w:hAnsi="Arial" w:cs="Arial"/>
          <w:lang w:val="pt-BR"/>
        </w:rPr>
        <w:t xml:space="preserve"> </w:t>
      </w:r>
      <w:r>
        <w:rPr>
          <w:rFonts w:ascii="Arial" w:hAnsi="Arial" w:cs="Arial"/>
        </w:rPr>
        <w:t xml:space="preserve">Nucci (2025) afirma que a ação penal pode ser dividida em pública e privada. </w:t>
      </w:r>
    </w:p>
    <w:p w:rsidR="009D60B7" w:rsidRDefault="00425C09">
      <w:pPr>
        <w:pStyle w:val="NormalWeb"/>
        <w:widowControl/>
        <w:spacing w:beforeAutospacing="0" w:afterAutospacing="0" w:line="360" w:lineRule="auto"/>
        <w:ind w:firstLine="706"/>
        <w:jc w:val="both"/>
        <w:rPr>
          <w:rFonts w:ascii="Arial" w:hAnsi="Arial" w:cs="Arial"/>
        </w:rPr>
      </w:pPr>
      <w:r>
        <w:rPr>
          <w:rFonts w:ascii="Arial" w:hAnsi="Arial" w:cs="Arial"/>
        </w:rPr>
        <w:lastRenderedPageBreak/>
        <w:t>A ação penal privada é aquela cuja iniciativa compete exclusivamente ao ofendido ou a seu representante legal, sendo expressamente indicada pelo legislador no tipo penal correspondente ao delito perpetrado, seja no Código Penal (1940) ou em legislação extravagante.</w:t>
      </w:r>
    </w:p>
    <w:p w:rsidR="009D60B7" w:rsidRDefault="00425C09">
      <w:pPr>
        <w:pStyle w:val="NormalWeb"/>
        <w:widowControl/>
        <w:spacing w:beforeAutospacing="0" w:afterAutospacing="0" w:line="360" w:lineRule="auto"/>
        <w:ind w:firstLine="706"/>
        <w:jc w:val="both"/>
        <w:rPr>
          <w:rFonts w:ascii="Arial" w:hAnsi="Arial"/>
        </w:rPr>
      </w:pPr>
      <w:r>
        <w:rPr>
          <w:rFonts w:ascii="Arial" w:hAnsi="Arial" w:cs="Arial"/>
        </w:rPr>
        <w:t xml:space="preserve"> Nessa hipótese, o Estado somente poderá atuar mediante manifestação de vontade da vítima.</w:t>
      </w:r>
      <w:r>
        <w:rPr>
          <w:rFonts w:ascii="Arial" w:hAnsi="Arial" w:cs="Arial"/>
          <w:lang w:val="pt-BR"/>
        </w:rPr>
        <w:t xml:space="preserve"> </w:t>
      </w:r>
      <w:r>
        <w:rPr>
          <w:rFonts w:ascii="Arial" w:hAnsi="Arial" w:cs="Arial"/>
        </w:rPr>
        <w:t>Em contrapartida, a ação penal pública traduz-se nos casos em que não se depende da manifestação da vítima para que o Estado exerça o</w:t>
      </w:r>
      <w:r>
        <w:rPr>
          <w:rFonts w:ascii="Arial" w:hAnsi="Arial" w:cs="Arial"/>
          <w:i/>
          <w:iCs/>
        </w:rPr>
        <w:t xml:space="preserve"> jus puniendi</w:t>
      </w:r>
      <w:r>
        <w:rPr>
          <w:rFonts w:ascii="Arial" w:hAnsi="Arial" w:cs="Arial"/>
        </w:rPr>
        <w:t>. A titularidade pertence ao Ministério Público, nos termos do artigo 129, inciso I, da Constituição Federal de 1988, não sendo necessária representação da vítima, como ocorre, por exemplo, nos crimes de homicídio, roubo e estupro (ressalvadas as hipóteses legais específicas).</w:t>
      </w:r>
      <w:r>
        <w:rPr>
          <w:rFonts w:ascii="Arial" w:hAnsi="Arial" w:cs="Arial"/>
          <w:lang w:val="pt-BR"/>
        </w:rPr>
        <w:tab/>
      </w:r>
      <w:r>
        <w:rPr>
          <w:rFonts w:ascii="Arial" w:hAnsi="Arial" w:cs="Arial"/>
          <w:lang w:val="pt-BR"/>
        </w:rPr>
        <w:tab/>
      </w:r>
    </w:p>
    <w:p w:rsidR="009D60B7" w:rsidRPr="006B67FF" w:rsidRDefault="00425C09" w:rsidP="006B67FF">
      <w:pPr>
        <w:pStyle w:val="NormalWeb"/>
        <w:widowControl/>
        <w:spacing w:beforeAutospacing="0" w:afterAutospacing="0" w:line="360" w:lineRule="auto"/>
        <w:ind w:firstLine="706"/>
        <w:jc w:val="both"/>
        <w:rPr>
          <w:rFonts w:ascii="Arial" w:hAnsi="Arial"/>
        </w:rPr>
      </w:pPr>
      <w:r>
        <w:rPr>
          <w:rFonts w:ascii="Arial" w:hAnsi="Arial" w:cs="Arial"/>
        </w:rPr>
        <w:t>Após compreender o conceito de ação penal, faz-se necessário destacar o papel da vítima nos casos de ação penal pública. Durante muito tempo, a vítima foi relegada a papel secundário no processo penal, atuando basicamente como fonte de prova, sem efetiva participação na condução da persecução penal.</w:t>
      </w:r>
      <w:r>
        <w:rPr>
          <w:rFonts w:ascii="Arial" w:hAnsi="Arial" w:cs="Arial"/>
          <w:lang w:val="pt-BR"/>
        </w:rPr>
        <w:tab/>
      </w:r>
      <w:r>
        <w:rPr>
          <w:rFonts w:ascii="Arial" w:hAnsi="Arial" w:cs="Arial"/>
          <w:lang w:val="pt-BR"/>
        </w:rPr>
        <w:tab/>
      </w:r>
      <w:r>
        <w:rPr>
          <w:rFonts w:ascii="Arial" w:hAnsi="Arial" w:cs="Arial"/>
          <w:lang w:val="pt-BR"/>
        </w:rPr>
        <w:tab/>
      </w:r>
      <w:r>
        <w:rPr>
          <w:rFonts w:ascii="Arial" w:hAnsi="Arial" w:cs="Arial"/>
          <w:lang w:val="pt-BR"/>
        </w:rPr>
        <w:tab/>
      </w:r>
      <w:r>
        <w:rPr>
          <w:rFonts w:ascii="Arial" w:hAnsi="Arial" w:cs="Arial"/>
          <w:lang w:val="pt-BR"/>
        </w:rPr>
        <w:tab/>
      </w:r>
      <w:r>
        <w:rPr>
          <w:rFonts w:ascii="Arial" w:hAnsi="Arial" w:cs="Arial"/>
        </w:rPr>
        <w:t>Entretanto, a evolução constitucional entre a Constituição Imperial de 1824 e a atual Constituição Federal de 1988 revela significativa modificação na concepção de direitos e garantias fundamentais. A Constituição de 1988 consolidou um modelo garantista, fundado na dignidade da pessoa humana e no acesso à justiça, influenciando diretamente a releitura de institutos previstos no Código de Processo Penal de 1941.</w:t>
      </w:r>
      <w:r>
        <w:rPr>
          <w:rFonts w:ascii="Arial" w:hAnsi="Arial" w:cs="Arial"/>
          <w:lang w:val="pt-BR"/>
        </w:rPr>
        <w:tab/>
      </w:r>
      <w:r>
        <w:rPr>
          <w:rFonts w:ascii="Arial" w:hAnsi="Arial" w:cs="Arial"/>
          <w:lang w:val="pt-BR"/>
        </w:rPr>
        <w:tab/>
      </w:r>
      <w:r>
        <w:rPr>
          <w:rFonts w:ascii="Arial" w:hAnsi="Arial" w:cs="Arial"/>
        </w:rPr>
        <w:t>Conforme sustenta Lopes Júnior</w:t>
      </w:r>
      <w:r>
        <w:rPr>
          <w:rFonts w:ascii="Arial" w:hAnsi="Arial" w:cs="Arial"/>
          <w:lang w:val="pt-BR"/>
        </w:rPr>
        <w:t xml:space="preserve"> 2023</w:t>
      </w:r>
      <w:r>
        <w:rPr>
          <w:rFonts w:ascii="Arial" w:hAnsi="Arial" w:cs="Arial"/>
        </w:rPr>
        <w:t xml:space="preserve">: </w:t>
      </w:r>
      <w:r>
        <w:rPr>
          <w:rFonts w:ascii="Arial" w:hAnsi="Arial" w:cs="Arial"/>
          <w:lang w:val="pt-BR"/>
        </w:rPr>
        <w:t>“</w:t>
      </w:r>
      <w:r>
        <w:rPr>
          <w:rFonts w:ascii="Arial" w:hAnsi="Arial" w:cs="Arial"/>
        </w:rPr>
        <w:t>o processo penal deve ser compreendido como espaço de concretização de direitos fundamentais, não podendo ignorar a posição jurídica da vítima” (Lopes Júnior, 2023, p. 987)</w:t>
      </w:r>
      <w:r>
        <w:rPr>
          <w:rFonts w:ascii="Arial" w:hAnsi="Arial" w:cs="Arial"/>
          <w:lang w:val="pt-BR"/>
        </w:rPr>
        <w:tab/>
      </w:r>
      <w:r>
        <w:rPr>
          <w:rFonts w:ascii="Arial" w:hAnsi="Arial" w:cs="Arial"/>
        </w:rPr>
        <w:t>No tocante à limitação da atuação da vítima, parte da doutrina tradicional defendeu que sua intervenção antes do recebimento da denúncia poderia comprometer o sistema acusatório.</w:t>
      </w:r>
    </w:p>
    <w:p w:rsidR="009D60B7" w:rsidRDefault="00425C09">
      <w:pPr>
        <w:pStyle w:val="NormalWeb"/>
        <w:widowControl/>
        <w:spacing w:beforeAutospacing="0" w:afterAutospacing="0" w:line="360" w:lineRule="auto"/>
        <w:ind w:firstLine="708"/>
        <w:jc w:val="both"/>
        <w:rPr>
          <w:rFonts w:ascii="Arial" w:hAnsi="Arial" w:cs="Arial"/>
          <w:lang w:val="pt-BR"/>
        </w:rPr>
      </w:pPr>
      <w:r>
        <w:rPr>
          <w:rFonts w:ascii="Arial" w:hAnsi="Arial" w:cs="Arial"/>
        </w:rPr>
        <w:t xml:space="preserve"> Tourinho Filho, por exemplo, sustentava que a participação ampliada do ofendido poderia gerar desequilíbrio processual e indevida interferência na titularidade da ação penal pública, que pertence exclusivamente ao Ministério Público, podendo fragilizar a estrutura acusatória do processo penal (Tourinho Filho, 2012).</w:t>
      </w:r>
      <w:r>
        <w:rPr>
          <w:rFonts w:ascii="Arial" w:hAnsi="Arial" w:cs="Arial"/>
          <w:lang w:val="pt-BR"/>
        </w:rPr>
        <w:tab/>
      </w:r>
    </w:p>
    <w:p w:rsidR="009D60B7" w:rsidRDefault="00425C09">
      <w:pPr>
        <w:pStyle w:val="NormalWeb"/>
        <w:widowControl/>
        <w:spacing w:beforeAutospacing="0" w:afterAutospacing="0" w:line="360" w:lineRule="auto"/>
        <w:ind w:firstLine="708"/>
        <w:jc w:val="both"/>
        <w:rPr>
          <w:rFonts w:ascii="Arial" w:hAnsi="Arial"/>
        </w:rPr>
      </w:pPr>
      <w:r>
        <w:rPr>
          <w:rFonts w:ascii="Arial" w:hAnsi="Arial" w:cs="Arial"/>
        </w:rPr>
        <w:t>Nesse sentido, a interpretação restritiva do artigo 268 do Código de Processo Penal levou parcela da doutrina a entender que a assistência à acusação somente poderia ocorrer após o recebimento da denúncia, momento em que já instaurada a ação penal pública, cujo titular é o Ministério Público.</w:t>
      </w:r>
      <w:r>
        <w:rPr>
          <w:rFonts w:ascii="Arial" w:hAnsi="Arial" w:cs="Arial"/>
          <w:lang w:val="pt-BR"/>
        </w:rPr>
        <w:tab/>
      </w:r>
      <w:r>
        <w:rPr>
          <w:rFonts w:ascii="Arial" w:hAnsi="Arial" w:cs="Arial"/>
          <w:lang w:val="pt-BR"/>
        </w:rPr>
        <w:tab/>
      </w:r>
      <w:r>
        <w:rPr>
          <w:rFonts w:ascii="Arial" w:hAnsi="Arial" w:cs="Arial"/>
          <w:lang w:val="pt-BR"/>
        </w:rPr>
        <w:tab/>
      </w:r>
      <w:r>
        <w:rPr>
          <w:rFonts w:ascii="Arial" w:hAnsi="Arial" w:cs="Arial"/>
          <w:lang w:val="pt-BR"/>
        </w:rPr>
        <w:tab/>
      </w:r>
    </w:p>
    <w:p w:rsidR="009D60B7" w:rsidRDefault="00425C09">
      <w:pPr>
        <w:pStyle w:val="NormalWeb"/>
        <w:widowControl/>
        <w:spacing w:beforeAutospacing="0" w:afterAutospacing="0" w:line="360" w:lineRule="auto"/>
        <w:ind w:firstLine="708"/>
        <w:jc w:val="both"/>
        <w:rPr>
          <w:rFonts w:ascii="Arial" w:hAnsi="Arial" w:cs="Arial"/>
          <w:lang w:val="pt-BR"/>
        </w:rPr>
      </w:pPr>
      <w:r>
        <w:rPr>
          <w:rFonts w:ascii="Arial" w:hAnsi="Arial" w:cs="Arial"/>
        </w:rPr>
        <w:lastRenderedPageBreak/>
        <w:t>Todavia, essa leitura vem sendo progressivamente relativizada. Lima afirma que a participação da vítima não compromete o sistema acusatório, mas, ao contrário, “reforça o controle democrático da atuação do órgão acusador” (Lima, 2022, p. 115), desde que respeitados os limites legais e a titularidade da ação penal.</w:t>
      </w:r>
      <w:r>
        <w:rPr>
          <w:rFonts w:ascii="Arial" w:hAnsi="Arial" w:cs="Arial"/>
          <w:lang w:val="pt-BR"/>
        </w:rPr>
        <w:t xml:space="preserve"> </w:t>
      </w:r>
      <w:r>
        <w:rPr>
          <w:rFonts w:ascii="Arial" w:hAnsi="Arial" w:cs="Arial"/>
        </w:rPr>
        <w:t xml:space="preserve">Nesse contexto, a necessidade de releitura do instituto torna-se evidente. </w:t>
      </w:r>
      <w:r>
        <w:rPr>
          <w:rFonts w:ascii="Arial" w:hAnsi="Arial" w:cs="Arial"/>
          <w:lang w:val="pt-BR"/>
        </w:rPr>
        <w:tab/>
      </w:r>
      <w:r>
        <w:rPr>
          <w:rFonts w:ascii="Arial" w:hAnsi="Arial" w:cs="Arial"/>
          <w:lang w:val="pt-BR"/>
        </w:rPr>
        <w:tab/>
      </w:r>
    </w:p>
    <w:p w:rsidR="009D60B7" w:rsidRDefault="00425C09">
      <w:pPr>
        <w:pStyle w:val="NormalWeb"/>
        <w:widowControl/>
        <w:spacing w:beforeAutospacing="0" w:afterAutospacing="0" w:line="360" w:lineRule="auto"/>
        <w:ind w:firstLine="708"/>
        <w:jc w:val="both"/>
        <w:rPr>
          <w:rFonts w:ascii="Arial" w:hAnsi="Arial"/>
        </w:rPr>
      </w:pPr>
      <w:r>
        <w:rPr>
          <w:rFonts w:ascii="Arial" w:hAnsi="Arial" w:cs="Arial"/>
        </w:rPr>
        <w:t>Como ensina Lopes Júnior, o sistema acusatório não se define pela exclusão da vítima do processo, mas pela clara separação entre as funções de acusar, defender e julgar, sendo possível compatibilizar a ampliação da participação da vítima com as garantias estruturais do modelo constitucional de processo penal</w:t>
      </w:r>
      <w:r>
        <w:rPr>
          <w:rFonts w:ascii="Arial" w:hAnsi="Arial" w:cs="Arial"/>
          <w:lang w:val="pt-BR"/>
        </w:rPr>
        <w:t xml:space="preserve"> </w:t>
      </w:r>
      <w:r>
        <w:rPr>
          <w:rFonts w:ascii="Arial" w:hAnsi="Arial"/>
          <w:lang w:val="pt-BR"/>
        </w:rPr>
        <w:t>Nesse contexto, a necessidade de releitura do instituto torna-se evidente. Como ensina Lopes Júnior explica:</w:t>
      </w:r>
      <w:r>
        <w:rPr>
          <w:rFonts w:ascii="Arial" w:hAnsi="Arial"/>
          <w:lang w:val="pt-BR"/>
        </w:rPr>
        <w:tab/>
      </w:r>
      <w:r>
        <w:rPr>
          <w:rFonts w:ascii="Arial" w:hAnsi="Arial"/>
          <w:lang w:val="pt-BR"/>
        </w:rPr>
        <w:tab/>
      </w:r>
      <w:r>
        <w:rPr>
          <w:rFonts w:ascii="Arial" w:hAnsi="Arial"/>
          <w:lang w:val="pt-BR"/>
        </w:rPr>
        <w:tab/>
      </w:r>
    </w:p>
    <w:p w:rsidR="009D60B7" w:rsidRDefault="00425C09">
      <w:pPr>
        <w:pStyle w:val="NormalWeb"/>
        <w:widowControl/>
        <w:spacing w:beforeAutospacing="0" w:afterAutospacing="0"/>
        <w:ind w:leftChars="1000" w:left="2200"/>
        <w:jc w:val="both"/>
        <w:rPr>
          <w:rFonts w:ascii="Arial" w:hAnsi="Arial"/>
          <w:lang w:val="pt-BR"/>
        </w:rPr>
      </w:pPr>
      <w:r>
        <w:rPr>
          <w:rFonts w:ascii="Arial" w:hAnsi="Arial"/>
          <w:sz w:val="20"/>
          <w:szCs w:val="20"/>
          <w:lang w:val="pt-BR"/>
        </w:rPr>
        <w:t>O processo penal contemporâneo não pode mais ser estruturado a partir de uma visão exclusivamente estatal da persecução penal. A vítima, embora não titular da ação penal pública, possui interesses juridicamente relevantes que merecem tutela dentro do procedimento, especialmente à luz da Constituição de 1988, que consagra a dignidade da pessoa humana como fundamento da República.” (Lopes Júnior., 2023, p. 991).</w:t>
      </w:r>
      <w:r>
        <w:rPr>
          <w:rFonts w:ascii="Arial" w:hAnsi="Arial"/>
          <w:lang w:val="pt-BR"/>
        </w:rPr>
        <w:tab/>
      </w:r>
    </w:p>
    <w:p w:rsidR="009D60B7" w:rsidRDefault="009D60B7">
      <w:pPr>
        <w:pStyle w:val="NormalWeb"/>
        <w:widowControl/>
        <w:spacing w:beforeAutospacing="0" w:afterAutospacing="0"/>
        <w:ind w:leftChars="1000" w:left="2200"/>
        <w:jc w:val="both"/>
        <w:rPr>
          <w:rFonts w:ascii="Arial" w:hAnsi="Arial"/>
          <w:lang w:val="pt-BR"/>
        </w:rPr>
      </w:pPr>
    </w:p>
    <w:p w:rsidR="009D60B7" w:rsidRDefault="00425C09">
      <w:pPr>
        <w:pStyle w:val="NormalWeb"/>
        <w:widowControl/>
        <w:spacing w:beforeAutospacing="0" w:afterAutospacing="0" w:line="360" w:lineRule="auto"/>
        <w:ind w:firstLine="708"/>
        <w:jc w:val="both"/>
        <w:rPr>
          <w:rFonts w:ascii="Arial" w:hAnsi="Arial"/>
        </w:rPr>
      </w:pPr>
      <w:r>
        <w:rPr>
          <w:rFonts w:ascii="Arial" w:hAnsi="Arial"/>
          <w:lang w:val="pt-BR"/>
        </w:rPr>
        <w:t>Além disso, a doutrina reconhece que a assistência à acusação deve ser interpretada de forma sistemática e conforme a Constituição. Nucci ressalta que: “a intervenção do assistente não substitui o Ministério Público, mas acrescenta elementos à busca da verdade real” (2021, p. 426).</w:t>
      </w:r>
      <w:r>
        <w:rPr>
          <w:rFonts w:ascii="Arial" w:hAnsi="Arial"/>
          <w:lang w:val="pt-BR"/>
        </w:rPr>
        <w:tab/>
      </w:r>
      <w:r>
        <w:rPr>
          <w:rFonts w:ascii="Arial" w:hAnsi="Arial"/>
          <w:lang w:val="pt-BR"/>
        </w:rPr>
        <w:tab/>
      </w:r>
    </w:p>
    <w:p w:rsidR="009D60B7" w:rsidRPr="00A4431F" w:rsidRDefault="00425C09" w:rsidP="00A4431F">
      <w:pPr>
        <w:pStyle w:val="NormalWeb"/>
        <w:widowControl/>
        <w:spacing w:beforeAutospacing="0" w:afterAutospacing="0" w:line="360" w:lineRule="auto"/>
        <w:ind w:firstLine="708"/>
        <w:jc w:val="both"/>
        <w:rPr>
          <w:rFonts w:ascii="Arial" w:hAnsi="Arial"/>
        </w:rPr>
      </w:pPr>
      <w:r>
        <w:rPr>
          <w:rFonts w:ascii="Arial" w:hAnsi="Arial"/>
          <w:lang w:val="pt-BR"/>
        </w:rPr>
        <w:t>De forma indireta, observa-se que a constitucionalização do processo penal impôs releitura dos institutos tradicionais à luz da dignidade da pessoa humana e do acesso à justiça (Nucci, 2021, p. 423). Assim, a vítima deixa de ser mero sujeito passivo da infração penal para assumir posição de sujeito de direitos no âmbito processual.</w:t>
      </w:r>
      <w:r>
        <w:rPr>
          <w:rFonts w:ascii="Arial" w:hAnsi="Arial"/>
          <w:lang w:val="pt-BR"/>
        </w:rPr>
        <w:tab/>
      </w:r>
      <w:r>
        <w:rPr>
          <w:rFonts w:ascii="Arial" w:hAnsi="Arial"/>
          <w:lang w:val="pt-BR"/>
        </w:rPr>
        <w:tab/>
        <w:t>Portanto, a assistência à acusação deve ser compreendida como mecanismo de fortalecimento da legitimidade democrática do processo penal, garantindo à vítima participação adequada sem comprometer a estrutura acusatória do sistema brasileiro.</w:t>
      </w:r>
      <w:r>
        <w:rPr>
          <w:rFonts w:ascii="Arial" w:hAnsi="Arial"/>
          <w:lang w:val="pt-BR"/>
        </w:rPr>
        <w:tab/>
        <w:t xml:space="preserve">Sob a perspectiva histórica, observa-se que o Código de Processo Penal de 1941 foi elaborado em contexto político autoritário, no qual o processo penal assumia feição marcadamente estatal e inquisitória. Nesse cenário, a vítima ocupava posição periférica, sendo concebida como mero instrumento probatório. </w:t>
      </w:r>
    </w:p>
    <w:p w:rsidR="009D60B7" w:rsidRDefault="00425C09">
      <w:pPr>
        <w:pStyle w:val="NormalWeb"/>
        <w:widowControl/>
        <w:spacing w:beforeAutospacing="0" w:afterAutospacing="0" w:line="360" w:lineRule="auto"/>
        <w:ind w:firstLine="708"/>
        <w:jc w:val="both"/>
        <w:rPr>
          <w:rFonts w:ascii="Arial" w:hAnsi="Arial"/>
        </w:rPr>
      </w:pPr>
      <w:r>
        <w:rPr>
          <w:rFonts w:ascii="Arial" w:hAnsi="Arial"/>
          <w:lang w:val="pt-BR"/>
        </w:rPr>
        <w:t>A assistência à acusação surgia, portanto, como faculdade restrita e com função limitada. Com a promulgação da Constituição Federal de 1988, contudo, houve ruptura paradigmática, impondo-se a necessidade de releitura dos institutos processuais sob enfoque democrático.</w:t>
      </w:r>
      <w:r>
        <w:rPr>
          <w:rFonts w:ascii="Arial" w:hAnsi="Arial"/>
          <w:lang w:val="pt-BR"/>
        </w:rPr>
        <w:tab/>
      </w:r>
    </w:p>
    <w:p w:rsidR="009D60B7" w:rsidRDefault="00425C09">
      <w:pPr>
        <w:pStyle w:val="NormalWeb"/>
        <w:widowControl/>
        <w:spacing w:beforeAutospacing="0" w:afterAutospacing="0" w:line="360" w:lineRule="auto"/>
        <w:ind w:firstLine="708"/>
        <w:jc w:val="both"/>
        <w:rPr>
          <w:rFonts w:ascii="Arial" w:hAnsi="Arial"/>
        </w:rPr>
      </w:pPr>
      <w:r>
        <w:rPr>
          <w:rFonts w:ascii="Arial" w:hAnsi="Arial"/>
          <w:lang w:val="pt-BR"/>
        </w:rPr>
        <w:lastRenderedPageBreak/>
        <w:t>A mudança de paradigma constitucional não se restringiu à estrutura do Estado, mas atingiu diretamente o processo penal. O princípio da dignidade da pessoa humana, erigido a fundamento da República, irradiou efeitos sobre todos os ramos do direito, inclusive sobre a persecução penal, sendo inclusive expresso no artigo 1º da Constituição Federal (1988). Nesse contexto, a vítima passou a ser reconhecida como sujeito de direitos, cuja participação no processo encontra respaldo constitucional.</w:t>
      </w:r>
      <w:r>
        <w:rPr>
          <w:rFonts w:ascii="Arial" w:hAnsi="Arial"/>
          <w:lang w:val="pt-BR"/>
        </w:rPr>
        <w:tab/>
        <w:t>A assistência à acusação deve ser compreendida também sob a ótica do contraditório substancial. Não basta garantir a presença formal das partes no processo; é necessário assegurar efetiva possibilidade de influência no convencimento judicial. Ao permitir que o assistente formule requerimentos probatórios, apresente memoriais e interponha recursos, o ordenamento reconhece sua aptidão para contribuir concretamente na formação da decisão judicial. Nesse sentido, destaca Lopes Júnior 2023:</w:t>
      </w:r>
    </w:p>
    <w:p w:rsidR="009D60B7" w:rsidRDefault="00425C09">
      <w:pPr>
        <w:pStyle w:val="NormalWeb"/>
        <w:widowControl/>
        <w:spacing w:beforeAutospacing="0" w:afterAutospacing="0"/>
        <w:ind w:leftChars="1000" w:left="2200"/>
        <w:jc w:val="both"/>
        <w:rPr>
          <w:rFonts w:ascii="Arial" w:hAnsi="Arial"/>
          <w:lang w:val="pt-BR"/>
        </w:rPr>
      </w:pPr>
      <w:r>
        <w:rPr>
          <w:rFonts w:ascii="Arial" w:hAnsi="Arial"/>
          <w:lang w:val="pt-BR"/>
        </w:rPr>
        <w:t>O processo penal democrático exige participação efetiva dos sujeitos processuais, de modo que a estrutura acusatória não pode ser interpretada de forma rígida a ponto de excluir a vítima do debate processual. A intervenção do assistente, quando legitimamente exercida, amplia o espaço dialógico do processo e fortalece a racionalidade da decisão judicial. (2023, p. 1000).</w:t>
      </w:r>
    </w:p>
    <w:p w:rsidR="009D60B7" w:rsidRDefault="009D60B7">
      <w:pPr>
        <w:pStyle w:val="NormalWeb"/>
        <w:widowControl/>
        <w:spacing w:beforeAutospacing="0" w:afterAutospacing="0"/>
        <w:ind w:leftChars="1000" w:left="2200"/>
        <w:jc w:val="both"/>
        <w:rPr>
          <w:rFonts w:ascii="Arial" w:hAnsi="Arial"/>
          <w:lang w:val="pt-BR"/>
        </w:rPr>
      </w:pPr>
    </w:p>
    <w:p w:rsidR="009D60B7" w:rsidRDefault="00425C09">
      <w:pPr>
        <w:pStyle w:val="NormalWeb"/>
        <w:widowControl/>
        <w:spacing w:beforeAutospacing="0" w:afterAutospacing="0" w:line="360" w:lineRule="auto"/>
        <w:ind w:firstLine="708"/>
        <w:jc w:val="both"/>
        <w:rPr>
          <w:rFonts w:ascii="Arial" w:hAnsi="Arial"/>
          <w:lang w:val="pt-BR"/>
        </w:rPr>
      </w:pPr>
      <w:r>
        <w:rPr>
          <w:rFonts w:ascii="Arial" w:hAnsi="Arial"/>
          <w:lang w:val="pt-BR"/>
        </w:rPr>
        <w:t>Além disso, a natureza jurídica da assistência à acusação é tradicionalmente classificada como intervenção adesiva simples, na qual o assistente adere à posição do Ministério Público. Entretanto, a doutrina contemporânea questiona a suficiência dessa classificação, argumentando que o assistente possui interesses próprios que nem sempre coincidem integralmente com os do órgão acusador. Tal circunstância demonstra que sua atuação não se resume a apoio passivo, mas pode assumir contornos estratégicos relevantes dentro do processo. Lima 2022 observa que:</w:t>
      </w:r>
    </w:p>
    <w:p w:rsidR="009D60B7" w:rsidRDefault="00425C09">
      <w:pPr>
        <w:pStyle w:val="NormalWeb"/>
        <w:widowControl/>
        <w:spacing w:beforeAutospacing="0" w:afterAutospacing="0"/>
        <w:ind w:left="2131"/>
        <w:jc w:val="both"/>
        <w:rPr>
          <w:rFonts w:ascii="Arial" w:hAnsi="Arial"/>
          <w:sz w:val="20"/>
          <w:szCs w:val="20"/>
          <w:lang w:val="pt-BR"/>
        </w:rPr>
      </w:pPr>
      <w:r>
        <w:rPr>
          <w:rFonts w:ascii="Arial" w:hAnsi="Arial"/>
          <w:sz w:val="20"/>
          <w:szCs w:val="20"/>
          <w:lang w:val="pt-BR"/>
        </w:rPr>
        <w:t>Embora o assistente da acusação atue de forma subordinada ao Ministério Público, sua intervenção possui relevância prática significativa, sobretudo no que se refere à produção probatória e à interposição de recursos, funcionando como instrumento adicional de concretização da tutela penal.” (Lima, 2022, p. 122).</w:t>
      </w:r>
    </w:p>
    <w:p w:rsidR="009D60B7" w:rsidRDefault="009D60B7">
      <w:pPr>
        <w:pStyle w:val="NormalWeb"/>
        <w:widowControl/>
        <w:spacing w:beforeAutospacing="0" w:afterAutospacing="0"/>
        <w:ind w:left="2131"/>
        <w:jc w:val="both"/>
        <w:rPr>
          <w:rFonts w:ascii="Arial" w:hAnsi="Arial"/>
          <w:sz w:val="20"/>
          <w:szCs w:val="20"/>
          <w:lang w:val="pt-BR"/>
        </w:rPr>
      </w:pP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 xml:space="preserve">Outro aspecto relevante diz respeito ao direito da vítima à informação e à participação. O fortalecimento desse direito decorre não apenas da Constituição, mas também de instrumentos internacionais de proteção aos direitos humanos, que reconhecem a necessidade de assegurar tratamento digno às vítimas de infrações penais. Tal reconhecimento influencia diretamente a interpretação dos dispositivos do Código de Processo Penal. </w:t>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lastRenderedPageBreak/>
        <w:t>A ampliação da participação da vítima, contudo, não deve ser confundida com flexibilização das garantias do acusado. O processo penal continua estruturado sobre pilares fundamentais como presunção de inocência, ampla defesa e devido processo legal. A atuação do assistente deve coexistir harmonicamente com esses princípios, evitando qualquer desequilíbrio processual. Nucci 2021 ressalta:</w:t>
      </w:r>
    </w:p>
    <w:p w:rsidR="009D60B7" w:rsidRDefault="00425C09">
      <w:pPr>
        <w:pStyle w:val="NormalWeb"/>
        <w:widowControl/>
        <w:spacing w:beforeAutospacing="0" w:afterAutospacing="0"/>
        <w:ind w:left="2131" w:firstLine="72"/>
        <w:jc w:val="both"/>
        <w:rPr>
          <w:rFonts w:ascii="Arial" w:hAnsi="Arial"/>
          <w:sz w:val="20"/>
          <w:szCs w:val="20"/>
          <w:lang w:val="pt-BR"/>
        </w:rPr>
      </w:pPr>
      <w:r>
        <w:rPr>
          <w:rFonts w:ascii="Arial" w:hAnsi="Arial"/>
          <w:sz w:val="20"/>
          <w:szCs w:val="20"/>
          <w:lang w:val="pt-BR"/>
        </w:rPr>
        <w:t>A assistência à acusação deve ser exercida com equilíbrio e responsabilidade, de modo a não comprometer a paridade de armas entre acusação e defesa. Sua finalidade é contribuir para o esclarecimento dos fatos, e não transformar o processo penal em instrumento de vingança privada.” (Nucci, 2021, p. 432).</w:t>
      </w:r>
    </w:p>
    <w:p w:rsidR="009D60B7" w:rsidRDefault="009D60B7">
      <w:pPr>
        <w:pStyle w:val="NormalWeb"/>
        <w:widowControl/>
        <w:spacing w:beforeAutospacing="0" w:afterAutospacing="0"/>
        <w:ind w:left="2131" w:firstLine="72"/>
        <w:jc w:val="both"/>
        <w:rPr>
          <w:rFonts w:ascii="Arial" w:hAnsi="Arial"/>
          <w:sz w:val="20"/>
          <w:szCs w:val="20"/>
          <w:lang w:val="pt-BR"/>
        </w:rPr>
      </w:pPr>
    </w:p>
    <w:p w:rsidR="009D60B7" w:rsidRDefault="00425C09" w:rsidP="00A4431F">
      <w:pPr>
        <w:pStyle w:val="NormalWeb"/>
        <w:widowControl/>
        <w:spacing w:beforeAutospacing="0" w:afterAutospacing="0" w:line="360" w:lineRule="auto"/>
        <w:ind w:firstLine="720"/>
        <w:jc w:val="both"/>
        <w:rPr>
          <w:rFonts w:ascii="Arial" w:hAnsi="Arial"/>
        </w:rPr>
      </w:pPr>
      <w:r>
        <w:rPr>
          <w:rFonts w:ascii="Arial" w:hAnsi="Arial"/>
          <w:lang w:val="pt-BR"/>
        </w:rPr>
        <w:t>Por fim, verifica-se que a assistência à acusação representa instrumento de legitimação do próprio sistema penal. A possibilidade de participação da vítima reforça a confiança social nas instituições e reduz a percepção de distanciamento entre o Poder Judiciário e aqueles diretamente afetados pelo crime. Em uma perspectiva democrática, o processo penal não pode ignorar a dimensão humana do conflito que lhe dá origem.</w:t>
      </w:r>
      <w:r>
        <w:rPr>
          <w:rFonts w:ascii="Arial" w:hAnsi="Arial"/>
          <w:lang w:val="pt-BR"/>
        </w:rPr>
        <w:tab/>
        <w:t>Assim, a interpretação contemporânea da assistência à acusação exige equilíbrio entre tradição normativa e evolução constitucional. O instituto, longe de ser resquício histórico sem relevância prática, revela-se mecanismo de fortalecimento da justiça penal, desde que exercido dentro dos limites estruturais do modelo acusatório.</w:t>
      </w:r>
    </w:p>
    <w:p w:rsidR="00A4431F" w:rsidRDefault="00425C09" w:rsidP="00A4431F">
      <w:pPr>
        <w:pStyle w:val="NormalWeb"/>
        <w:widowControl/>
        <w:numPr>
          <w:ilvl w:val="0"/>
          <w:numId w:val="4"/>
        </w:numPr>
        <w:spacing w:before="280" w:after="280" w:line="360" w:lineRule="auto"/>
        <w:jc w:val="both"/>
        <w:rPr>
          <w:rFonts w:ascii="Arial" w:hAnsi="Arial"/>
        </w:rPr>
      </w:pPr>
      <w:r w:rsidRPr="00A4431F">
        <w:rPr>
          <w:rFonts w:ascii="Arial" w:hAnsi="Arial"/>
          <w:bCs/>
          <w:lang w:val="pt-BR"/>
        </w:rPr>
        <w:t>A PARTICIPAÇÃO DA VÍTIMA E A CONSTITUCIONALIZAÇÃO DO PROCESSO PENAL</w:t>
      </w:r>
    </w:p>
    <w:p w:rsidR="00CA2A76" w:rsidRDefault="00425C09" w:rsidP="00CA2A76">
      <w:pPr>
        <w:pStyle w:val="NormalWeb"/>
        <w:widowControl/>
        <w:spacing w:beforeAutospacing="0" w:afterAutospacing="0" w:line="360" w:lineRule="auto"/>
        <w:ind w:firstLine="851"/>
        <w:jc w:val="both"/>
        <w:rPr>
          <w:rFonts w:ascii="Arial" w:hAnsi="Arial"/>
        </w:rPr>
      </w:pPr>
      <w:r>
        <w:rPr>
          <w:rFonts w:ascii="Arial" w:hAnsi="Arial"/>
          <w:lang w:val="pt-BR"/>
        </w:rPr>
        <w:t>A Constituição Federal de 1988 promoveu significativa transformação na estrutura do processo penal brasileiro, deslocando-o de um modelo predominantemente estatal para um sistema orientado pela centralidade dos direitos fundamentais. Nesse contexto, a vítima passa a ocupar posição jurídica mais relevante, não apenas como objeto da tutela penal, mas como sujeito de direitos no âmbito processual. A ordem constitucional inaugurada em 1988 rompeu com concepções autoritárias anteriormente predominantes e passou a exigir que todo o sistema de persecução penal fosse interpretado em conformidade com os valores democráticos e garantistas.</w:t>
      </w:r>
      <w:r>
        <w:rPr>
          <w:rFonts w:ascii="Arial" w:hAnsi="Arial"/>
          <w:lang w:val="pt-BR"/>
        </w:rPr>
        <w:tab/>
      </w:r>
      <w:r>
        <w:rPr>
          <w:rFonts w:ascii="Arial" w:hAnsi="Arial"/>
          <w:lang w:val="pt-BR"/>
        </w:rPr>
        <w:tab/>
      </w:r>
    </w:p>
    <w:p w:rsidR="009D60B7" w:rsidRDefault="00425C09" w:rsidP="00CA2A76">
      <w:pPr>
        <w:pStyle w:val="NormalWeb"/>
        <w:widowControl/>
        <w:spacing w:beforeAutospacing="0" w:afterAutospacing="0" w:line="360" w:lineRule="auto"/>
        <w:ind w:firstLine="851"/>
        <w:jc w:val="both"/>
        <w:rPr>
          <w:rFonts w:ascii="Arial" w:hAnsi="Arial"/>
        </w:rPr>
      </w:pPr>
      <w:r>
        <w:rPr>
          <w:rFonts w:ascii="Arial" w:hAnsi="Arial"/>
          <w:lang w:val="pt-BR"/>
        </w:rPr>
        <w:t>A doutrina contemporânea reconhece que a constitucionalização do processo penal impõe releitura dos institutos tradicionais à luz da dignidade da pessoa humana e do acesso à justiça. Nesse sentido, leciona Lima (2022):</w:t>
      </w:r>
    </w:p>
    <w:p w:rsidR="009D60B7" w:rsidRDefault="00425C09">
      <w:pPr>
        <w:pStyle w:val="NormalWeb"/>
        <w:widowControl/>
        <w:spacing w:beforeAutospacing="0" w:afterAutospacing="0"/>
        <w:ind w:left="1411"/>
        <w:jc w:val="both"/>
        <w:rPr>
          <w:rFonts w:ascii="Arial" w:hAnsi="Arial"/>
          <w:sz w:val="20"/>
          <w:szCs w:val="20"/>
          <w:lang w:val="pt-BR"/>
        </w:rPr>
      </w:pPr>
      <w:r>
        <w:rPr>
          <w:rFonts w:ascii="Arial" w:hAnsi="Arial"/>
          <w:sz w:val="20"/>
          <w:szCs w:val="20"/>
          <w:lang w:val="pt-BR"/>
        </w:rPr>
        <w:t>A Constituição Federal de 1988 alterou substancialmente a compreensão do processo penal, exigindo que seus institutos sejam interpretados à luz dos direitos fundamentais. A vítima, nesse cenário, deixa de ser mera espectadora da atuação estatal e passa a ter reconhecido o direito de participar do procedimento, especialmente quando demonstrado interesse jurídico relevante. (Lima, 2022, p. 118).</w:t>
      </w:r>
    </w:p>
    <w:p w:rsidR="009D60B7" w:rsidRDefault="009D60B7">
      <w:pPr>
        <w:pStyle w:val="NormalWeb"/>
        <w:widowControl/>
        <w:spacing w:beforeAutospacing="0" w:afterAutospacing="0"/>
        <w:ind w:left="1411"/>
        <w:jc w:val="both"/>
        <w:rPr>
          <w:rFonts w:ascii="Arial" w:hAnsi="Arial"/>
          <w:sz w:val="20"/>
          <w:szCs w:val="20"/>
          <w:lang w:val="pt-BR"/>
        </w:rPr>
      </w:pPr>
    </w:p>
    <w:p w:rsidR="009D60B7" w:rsidRDefault="00425C09">
      <w:pPr>
        <w:pStyle w:val="NormalWeb"/>
        <w:widowControl/>
        <w:spacing w:beforeAutospacing="0" w:afterAutospacing="0" w:line="360" w:lineRule="auto"/>
        <w:ind w:firstLine="706"/>
        <w:jc w:val="both"/>
        <w:rPr>
          <w:rFonts w:ascii="Arial" w:hAnsi="Arial"/>
          <w:sz w:val="20"/>
          <w:szCs w:val="20"/>
        </w:rPr>
      </w:pPr>
      <w:r>
        <w:rPr>
          <w:rFonts w:ascii="Arial" w:hAnsi="Arial"/>
          <w:lang w:val="pt-BR"/>
        </w:rPr>
        <w:lastRenderedPageBreak/>
        <w:t>A partir dessa nova perspectiva constitucional, não se admite mais que o ofendido permaneça totalmente afastado da marcha processual, sobretudo quando possui interesse direto no resultado da demanda penal. O processo penal contemporâneo deixa de ser compreendido exclusivamente como instrumento de poder estatal e passa a ser também mecanismo de proteção de direitos fundamentais, inclusive daqueles pertencentes à vítima.</w:t>
      </w:r>
      <w:r>
        <w:rPr>
          <w:rFonts w:ascii="Arial" w:hAnsi="Arial"/>
          <w:sz w:val="20"/>
          <w:szCs w:val="20"/>
          <w:lang w:val="pt-BR"/>
        </w:rPr>
        <w:tab/>
      </w:r>
      <w:r>
        <w:rPr>
          <w:rFonts w:ascii="Arial" w:hAnsi="Arial"/>
          <w:sz w:val="20"/>
          <w:szCs w:val="20"/>
          <w:lang w:val="pt-BR"/>
        </w:rPr>
        <w:tab/>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A valorização da vítima também encontra respaldo no plano internacional. A proteção dos direitos humanos e o fortalecimento do acesso à justiça consolidaram a compreensão de que o sistema penal não pode ignorar os interesses daquele que sofreu diretamente a infração penal. Documentos internacionais, como a Declaração dos Princípios Fundamentais de Justiça Relativos às Vítimas da Criminalidade e de Abuso de Poder, aprovada pela Organização das Nações Unidas em 1985, reforçam a necessidade de assegurar informação, participação e tratamento digno às vítimas no âmbito judicial.  Lopes Júnior. destaca que a estrutura acusatória não é incompatível com a participação da vítima, desde que respeitados os limites constitucionais:</w:t>
      </w:r>
    </w:p>
    <w:p w:rsidR="009D60B7" w:rsidRDefault="00425C09">
      <w:pPr>
        <w:pStyle w:val="NormalWeb"/>
        <w:widowControl/>
        <w:spacing w:beforeAutospacing="0" w:afterAutospacing="0"/>
        <w:ind w:left="2131"/>
        <w:jc w:val="both"/>
        <w:rPr>
          <w:rFonts w:ascii="Arial" w:hAnsi="Arial"/>
          <w:sz w:val="20"/>
          <w:szCs w:val="20"/>
          <w:lang w:val="pt-BR"/>
        </w:rPr>
      </w:pPr>
      <w:r>
        <w:rPr>
          <w:rFonts w:ascii="Arial" w:hAnsi="Arial"/>
          <w:sz w:val="20"/>
          <w:szCs w:val="20"/>
          <w:lang w:val="pt-BR"/>
        </w:rPr>
        <w:t>O modelo acusatório não impede a atuação do ofendido no processo penal, desde que essa participação não implique substituição do órgão acusador ou violação da imparcialidade judicial. Ao contrário, a intervenção da vítima pode representar reforço democrático do sistema, ampliando os mecanismos de controle e legitimidade da persecução penal. (Lopes Júnior., 2023, p. 994).</w:t>
      </w:r>
    </w:p>
    <w:p w:rsidR="009D60B7" w:rsidRDefault="009D60B7">
      <w:pPr>
        <w:pStyle w:val="NormalWeb"/>
        <w:widowControl/>
        <w:spacing w:beforeAutospacing="0" w:afterAutospacing="0"/>
        <w:ind w:left="2131"/>
        <w:jc w:val="both"/>
        <w:rPr>
          <w:rFonts w:ascii="Arial" w:hAnsi="Arial"/>
          <w:sz w:val="20"/>
          <w:szCs w:val="20"/>
          <w:lang w:val="pt-BR"/>
        </w:rPr>
      </w:pP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Nessa linha, a participação da vítima deve ser compreendida como mecanismo complementar à atuação ministerial, jamais como forma de usurpação das atribuições constitucionais do Ministério Público. O protagonismo institucional da acusação pública permanece preservado, mas isso não exclui a possibilidade de colaboração processual do ofendido, especialmente por meio da assistência à acusação e do acompanhamento dos atos processuais.</w:t>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Também se destaca que a dignidade da pessoa humana, fundamento da República previsto no art. 1º, III, da Constituição Federal, projeta efeitos diretos sobre o tratamento conferido à vítima no processo penal. Não basta punir o autor do delito; é necessário assegurar que a pessoa lesada seja tratada com respeito, receba informações adequadas e tenha meios legítimos de manifestação dentro do processo. Sobre o tema, ensina Nucci:</w:t>
      </w:r>
    </w:p>
    <w:p w:rsidR="009D60B7" w:rsidRDefault="00425C09">
      <w:pPr>
        <w:pStyle w:val="NormalWeb"/>
        <w:widowControl/>
        <w:spacing w:beforeAutospacing="0" w:afterAutospacing="0"/>
        <w:ind w:left="2131"/>
        <w:jc w:val="both"/>
        <w:rPr>
          <w:rFonts w:ascii="Arial" w:hAnsi="Arial"/>
          <w:sz w:val="20"/>
          <w:szCs w:val="20"/>
        </w:rPr>
      </w:pPr>
      <w:r>
        <w:rPr>
          <w:rFonts w:ascii="Arial" w:hAnsi="Arial"/>
          <w:sz w:val="20"/>
          <w:szCs w:val="20"/>
          <w:lang w:val="pt-BR"/>
        </w:rPr>
        <w:t>A vítima não pode mais ser vista como elemento secundário do processo penal. O Estado Democrático de Direito exige sua proteção jurídica, permitindo-lhe participação compatível com o sistema acusatório e com as garantias do acusado. (Nucci, 2021, p. 207).</w:t>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 xml:space="preserve">Além disso, o princípio do acesso à justiça, previsto no art. 5º, XXXV, da Constituição Federal, fortalece a necessidade de abertura procedimental à vítima. Isso </w:t>
      </w:r>
      <w:r>
        <w:rPr>
          <w:rFonts w:ascii="Arial" w:hAnsi="Arial"/>
          <w:lang w:val="pt-BR"/>
        </w:rPr>
        <w:lastRenderedPageBreak/>
        <w:t>porque negar qualquer forma de intervenção ao ofendido, mesmo quando existente interesse jurídico relevante, significaria limitar indevidamente o exercício de direitos constitucionalmente assegurados. A tutela jurisdicional adequada pressupõe escuta institucional e possibilidade de atuação nos limites legais.</w:t>
      </w:r>
      <w:r>
        <w:rPr>
          <w:rFonts w:ascii="Arial" w:hAnsi="Arial"/>
          <w:lang w:val="pt-BR"/>
        </w:rPr>
        <w:tab/>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No mesmo sentido, a jurisprudência e a doutrina modernas têm reconhecido que a vítima possui legítimo interesse em acompanhar o processo, requerer diligências legalmente admitidas e buscar reparação dos danos sofridos. Tal compreensão harmoniza-se com a tendência contemporânea de humanização da justiça criminal, que busca equilibrar garantias do acusado, interesse público e direitos da vítima.</w:t>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Dessa forma, a assistência à acusação deve ser interpretada conforme os princípios constitucionais, especialmente o devido processo legal, o contraditório e a dignidade da pessoa humana. A atuação da vítima, quando devidamente delimitada, contribui para a efetividade da tutela penal sem comprometer a estrutura acusatória. Ao contrário, pode representar importante instrumento de transparência, fiscalização e legitimação democrática do exercício jurisdicional.</w:t>
      </w:r>
      <w:r>
        <w:rPr>
          <w:rFonts w:ascii="Arial" w:hAnsi="Arial"/>
          <w:lang w:val="pt-BR"/>
        </w:rPr>
        <w:tab/>
      </w:r>
      <w:r>
        <w:rPr>
          <w:rFonts w:ascii="Arial" w:hAnsi="Arial"/>
          <w:lang w:val="pt-BR"/>
        </w:rPr>
        <w:tab/>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Assim, a constitucionalização do processo penal não apenas permite, mas exige que se reconheça à vítima papel mais ativo dentro do procedimento, afastando interpretações restritivas incompatíveis com a ordem constitucional vigente. O processo penal brasileiro, enquanto expressão do Estado Democrático de Direito, deve conciliar garantias do imputado com a proteção da vítima, assegurando equilíbrio entre liberdade, justiça e participação cidadã.</w:t>
      </w:r>
    </w:p>
    <w:p w:rsidR="009D60B7" w:rsidRDefault="009D60B7">
      <w:pPr>
        <w:pStyle w:val="NormalWeb"/>
        <w:widowControl/>
        <w:spacing w:beforeAutospacing="0" w:afterAutospacing="0" w:line="360" w:lineRule="auto"/>
        <w:ind w:firstLine="706"/>
        <w:jc w:val="both"/>
        <w:rPr>
          <w:rFonts w:ascii="Arial" w:hAnsi="Arial"/>
          <w:lang w:val="pt-BR"/>
        </w:rPr>
      </w:pPr>
    </w:p>
    <w:p w:rsidR="009D60B7" w:rsidRPr="00F81D15" w:rsidRDefault="00425C09">
      <w:pPr>
        <w:pStyle w:val="NormalWeb"/>
        <w:widowControl/>
        <w:spacing w:beforeAutospacing="0" w:afterAutospacing="0" w:line="360" w:lineRule="auto"/>
        <w:jc w:val="both"/>
        <w:rPr>
          <w:rFonts w:ascii="Arial" w:hAnsi="Arial"/>
        </w:rPr>
      </w:pPr>
      <w:r w:rsidRPr="00F81D15">
        <w:rPr>
          <w:rFonts w:ascii="Arial" w:hAnsi="Arial"/>
          <w:bCs/>
          <w:lang w:val="pt-BR"/>
        </w:rPr>
        <w:t>3 LIMITES E POSSIBILIDADES DA ATUAÇÃO DO ASSISTENTE DE ACUSAÇÃO</w:t>
      </w:r>
    </w:p>
    <w:p w:rsidR="009D60B7" w:rsidRDefault="00425C09">
      <w:pPr>
        <w:pStyle w:val="NormalWeb"/>
        <w:widowControl/>
        <w:spacing w:beforeAutospacing="0" w:afterAutospacing="0" w:line="360" w:lineRule="auto"/>
        <w:ind w:firstLine="708"/>
        <w:jc w:val="both"/>
        <w:rPr>
          <w:rFonts w:ascii="Arial" w:hAnsi="Arial"/>
          <w:lang w:val="pt-BR"/>
        </w:rPr>
      </w:pPr>
      <w:r>
        <w:rPr>
          <w:rFonts w:ascii="Arial" w:hAnsi="Arial"/>
          <w:lang w:val="pt-BR"/>
        </w:rPr>
        <w:t>A ampliação da participação da vítima no processo penal não pode ser analisada de forma isolada, mas deve ser compreendida dentro da estrutura do sistema acusatório adotado pela Constituição Federal de 1988. A assistência à acusação representa mecanismo de colaboração processual, mas sua atuação encontra limites normativos e principiológicos que garantem o equilíbrio entre as partes.</w:t>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8"/>
        <w:jc w:val="both"/>
        <w:rPr>
          <w:rFonts w:ascii="Arial" w:hAnsi="Arial"/>
        </w:rPr>
      </w:pPr>
      <w:r>
        <w:rPr>
          <w:rFonts w:ascii="Arial" w:hAnsi="Arial"/>
          <w:lang w:val="pt-BR"/>
        </w:rPr>
        <w:t>O assistente de acusação não é titular da ação penal pública. A legitimidade ativa permanece exclusivamente com o Ministério Público, nos termos do artigo 129, inciso I, da Constituição Federal. A intervenção do ofendido, portanto, possui natureza acessória e subordinada. Sobre o tema, Nucci leciona:</w:t>
      </w:r>
    </w:p>
    <w:p w:rsidR="009D60B7" w:rsidRDefault="00425C09">
      <w:pPr>
        <w:pStyle w:val="NormalWeb"/>
        <w:widowControl/>
        <w:spacing w:beforeAutospacing="0" w:afterAutospacing="0"/>
        <w:ind w:left="1411"/>
        <w:jc w:val="both"/>
        <w:rPr>
          <w:rFonts w:ascii="Arial" w:hAnsi="Arial"/>
          <w:sz w:val="20"/>
          <w:szCs w:val="20"/>
          <w:lang w:val="pt-BR"/>
        </w:rPr>
      </w:pPr>
      <w:r>
        <w:rPr>
          <w:rFonts w:ascii="Arial" w:hAnsi="Arial"/>
          <w:sz w:val="20"/>
          <w:szCs w:val="20"/>
          <w:lang w:val="pt-BR"/>
        </w:rPr>
        <w:t xml:space="preserve">O assistente da acusação atua como colaborador do Ministério Público, jamais como parte autônoma e independente. Sua função é complementar a atividade acusatória, oferecendo subsídios, requerendo diligências, participando dos atos processuais e auxiliando na </w:t>
      </w:r>
      <w:r>
        <w:rPr>
          <w:rFonts w:ascii="Arial" w:hAnsi="Arial"/>
          <w:sz w:val="20"/>
          <w:szCs w:val="20"/>
          <w:lang w:val="pt-BR"/>
        </w:rPr>
        <w:lastRenderedPageBreak/>
        <w:t>formação da convicção judicial, sempre nos limites estabelecidos pela lei. (Nucci, 2021, p. 430).</w:t>
      </w:r>
      <w:r>
        <w:rPr>
          <w:rFonts w:ascii="Arial" w:hAnsi="Arial"/>
          <w:sz w:val="20"/>
          <w:szCs w:val="20"/>
          <w:lang w:val="pt-BR"/>
        </w:rPr>
        <w:tab/>
      </w:r>
    </w:p>
    <w:p w:rsidR="009D60B7" w:rsidRDefault="009D60B7">
      <w:pPr>
        <w:pStyle w:val="NormalWeb"/>
        <w:widowControl/>
        <w:spacing w:beforeAutospacing="0" w:afterAutospacing="0"/>
        <w:ind w:left="1411"/>
        <w:jc w:val="both"/>
        <w:rPr>
          <w:rFonts w:ascii="Arial" w:hAnsi="Arial"/>
          <w:sz w:val="20"/>
          <w:szCs w:val="20"/>
          <w:lang w:val="pt-BR"/>
        </w:rPr>
      </w:pP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Essa delimitação é essencial para preservar a lógica estrutural do sistema acusatório, que exige clara separação entre as funções de acusar, defender e julgar. A autonomia excessiva do assistente poderia gerar distorções processuais, comprometendo o equilíbrio entre acusação e defesa.</w:t>
      </w:r>
      <w:r>
        <w:rPr>
          <w:rFonts w:ascii="Arial" w:hAnsi="Arial"/>
          <w:lang w:val="pt-BR"/>
        </w:rPr>
        <w:tab/>
        <w:t>Entretanto, a limitação da atuação do assistente não pode implicar esvaziamento do instituto. A previsão legal da assistência à acusação possui finalidade concreta: permitir que a vítima acompanhe o desenvolvimento da ação penal e contribua para a efetividade da tutela jurisdicional. Lopes Junior. adverte que:</w:t>
      </w:r>
    </w:p>
    <w:p w:rsidR="009D60B7" w:rsidRDefault="00425C09">
      <w:pPr>
        <w:pStyle w:val="NormalWeb"/>
        <w:widowControl/>
        <w:spacing w:beforeAutospacing="0" w:afterAutospacing="0"/>
        <w:ind w:left="1411"/>
        <w:jc w:val="both"/>
        <w:rPr>
          <w:rFonts w:ascii="Arial" w:hAnsi="Arial"/>
          <w:sz w:val="20"/>
          <w:szCs w:val="20"/>
        </w:rPr>
      </w:pPr>
      <w:r>
        <w:rPr>
          <w:rFonts w:ascii="Arial" w:hAnsi="Arial"/>
          <w:sz w:val="20"/>
          <w:szCs w:val="20"/>
          <w:lang w:val="pt-BR"/>
        </w:rPr>
        <w:t>A limitação da assistência à acusação não pode ser feita de maneira a esvaziar o próprio instituto. Se a lei permite a intervenção do ofendido, essa participação deve ser real e efetiva, sob pena de transformar o assistente em figura meramente simbólica dentro do processo penal. A participação da vítima deve ser compreendida como mecanismo de legitimação democrática do sistema de justiça criminal. (Lopes Júnior., 2023, p. 998).</w:t>
      </w:r>
    </w:p>
    <w:p w:rsidR="009D60B7" w:rsidRDefault="00425C09">
      <w:pPr>
        <w:pStyle w:val="NormalWeb"/>
        <w:widowControl/>
        <w:spacing w:before="280" w:after="280" w:line="360" w:lineRule="auto"/>
        <w:ind w:firstLine="708"/>
        <w:jc w:val="both"/>
        <w:rPr>
          <w:rFonts w:ascii="Arial" w:hAnsi="Arial"/>
          <w:lang w:val="pt-BR"/>
        </w:rPr>
      </w:pPr>
      <w:r>
        <w:rPr>
          <w:rFonts w:ascii="Arial" w:hAnsi="Arial"/>
          <w:lang w:val="pt-BR"/>
        </w:rPr>
        <w:t>Observa-se, portanto, que o desafio não está em permitir ou não a atuação do assistente, mas em definir seus contornos. O Código de Processo Penal autoriza o assistente a propor meios de prova, formular perguntas às testemunhas, aditar a denúncia (em hipóteses específicas) e recorrer de decisões, inclusive da sentença absolutória. Tais prerrogativas demonstram que sua atuação não é meramente figurativa.  Lima destaca que:</w:t>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p>
    <w:p w:rsidR="009D60B7" w:rsidRDefault="00425C09">
      <w:pPr>
        <w:pStyle w:val="NormalWeb"/>
        <w:widowControl/>
        <w:spacing w:beforeAutospacing="0" w:afterAutospacing="0"/>
        <w:ind w:leftChars="1000" w:left="2200"/>
        <w:jc w:val="both"/>
        <w:rPr>
          <w:rFonts w:ascii="Arial" w:hAnsi="Arial"/>
          <w:sz w:val="20"/>
          <w:szCs w:val="20"/>
        </w:rPr>
      </w:pPr>
      <w:r>
        <w:rPr>
          <w:rFonts w:ascii="Arial" w:hAnsi="Arial"/>
          <w:lang w:val="pt-BR"/>
        </w:rPr>
        <w:t>A intervenção do assistente da acusação deve ser analisada sob a perspectiva da efetividade do processo penal. Não se trata de criar acusação paralela, mas de assegurar que a vítima possa acompanhar e influenciar legitimamente o desenvolvimento da ação penal, sempre respeitando a titularidade do Ministério Público e as garantias do acusado</w:t>
      </w:r>
      <w:r>
        <w:rPr>
          <w:rFonts w:ascii="Arial" w:hAnsi="Arial"/>
          <w:sz w:val="20"/>
          <w:szCs w:val="20"/>
          <w:lang w:val="pt-BR"/>
        </w:rPr>
        <w:t>. (Lima, 2022, p. 121).</w:t>
      </w:r>
      <w:r>
        <w:rPr>
          <w:rFonts w:ascii="Arial" w:hAnsi="Arial"/>
          <w:sz w:val="20"/>
          <w:szCs w:val="20"/>
          <w:lang w:val="pt-BR"/>
        </w:rPr>
        <w:tab/>
      </w:r>
      <w:r>
        <w:rPr>
          <w:rFonts w:ascii="Arial" w:hAnsi="Arial"/>
          <w:sz w:val="20"/>
          <w:szCs w:val="20"/>
          <w:lang w:val="pt-BR"/>
        </w:rPr>
        <w:tab/>
      </w:r>
      <w:r>
        <w:rPr>
          <w:rFonts w:ascii="Arial" w:hAnsi="Arial"/>
          <w:sz w:val="20"/>
          <w:szCs w:val="20"/>
          <w:lang w:val="pt-BR"/>
        </w:rPr>
        <w:tab/>
      </w:r>
      <w:r>
        <w:rPr>
          <w:rFonts w:ascii="Arial" w:hAnsi="Arial"/>
          <w:sz w:val="20"/>
          <w:szCs w:val="20"/>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 xml:space="preserve">Desse modo, a atuação do assistente de acusação encontra dois limites fundamentais: a impossibilidade de substituir o Ministério Público e a necessidade de respeitar as garantias constitucionais do acusado, especialmente o contraditório, a ampla defesa e a presunção de inocência. </w:t>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Por outro lado, a exclusão excessiva da vítima pode gerar déficit democrático no processo penal. A moderna compreensão do acesso à justiça exige que o sistema jurisdicional ofereça respostas não apenas ao Estado, mas também àqueles diretamente afetados pela infração penal. Assim, a atuação do assistente de acusação deve ser vista como instrumento de equilíbrio, e não como ameaça à estrutura acusatória.</w:t>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lastRenderedPageBreak/>
        <w:t>A compatibilização entre esses elementos revela que a assistência à acusação ocupa posição intermediária: não se trata de acusação autônoma, tampouco de mera formalidade processual. Trata-se de mecanismo de colaboração institucional que fortalece a transparência, amplia o controle da atividade persecutória e contribui para a legitimidade das decisões judiciais.</w:t>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Portanto, os limites da atuação do assistente de acusação não devem ser interpretados de forma restritiva a ponto de inviabilizar sua função, nem de maneira expansiva a ponto de comprometer o sistema acusatório. O equilíbrio entre participação da vítima e preservação das garantias fundamentais constitui requisito essencial para a consolidação de um processo penal democrático.</w:t>
      </w:r>
    </w:p>
    <w:p w:rsidR="009D60B7" w:rsidRDefault="009D60B7">
      <w:pPr>
        <w:pStyle w:val="NormalWeb"/>
        <w:widowControl/>
        <w:spacing w:beforeAutospacing="0" w:afterAutospacing="0" w:line="360" w:lineRule="auto"/>
        <w:ind w:firstLine="706"/>
        <w:jc w:val="both"/>
        <w:rPr>
          <w:rFonts w:ascii="Arial" w:hAnsi="Arial"/>
          <w:lang w:val="pt-BR"/>
        </w:rPr>
      </w:pPr>
    </w:p>
    <w:p w:rsidR="009D60B7" w:rsidRPr="000A0034" w:rsidRDefault="00425C09">
      <w:pPr>
        <w:pStyle w:val="NormalWeb"/>
        <w:widowControl/>
        <w:spacing w:beforeAutospacing="0" w:afterAutospacing="0" w:line="360" w:lineRule="auto"/>
        <w:jc w:val="both"/>
        <w:rPr>
          <w:rFonts w:ascii="Arial" w:hAnsi="Arial"/>
        </w:rPr>
      </w:pPr>
      <w:r w:rsidRPr="000A0034">
        <w:rPr>
          <w:rFonts w:ascii="Arial" w:hAnsi="Arial"/>
          <w:bCs/>
          <w:lang w:val="pt-BR"/>
        </w:rPr>
        <w:t>4. A LEGITIMIDADE RECURSAL DO ASSISTENTE DA ACUSAÇÃO DIANTE DA INÉRCIA DO MINISTÉRIO PÚBLICO: UMA ANÁLISE À LUZ DA PROTEÇÃO DOS DIREITOS DA VÍTIMA</w:t>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A atuação do assistente da acusação no processo penal brasileiro ganha especial relevância quando se analisa a sua legitimidade recursal diante da inércia do Ministério Público. Tradicionalmente, o Ministério Público, enquanto titular da ação penal pública, detém a primazia na condução da persecução penal, inclusive no que diz respeito à interposição de recursos. Contudo, o ordenamento jurídico brasileiro prevê mecanismos que visam resguardar os interesses da vítima, sobretudo em situações nas quais o órgão ministerial opta por não recorrer de decisões potencialmente prejudiciais.</w:t>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Nesse contexto, surge a figura do assistente da acusação, disciplinada pelo Código de Processo Penal, especialmente em seus artigos 268 a 273. O assistente, que representa os interesses da vítima ou de seus sucessores, atua como parte acessória, auxiliando o Ministério Público na acusação. Entretanto, sua atuação não se limita a um papel meramente subsidiário ou passivo, podendo assumir posição ativa, especialmente no âmbito recursal.</w:t>
      </w:r>
      <w:r>
        <w:rPr>
          <w:rFonts w:ascii="Arial" w:hAnsi="Arial"/>
          <w:lang w:val="pt-BR"/>
        </w:rPr>
        <w:tab/>
      </w:r>
    </w:p>
    <w:p w:rsidR="000A0034"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t>A controvérsia acerca da legitimidade do assistente da acusação para recorrer de forma autônoma, diante da inércia do Ministério Público, foi objeto de intensos debates doutrinários e jurisprudenciais. Atualmente, prevalece o entendimento de que o assistente possui legitimidade para interpor recursos, ainda que o Ministério Público não o faça, desde que já esteja habilitado no processo. Tal posicionamento encontra respaldo no artigo 271 do Código de Processo Penal, que assegura ao assistente a possibilidade de intervir em todos os termos da ação penal.</w:t>
      </w:r>
      <w:r>
        <w:rPr>
          <w:rFonts w:ascii="Arial" w:hAnsi="Arial"/>
          <w:lang w:val="pt-BR"/>
        </w:rPr>
        <w:tab/>
      </w:r>
      <w:r>
        <w:rPr>
          <w:rFonts w:ascii="Arial" w:hAnsi="Arial"/>
          <w:lang w:val="pt-BR"/>
        </w:rPr>
        <w:tab/>
      </w:r>
      <w:r>
        <w:rPr>
          <w:rFonts w:ascii="Arial" w:hAnsi="Arial"/>
          <w:lang w:val="pt-BR"/>
        </w:rPr>
        <w:tab/>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lang w:val="pt-BR"/>
        </w:rPr>
      </w:pPr>
      <w:r>
        <w:rPr>
          <w:rFonts w:ascii="Arial" w:hAnsi="Arial"/>
          <w:lang w:val="pt-BR"/>
        </w:rPr>
        <w:lastRenderedPageBreak/>
        <w:tab/>
        <w:t>De acordo com a doutrina, essa prerrogativa representa um importante instrumento de concretização dos direitos da vítima no processo penal. Conforme leciona Lopes Júnior., “o processo penal deve ser compreendido como um espaço de efetivação de direitos fundamentais, não podendo ignorar a posição jurídica da vítima” (Lopes Júnior., 2023). Nesse sentido, permitir que o assistente da acusação recorra de decisões judiciais supre eventuais lacunas deixadas pela atuação do Ministério Público, garantindo maior equilíbrio entre as partes.</w:t>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r>
      <w:r>
        <w:rPr>
          <w:rFonts w:ascii="Arial" w:hAnsi="Arial"/>
          <w:lang w:val="pt-BR"/>
        </w:rPr>
        <w:tab/>
        <w:t>No âmbito jurisprudencial, o entendimento consolidado dos tribunais superiores, especialmente do Superior Tribunal de Justiça, é no sentido de que o assistente da acusação possui legitimidade recursal autônoma, desde que não haja manifestação expressa do Ministério Público em sentido contrário. Ou seja, a omissão do órgão ministerial não impede a atuação do assistente, mas uma eventual oposição explícita pode limitar essa atuação, em respeito ao princípio da unidade institucional do Ministério Público.</w:t>
      </w:r>
      <w:r>
        <w:rPr>
          <w:rFonts w:ascii="Arial" w:hAnsi="Arial"/>
          <w:lang w:val="pt-BR"/>
        </w:rPr>
        <w:tab/>
      </w:r>
    </w:p>
    <w:p w:rsidR="009D60B7" w:rsidRDefault="00425C09">
      <w:pPr>
        <w:pStyle w:val="NormalWeb"/>
        <w:widowControl/>
        <w:spacing w:beforeAutospacing="0" w:afterAutospacing="0" w:line="360" w:lineRule="auto"/>
        <w:ind w:firstLine="706"/>
        <w:jc w:val="both"/>
        <w:rPr>
          <w:rFonts w:ascii="Arial" w:hAnsi="Arial"/>
        </w:rPr>
      </w:pPr>
      <w:r>
        <w:rPr>
          <w:rFonts w:ascii="Arial" w:hAnsi="Arial"/>
          <w:lang w:val="pt-BR"/>
        </w:rPr>
        <w:t>Dessa forma, a atuação do assistente da acusação como legitimado recursal, quando o Ministério Público se mantém inerte, revela-se como uma importante solução jurídica para assegurar a efetividade da tutela penal e a proteção dos interesses da vítima. Trata-se de um mecanismo que reforça a participação da vítima no processo penal, conferindo-lhe maior protagonismo e contribuindo para a realização da justiça.</w:t>
      </w:r>
    </w:p>
    <w:p w:rsidR="009D60B7" w:rsidRDefault="009D60B7">
      <w:pPr>
        <w:spacing w:line="360" w:lineRule="auto"/>
        <w:jc w:val="both"/>
        <w:rPr>
          <w:rFonts w:ascii="Arial" w:hAnsi="Arial"/>
          <w:b/>
          <w:bCs/>
          <w:sz w:val="20"/>
          <w:szCs w:val="20"/>
          <w:lang w:val="pt-BR"/>
        </w:rPr>
      </w:pPr>
    </w:p>
    <w:p w:rsidR="009D60B7" w:rsidRPr="000A0034" w:rsidRDefault="00425C09">
      <w:pPr>
        <w:spacing w:line="360" w:lineRule="auto"/>
        <w:jc w:val="both"/>
        <w:rPr>
          <w:rFonts w:ascii="Arial" w:hAnsi="Arial"/>
          <w:sz w:val="24"/>
          <w:szCs w:val="24"/>
        </w:rPr>
      </w:pPr>
      <w:r w:rsidRPr="000A0034">
        <w:rPr>
          <w:rFonts w:ascii="Arial" w:hAnsi="Arial"/>
          <w:bCs/>
          <w:sz w:val="24"/>
          <w:szCs w:val="24"/>
          <w:lang w:val="pt-BR"/>
        </w:rPr>
        <w:t>CONCLUSÃO</w:t>
      </w:r>
    </w:p>
    <w:p w:rsidR="009D60B7" w:rsidRDefault="00425C09">
      <w:pPr>
        <w:spacing w:line="360" w:lineRule="auto"/>
        <w:ind w:firstLine="878"/>
        <w:jc w:val="both"/>
        <w:rPr>
          <w:rFonts w:ascii="Arial" w:hAnsi="Arial"/>
          <w:sz w:val="24"/>
          <w:szCs w:val="24"/>
        </w:rPr>
      </w:pPr>
      <w:r>
        <w:rPr>
          <w:rFonts w:ascii="Arial" w:hAnsi="Arial"/>
          <w:sz w:val="24"/>
          <w:szCs w:val="24"/>
          <w:lang w:val="pt-BR"/>
        </w:rPr>
        <w:t xml:space="preserve">A análise da assistência à acusação no processo penal brasileiro evidencia a necessidade de superação de concepções tradicionais que relegavam a vítima a posição meramente secundária na persecução penal. A evolução constitucional promovida pela Constituição Federal de 1988 impôs releitura dos institutos processuais à luz da dignidade da pessoa humana, do acesso à justiça e da efetividade dos direitos fundamentais. </w:t>
      </w:r>
    </w:p>
    <w:p w:rsidR="009D60B7" w:rsidRDefault="00425C09">
      <w:pPr>
        <w:spacing w:line="360" w:lineRule="auto"/>
        <w:ind w:firstLine="878"/>
        <w:jc w:val="both"/>
        <w:rPr>
          <w:rFonts w:ascii="Arial" w:hAnsi="Arial"/>
          <w:sz w:val="24"/>
          <w:szCs w:val="24"/>
        </w:rPr>
      </w:pPr>
      <w:r>
        <w:rPr>
          <w:rFonts w:ascii="Arial" w:hAnsi="Arial"/>
          <w:sz w:val="24"/>
          <w:szCs w:val="24"/>
          <w:lang w:val="pt-BR"/>
        </w:rPr>
        <w:t xml:space="preserve">A assistência à acusação, prevista nos artigos 268 a 273 do Código de Processo Penal, deve ser compreendida como instrumento legítimo de participação da vítima na ação penal públicas. Embora a titularidade da ação permaneça exclusiva do Ministério Público, a intervenção do assistente não representa afronta ao sistema acusatório, desde que observados os limites estruturais do modelo constitucional adotado. </w:t>
      </w:r>
    </w:p>
    <w:p w:rsidR="009D60B7" w:rsidRDefault="00425C09">
      <w:pPr>
        <w:spacing w:line="360" w:lineRule="auto"/>
        <w:ind w:firstLine="878"/>
        <w:jc w:val="both"/>
        <w:rPr>
          <w:rFonts w:ascii="Arial" w:hAnsi="Arial"/>
          <w:sz w:val="24"/>
          <w:szCs w:val="24"/>
        </w:rPr>
      </w:pPr>
      <w:r>
        <w:rPr>
          <w:rFonts w:ascii="Arial" w:hAnsi="Arial"/>
          <w:sz w:val="24"/>
          <w:szCs w:val="24"/>
          <w:lang w:val="pt-BR"/>
        </w:rPr>
        <w:t xml:space="preserve">Verificou-se que a atuação do assistente encontra balizas claras: não pode substituir o órgão acusador, não pode comprometer a imparcialidade judicial e deve respeitar integralmente as garantias fundamentais dos acusados. Entretanto, a </w:t>
      </w:r>
      <w:r>
        <w:rPr>
          <w:rFonts w:ascii="Arial" w:hAnsi="Arial"/>
          <w:sz w:val="24"/>
          <w:szCs w:val="24"/>
          <w:lang w:val="pt-BR"/>
        </w:rPr>
        <w:lastRenderedPageBreak/>
        <w:t xml:space="preserve">interpretação excessivamente restritiva do instituto conduz ao esvaziamento de sua finalidade, transformando a assistência em mecanismo meramente simbólico. </w:t>
      </w:r>
    </w:p>
    <w:p w:rsidR="009D60B7" w:rsidRDefault="00425C09">
      <w:pPr>
        <w:spacing w:line="360" w:lineRule="auto"/>
        <w:ind w:firstLine="878"/>
        <w:jc w:val="both"/>
        <w:rPr>
          <w:rFonts w:ascii="Arial" w:hAnsi="Arial"/>
          <w:sz w:val="24"/>
          <w:szCs w:val="24"/>
          <w:lang w:val="pt-BR"/>
        </w:rPr>
      </w:pPr>
      <w:r>
        <w:rPr>
          <w:rFonts w:ascii="Arial" w:hAnsi="Arial"/>
          <w:sz w:val="24"/>
          <w:szCs w:val="24"/>
          <w:lang w:val="pt-BR"/>
        </w:rPr>
        <w:t xml:space="preserve">A doutrina contemporânea reconhece que a participação da vítima reforça a legitimidade democrática do processo penal. Nesse sentido, como afirma Lopes Jr.: “A presença da vítima no processo penal, quando exercida dentro dos limites constitucionais, representa mecanismo de controle e legitimação da atividade persecutória estatal, não configurando ruptura do modelo acusatório, mas sim seu aperfeiçoamento democrático.” (Lopes Júnior., 2023, p. 1002). </w:t>
      </w:r>
    </w:p>
    <w:p w:rsidR="009D60B7" w:rsidRDefault="00425C09">
      <w:pPr>
        <w:spacing w:line="360" w:lineRule="auto"/>
        <w:ind w:firstLine="878"/>
        <w:jc w:val="both"/>
        <w:rPr>
          <w:rFonts w:ascii="Arial" w:hAnsi="Arial"/>
          <w:sz w:val="24"/>
          <w:szCs w:val="24"/>
          <w:lang w:val="pt-BR"/>
        </w:rPr>
      </w:pPr>
      <w:r>
        <w:rPr>
          <w:rFonts w:ascii="Arial" w:hAnsi="Arial"/>
          <w:sz w:val="24"/>
          <w:szCs w:val="24"/>
          <w:lang w:val="pt-BR"/>
        </w:rPr>
        <w:t xml:space="preserve">Dessa forma, a assistência à acusação deve ser interpretada de maneira sistemática e conforme a Constituição, garantindo participação efetiva da vítima sem comprometer o equilíbrio processual. </w:t>
      </w:r>
      <w:r>
        <w:rPr>
          <w:rFonts w:ascii="Arial" w:hAnsi="Arial"/>
          <w:sz w:val="24"/>
          <w:szCs w:val="24"/>
          <w:lang w:val="pt-BR"/>
        </w:rPr>
        <w:tab/>
      </w:r>
      <w:r>
        <w:rPr>
          <w:rFonts w:ascii="Arial" w:hAnsi="Arial"/>
          <w:sz w:val="24"/>
          <w:szCs w:val="24"/>
          <w:lang w:val="pt-BR"/>
        </w:rPr>
        <w:tab/>
      </w:r>
      <w:r>
        <w:rPr>
          <w:rFonts w:ascii="Arial" w:hAnsi="Arial"/>
          <w:sz w:val="24"/>
          <w:szCs w:val="24"/>
          <w:lang w:val="pt-BR"/>
        </w:rPr>
        <w:tab/>
      </w:r>
      <w:r>
        <w:rPr>
          <w:rFonts w:ascii="Arial" w:hAnsi="Arial"/>
          <w:sz w:val="24"/>
          <w:szCs w:val="24"/>
          <w:lang w:val="pt-BR"/>
        </w:rPr>
        <w:tab/>
      </w:r>
    </w:p>
    <w:p w:rsidR="009D60B7" w:rsidRDefault="00425C09">
      <w:pPr>
        <w:spacing w:line="360" w:lineRule="auto"/>
        <w:ind w:firstLine="878"/>
        <w:jc w:val="both"/>
        <w:rPr>
          <w:rFonts w:ascii="Arial" w:hAnsi="Arial"/>
          <w:sz w:val="24"/>
          <w:szCs w:val="24"/>
        </w:rPr>
      </w:pPr>
      <w:r>
        <w:rPr>
          <w:rFonts w:ascii="Arial" w:hAnsi="Arial"/>
          <w:sz w:val="24"/>
          <w:szCs w:val="24"/>
          <w:lang w:val="pt-BR"/>
        </w:rPr>
        <w:t>A harmonização entre a ampliação da atuação do assistente e a preservação das garantias do acusado constitui elemento essencial para a consolidação de um processo penal verdadeiramente democrático.</w:t>
      </w:r>
    </w:p>
    <w:p w:rsidR="009D60B7" w:rsidRDefault="00425C09">
      <w:pPr>
        <w:spacing w:line="360" w:lineRule="auto"/>
        <w:ind w:firstLine="878"/>
        <w:jc w:val="both"/>
        <w:rPr>
          <w:rFonts w:ascii="Arial" w:hAnsi="Arial"/>
          <w:sz w:val="24"/>
          <w:szCs w:val="24"/>
        </w:rPr>
      </w:pPr>
      <w:r>
        <w:rPr>
          <w:rFonts w:ascii="Arial" w:hAnsi="Arial"/>
          <w:sz w:val="24"/>
          <w:szCs w:val="24"/>
          <w:lang w:val="pt-BR"/>
        </w:rPr>
        <w:t>Conclui-se, portanto, que a assistência à acusação não deve ser tratada como instituto meramente acessório ou residual, mas como mecanismo de fortalecimento da justiça penal, promovendo maior transparência, controle institucional e efetividade da tutela jurisdicional.</w:t>
      </w:r>
    </w:p>
    <w:p w:rsidR="009D60B7" w:rsidRDefault="00425C09">
      <w:pPr>
        <w:spacing w:line="360" w:lineRule="auto"/>
        <w:ind w:firstLine="878"/>
        <w:jc w:val="both"/>
        <w:rPr>
          <w:rFonts w:ascii="Arial" w:hAnsi="Arial"/>
          <w:sz w:val="24"/>
          <w:szCs w:val="24"/>
        </w:rPr>
      </w:pPr>
      <w:r>
        <w:rPr>
          <w:rFonts w:ascii="Arial" w:hAnsi="Arial"/>
          <w:sz w:val="24"/>
          <w:szCs w:val="24"/>
          <w:lang w:val="pt-BR"/>
        </w:rPr>
        <w:t xml:space="preserve"> O desafio contemporâneo reside na construção de interpretação equilibrada, capaz de reconhecer a centralidade dos direitos fundamentais tanto da vítima quanto do acusado, assegurando que o processo penal cumpra sua função constitucional de proteção da dignidade humana e realização da justiça.</w:t>
      </w:r>
    </w:p>
    <w:p w:rsidR="009D60B7" w:rsidRDefault="009D60B7">
      <w:pPr>
        <w:spacing w:line="360" w:lineRule="auto"/>
        <w:ind w:firstLine="708"/>
        <w:jc w:val="both"/>
        <w:rPr>
          <w:rFonts w:ascii="Arial" w:hAnsi="Arial" w:cs="Arial"/>
          <w:sz w:val="20"/>
          <w:szCs w:val="20"/>
          <w:lang w:val="pt-BR"/>
        </w:rPr>
      </w:pPr>
    </w:p>
    <w:p w:rsidR="009D60B7" w:rsidRPr="000A0034" w:rsidRDefault="00425C09">
      <w:pPr>
        <w:spacing w:line="360" w:lineRule="auto"/>
        <w:jc w:val="both"/>
        <w:rPr>
          <w:rFonts w:ascii="Arial" w:hAnsi="Arial"/>
          <w:sz w:val="24"/>
          <w:szCs w:val="24"/>
        </w:rPr>
      </w:pPr>
      <w:r w:rsidRPr="000A0034">
        <w:rPr>
          <w:rFonts w:ascii="Arial" w:hAnsi="Arial"/>
          <w:bCs/>
          <w:sz w:val="24"/>
          <w:szCs w:val="24"/>
          <w:lang w:val="pt-BR"/>
        </w:rPr>
        <w:t>REFERÊNCIAS</w:t>
      </w:r>
    </w:p>
    <w:p w:rsidR="009D60B7" w:rsidRDefault="005E28B2">
      <w:pPr>
        <w:rPr>
          <w:rFonts w:ascii="Arial" w:hAnsi="Arial" w:cs="Arial"/>
          <w:sz w:val="24"/>
          <w:szCs w:val="24"/>
          <w:lang w:val="pt-BR"/>
        </w:rPr>
      </w:pPr>
      <w:r>
        <w:rPr>
          <w:rFonts w:ascii="Arial" w:hAnsi="Arial" w:cs="Arial"/>
          <w:sz w:val="24"/>
          <w:szCs w:val="24"/>
          <w:lang w:val="pt-BR"/>
        </w:rPr>
        <w:t>LOPES JÚNIOR,</w:t>
      </w:r>
      <w:r w:rsidRPr="005E28B2">
        <w:rPr>
          <w:rFonts w:ascii="Arial" w:hAnsi="Arial" w:cs="Arial"/>
          <w:sz w:val="24"/>
          <w:szCs w:val="24"/>
          <w:lang w:val="pt-BR"/>
        </w:rPr>
        <w:t xml:space="preserve"> </w:t>
      </w:r>
      <w:r>
        <w:rPr>
          <w:rFonts w:ascii="Arial" w:hAnsi="Arial" w:cs="Arial"/>
          <w:sz w:val="24"/>
          <w:szCs w:val="24"/>
          <w:lang w:val="pt-BR"/>
        </w:rPr>
        <w:t>Aury</w:t>
      </w:r>
      <w:r w:rsidR="00425C09">
        <w:rPr>
          <w:rFonts w:ascii="Arial" w:hAnsi="Arial" w:cs="Arial"/>
          <w:sz w:val="24"/>
          <w:szCs w:val="24"/>
          <w:lang w:val="pt-BR"/>
        </w:rPr>
        <w:t xml:space="preserve">. </w:t>
      </w:r>
      <w:r w:rsidR="00425C09" w:rsidRPr="005E28B2">
        <w:rPr>
          <w:rFonts w:ascii="Arial" w:hAnsi="Arial" w:cs="Arial"/>
          <w:b/>
          <w:sz w:val="24"/>
          <w:szCs w:val="24"/>
          <w:lang w:val="pt-BR"/>
        </w:rPr>
        <w:t>Direito Processual Penal</w:t>
      </w:r>
      <w:r w:rsidR="00425C09">
        <w:rPr>
          <w:rFonts w:ascii="Arial" w:hAnsi="Arial" w:cs="Arial"/>
          <w:sz w:val="24"/>
          <w:szCs w:val="24"/>
          <w:lang w:val="pt-BR"/>
        </w:rPr>
        <w:t xml:space="preserve">. 20. ed. São Paulo: Saraiva, 2023. Acesso em 20 Mar. </w:t>
      </w:r>
      <w:r>
        <w:rPr>
          <w:rFonts w:ascii="Arial" w:hAnsi="Arial" w:cs="Arial"/>
          <w:sz w:val="24"/>
          <w:szCs w:val="24"/>
          <w:lang w:val="pt-BR"/>
        </w:rPr>
        <w:t>d</w:t>
      </w:r>
      <w:r w:rsidR="00425C09">
        <w:rPr>
          <w:rFonts w:ascii="Arial" w:hAnsi="Arial" w:cs="Arial"/>
          <w:sz w:val="24"/>
          <w:szCs w:val="24"/>
          <w:lang w:val="pt-BR"/>
        </w:rPr>
        <w:t>e 2026</w:t>
      </w:r>
    </w:p>
    <w:p w:rsidR="005E28B2" w:rsidRDefault="005E28B2">
      <w:pPr>
        <w:rPr>
          <w:rFonts w:ascii="Arial" w:hAnsi="Arial" w:cs="Arial"/>
          <w:sz w:val="24"/>
          <w:szCs w:val="24"/>
        </w:rPr>
      </w:pPr>
    </w:p>
    <w:p w:rsidR="009D60B7" w:rsidRDefault="00425C09">
      <w:pPr>
        <w:rPr>
          <w:rFonts w:ascii="Arial" w:hAnsi="Arial" w:cs="Arial"/>
          <w:sz w:val="24"/>
          <w:szCs w:val="24"/>
        </w:rPr>
      </w:pPr>
      <w:r>
        <w:rPr>
          <w:rFonts w:ascii="Arial" w:hAnsi="Arial" w:cs="Arial"/>
          <w:sz w:val="24"/>
          <w:szCs w:val="24"/>
          <w:lang w:val="pt-BR"/>
        </w:rPr>
        <w:t xml:space="preserve">BRASIL. Constituição (1988). </w:t>
      </w:r>
      <w:r>
        <w:rPr>
          <w:rFonts w:ascii="Arial" w:hAnsi="Arial" w:cs="Arial"/>
          <w:b/>
          <w:bCs/>
          <w:sz w:val="24"/>
          <w:szCs w:val="24"/>
          <w:lang w:val="pt-BR"/>
        </w:rPr>
        <w:t>Constituição da República Federativa do Brasil de 1988</w:t>
      </w:r>
      <w:r>
        <w:rPr>
          <w:rFonts w:ascii="Arial" w:hAnsi="Arial" w:cs="Arial"/>
          <w:sz w:val="24"/>
          <w:szCs w:val="24"/>
          <w:lang w:val="pt-BR"/>
        </w:rPr>
        <w:t>. Brasília, DF:</w:t>
      </w:r>
      <w:r>
        <w:rPr>
          <w:rFonts w:ascii="Arial" w:hAnsi="Arial" w:cs="Arial"/>
          <w:sz w:val="24"/>
          <w:szCs w:val="24"/>
          <w:lang w:val="pt-BR"/>
        </w:rPr>
        <w:tab/>
        <w:t>Senado</w:t>
      </w:r>
      <w:r>
        <w:rPr>
          <w:rFonts w:ascii="Arial" w:hAnsi="Arial" w:cs="Arial"/>
          <w:sz w:val="24"/>
          <w:szCs w:val="24"/>
          <w:lang w:val="pt-BR"/>
        </w:rPr>
        <w:tab/>
        <w:t>Federal,</w:t>
      </w:r>
      <w:r>
        <w:rPr>
          <w:rFonts w:ascii="Arial" w:hAnsi="Arial" w:cs="Arial"/>
          <w:sz w:val="24"/>
          <w:szCs w:val="24"/>
          <w:lang w:val="pt-BR"/>
        </w:rPr>
        <w:tab/>
        <w:t>1988.</w:t>
      </w:r>
      <w:r>
        <w:rPr>
          <w:rFonts w:ascii="Arial" w:hAnsi="Arial" w:cs="Arial"/>
          <w:sz w:val="24"/>
          <w:szCs w:val="24"/>
          <w:lang w:val="pt-BR"/>
        </w:rPr>
        <w:tab/>
        <w:t>Disponível</w:t>
      </w:r>
      <w:r>
        <w:rPr>
          <w:rFonts w:ascii="Arial" w:hAnsi="Arial" w:cs="Arial"/>
          <w:sz w:val="24"/>
          <w:szCs w:val="24"/>
          <w:lang w:val="pt-BR"/>
        </w:rPr>
        <w:tab/>
        <w:t>em: https://www.planalto.gov.br/ccivil_03/constituicao/constituicao.htm. Acesso em: 25 fev. 2026.</w:t>
      </w:r>
    </w:p>
    <w:p w:rsidR="009D60B7" w:rsidRDefault="009D60B7">
      <w:pPr>
        <w:rPr>
          <w:rFonts w:ascii="Arial" w:hAnsi="Arial" w:cs="Arial"/>
          <w:sz w:val="24"/>
          <w:szCs w:val="24"/>
          <w:lang w:val="pt-BR"/>
        </w:rPr>
      </w:pPr>
    </w:p>
    <w:p w:rsidR="009D60B7" w:rsidRDefault="00425C09">
      <w:pPr>
        <w:rPr>
          <w:rFonts w:ascii="Arial" w:hAnsi="Arial" w:cs="Arial"/>
          <w:sz w:val="24"/>
          <w:szCs w:val="24"/>
          <w:lang w:val="pt-BR"/>
        </w:rPr>
      </w:pPr>
      <w:r>
        <w:rPr>
          <w:rFonts w:ascii="Arial" w:hAnsi="Arial" w:cs="Arial"/>
          <w:sz w:val="24"/>
          <w:szCs w:val="24"/>
          <w:lang w:val="pt-BR"/>
        </w:rPr>
        <w:t xml:space="preserve">BRASIL. </w:t>
      </w:r>
      <w:r>
        <w:rPr>
          <w:rFonts w:ascii="Arial" w:hAnsi="Arial" w:cs="Arial"/>
          <w:b/>
          <w:bCs/>
          <w:sz w:val="24"/>
          <w:szCs w:val="24"/>
          <w:lang w:val="pt-BR"/>
        </w:rPr>
        <w:t>Código de Processo Penal</w:t>
      </w:r>
      <w:r>
        <w:rPr>
          <w:rFonts w:ascii="Arial" w:hAnsi="Arial" w:cs="Arial"/>
          <w:sz w:val="24"/>
          <w:szCs w:val="24"/>
          <w:lang w:val="pt-BR"/>
        </w:rPr>
        <w:t>. Decreto-Lei nº 3.689, de 3 de outubro de 1941. Brasília, DF: Presidência da República, 1941. Disponível em: https://www.planalto.gov.br/ccivil_03/decreto- lei/del3689.htm. Acesso em: 25 fev. 2026.</w:t>
      </w:r>
    </w:p>
    <w:p w:rsidR="009D60B7" w:rsidRDefault="009D60B7">
      <w:pPr>
        <w:rPr>
          <w:rFonts w:ascii="Arial" w:hAnsi="Arial" w:cs="Arial"/>
          <w:sz w:val="24"/>
          <w:szCs w:val="24"/>
          <w:lang w:val="pt-BR"/>
        </w:rPr>
      </w:pPr>
    </w:p>
    <w:p w:rsidR="009D60B7" w:rsidRDefault="00425C09">
      <w:pPr>
        <w:rPr>
          <w:rFonts w:ascii="Arial" w:hAnsi="Arial" w:cs="Arial"/>
          <w:sz w:val="24"/>
          <w:szCs w:val="24"/>
          <w:lang w:val="pt-BR"/>
        </w:rPr>
      </w:pPr>
      <w:r>
        <w:rPr>
          <w:rFonts w:ascii="Arial" w:hAnsi="Arial" w:cs="Arial"/>
          <w:sz w:val="24"/>
          <w:szCs w:val="24"/>
          <w:lang w:val="pt-BR"/>
        </w:rPr>
        <w:t xml:space="preserve">BRASIL. </w:t>
      </w:r>
      <w:r>
        <w:rPr>
          <w:rFonts w:ascii="Arial" w:hAnsi="Arial" w:cs="Arial"/>
          <w:b/>
          <w:bCs/>
          <w:sz w:val="24"/>
          <w:szCs w:val="24"/>
          <w:lang w:val="pt-BR"/>
        </w:rPr>
        <w:t>Código de Processo Penal</w:t>
      </w:r>
      <w:r>
        <w:rPr>
          <w:rFonts w:ascii="Arial" w:hAnsi="Arial" w:cs="Arial"/>
          <w:sz w:val="24"/>
          <w:szCs w:val="24"/>
          <w:lang w:val="pt-BR"/>
        </w:rPr>
        <w:t xml:space="preserve">. Decreto-Lei nº 3.689, de 3 de outubro de 1941. BRASIL. Superior Tribunal de Justiça. Jurisprudência sobre legitimidade do assistente da acusação para interposição de recursos. Disponível em: </w:t>
      </w:r>
      <w:hyperlink r:id="rId203" w:tgtFrame="_new">
        <w:r>
          <w:rPr>
            <w:rFonts w:ascii="Arial" w:hAnsi="Arial" w:cs="Arial"/>
            <w:sz w:val="24"/>
            <w:szCs w:val="24"/>
            <w:lang w:val="pt-BR"/>
          </w:rPr>
          <w:t>https://www.stj.jus.br</w:t>
        </w:r>
      </w:hyperlink>
      <w:r>
        <w:rPr>
          <w:rFonts w:ascii="Arial" w:hAnsi="Arial" w:cs="Arial"/>
          <w:sz w:val="24"/>
          <w:szCs w:val="24"/>
          <w:lang w:val="pt-BR"/>
        </w:rPr>
        <w:t>. Acesso em: 07 abr. 2026.</w:t>
      </w:r>
    </w:p>
    <w:p w:rsidR="009D60B7" w:rsidRDefault="009D60B7">
      <w:pPr>
        <w:rPr>
          <w:rFonts w:ascii="Arial" w:hAnsi="Arial" w:cs="Arial"/>
          <w:sz w:val="24"/>
          <w:szCs w:val="24"/>
          <w:lang w:val="pt-BR"/>
        </w:rPr>
      </w:pPr>
    </w:p>
    <w:p w:rsidR="009D60B7" w:rsidRDefault="00425C09">
      <w:pPr>
        <w:rPr>
          <w:rFonts w:ascii="Arial" w:hAnsi="Arial" w:cs="Arial"/>
          <w:sz w:val="24"/>
          <w:szCs w:val="24"/>
          <w:lang w:val="pt-BR"/>
        </w:rPr>
      </w:pPr>
      <w:r>
        <w:rPr>
          <w:rFonts w:ascii="Arial" w:hAnsi="Arial" w:cs="Arial"/>
          <w:sz w:val="24"/>
          <w:szCs w:val="24"/>
          <w:lang w:val="pt-BR"/>
        </w:rPr>
        <w:t xml:space="preserve">BRASIL. </w:t>
      </w:r>
      <w:r>
        <w:rPr>
          <w:rFonts w:ascii="Arial" w:hAnsi="Arial" w:cs="Arial"/>
          <w:b/>
          <w:bCs/>
          <w:sz w:val="24"/>
          <w:szCs w:val="24"/>
          <w:lang w:val="pt-BR"/>
        </w:rPr>
        <w:t>Supremo Tribunal Federal. Habeas Corpus</w:t>
      </w:r>
      <w:r>
        <w:rPr>
          <w:rFonts w:ascii="Arial" w:hAnsi="Arial" w:cs="Arial"/>
          <w:sz w:val="24"/>
          <w:szCs w:val="24"/>
          <w:lang w:val="pt-BR"/>
        </w:rPr>
        <w:t xml:space="preserve"> n. 127.900/SP. Relator: Min. Teori Zavascki. Julgado em 03 mar. 2015. Disponível em: https://portal.stf.jus.br. Acesso em: 25 fev. 2026.</w:t>
      </w:r>
    </w:p>
    <w:p w:rsidR="009D60B7" w:rsidRDefault="009D60B7">
      <w:pPr>
        <w:rPr>
          <w:rFonts w:ascii="Arial" w:hAnsi="Arial" w:cs="Arial"/>
          <w:sz w:val="24"/>
          <w:szCs w:val="24"/>
          <w:lang w:val="pt-BR"/>
        </w:rPr>
      </w:pPr>
    </w:p>
    <w:p w:rsidR="009D60B7" w:rsidRDefault="00425C09">
      <w:pPr>
        <w:rPr>
          <w:rFonts w:ascii="Arial" w:hAnsi="Arial" w:cs="Arial"/>
          <w:sz w:val="24"/>
          <w:szCs w:val="24"/>
          <w:lang w:val="pt-BR"/>
        </w:rPr>
      </w:pPr>
      <w:r>
        <w:rPr>
          <w:rFonts w:ascii="Arial" w:hAnsi="Arial" w:cs="Arial"/>
          <w:sz w:val="24"/>
          <w:szCs w:val="24"/>
          <w:lang w:val="pt-BR"/>
        </w:rPr>
        <w:t xml:space="preserve">BRASIL. </w:t>
      </w:r>
      <w:r>
        <w:rPr>
          <w:rFonts w:ascii="Arial" w:hAnsi="Arial" w:cs="Arial"/>
          <w:b/>
          <w:bCs/>
          <w:sz w:val="24"/>
          <w:szCs w:val="24"/>
          <w:lang w:val="pt-BR"/>
        </w:rPr>
        <w:t>Superior Tribunal de Justiça. Recurso Especial</w:t>
      </w:r>
      <w:r>
        <w:rPr>
          <w:rFonts w:ascii="Arial" w:hAnsi="Arial" w:cs="Arial"/>
          <w:sz w:val="24"/>
          <w:szCs w:val="24"/>
          <w:lang w:val="pt-BR"/>
        </w:rPr>
        <w:t xml:space="preserve"> n. 1.675.874/RS. Relator: Min. Ribeiro Dantas. Julgado em 06 jun. 2017. Disponível em: https://www.stj.jus.br. Acesso em: 25 fev. 2026.</w:t>
      </w:r>
    </w:p>
    <w:p w:rsidR="009D60B7" w:rsidRDefault="009D60B7">
      <w:pPr>
        <w:rPr>
          <w:rFonts w:ascii="Arial" w:hAnsi="Arial" w:cs="Arial"/>
          <w:sz w:val="24"/>
          <w:szCs w:val="24"/>
          <w:lang w:val="pt-BR"/>
        </w:rPr>
      </w:pPr>
    </w:p>
    <w:p w:rsidR="009D60B7" w:rsidRDefault="00425C09">
      <w:pPr>
        <w:rPr>
          <w:rFonts w:ascii="Arial" w:hAnsi="Arial" w:cs="Arial"/>
          <w:sz w:val="24"/>
          <w:szCs w:val="24"/>
        </w:rPr>
      </w:pPr>
      <w:r>
        <w:rPr>
          <w:rFonts w:ascii="Arial" w:hAnsi="Arial" w:cs="Arial"/>
          <w:b/>
          <w:bCs/>
          <w:sz w:val="24"/>
          <w:szCs w:val="24"/>
          <w:lang w:val="pt-BR"/>
        </w:rPr>
        <w:t>CONSELHO NACIONAL DE JUSTIÇA (CNJ).</w:t>
      </w:r>
      <w:r>
        <w:rPr>
          <w:rFonts w:ascii="Arial" w:hAnsi="Arial" w:cs="Arial"/>
          <w:sz w:val="24"/>
          <w:szCs w:val="24"/>
          <w:lang w:val="pt-BR"/>
        </w:rPr>
        <w:t xml:space="preserve"> Resolução n. 386, de 9 de abril de 2021. Dispõe sobre a política institucional do Poder Judiciário de atenção e apoio às vítimas de crimes e atos infracionais. Disponível em: https://atos.cnj.jus.br. Acesso em: 25 fev. 2026.</w:t>
      </w:r>
    </w:p>
    <w:p w:rsidR="009D60B7" w:rsidRDefault="00425C09">
      <w:pPr>
        <w:rPr>
          <w:rFonts w:ascii="Arial" w:hAnsi="Arial" w:cs="Arial"/>
          <w:sz w:val="24"/>
          <w:szCs w:val="24"/>
          <w:lang w:val="pt-BR"/>
        </w:rPr>
      </w:pPr>
      <w:r>
        <w:rPr>
          <w:rFonts w:ascii="Arial" w:hAnsi="Arial" w:cs="Arial"/>
          <w:b/>
          <w:bCs/>
          <w:sz w:val="24"/>
          <w:szCs w:val="24"/>
          <w:lang w:val="pt-BR"/>
        </w:rPr>
        <w:t>CORTE INTERAMERICANA DE DIREITOS HUMANOS</w:t>
      </w:r>
      <w:r>
        <w:rPr>
          <w:rFonts w:ascii="Arial" w:hAnsi="Arial" w:cs="Arial"/>
          <w:sz w:val="24"/>
          <w:szCs w:val="24"/>
          <w:lang w:val="pt-BR"/>
        </w:rPr>
        <w:t>. Caso Favela Nova Brasília vs. Brasil. Sentença de 16 fev. 2017. Disponível em: https://www.corteidh.or.cr. Acesso em: 25 fev. 2026.</w:t>
      </w:r>
    </w:p>
    <w:p w:rsidR="009D60B7" w:rsidRDefault="009D60B7">
      <w:pPr>
        <w:rPr>
          <w:rFonts w:ascii="Arial" w:hAnsi="Arial" w:cs="Arial"/>
          <w:sz w:val="24"/>
          <w:szCs w:val="24"/>
          <w:lang w:val="pt-BR"/>
        </w:rPr>
      </w:pPr>
    </w:p>
    <w:p w:rsidR="009D60B7" w:rsidRDefault="00425C09">
      <w:pPr>
        <w:rPr>
          <w:rFonts w:ascii="Arial" w:hAnsi="Arial" w:cs="Arial"/>
          <w:sz w:val="24"/>
          <w:szCs w:val="24"/>
          <w:lang w:val="pt-BR"/>
        </w:rPr>
      </w:pPr>
      <w:r>
        <w:rPr>
          <w:rFonts w:ascii="Arial" w:hAnsi="Arial" w:cs="Arial"/>
          <w:sz w:val="24"/>
          <w:szCs w:val="24"/>
          <w:lang w:val="pt-BR"/>
        </w:rPr>
        <w:t xml:space="preserve">LIMA, </w:t>
      </w:r>
      <w:r>
        <w:rPr>
          <w:rFonts w:ascii="Arial" w:hAnsi="Arial" w:cs="Arial"/>
          <w:b/>
          <w:bCs/>
          <w:sz w:val="24"/>
          <w:szCs w:val="24"/>
          <w:lang w:val="pt-BR"/>
        </w:rPr>
        <w:t>Renato Brasileiro de. Manual de Processo Penal.</w:t>
      </w:r>
      <w:r>
        <w:rPr>
          <w:rFonts w:ascii="Arial" w:hAnsi="Arial" w:cs="Arial"/>
          <w:sz w:val="24"/>
          <w:szCs w:val="24"/>
          <w:lang w:val="pt-BR"/>
        </w:rPr>
        <w:t xml:space="preserve"> 10. ed. Salvador: JusPodivm, 2022. LOPES JR., Aury. Direito Processual Penal. 20. ed. São Paulo: SaraivaJur, 2023. Acesso em: 26 fev.2026.</w:t>
      </w:r>
    </w:p>
    <w:p w:rsidR="009D60B7" w:rsidRDefault="009D60B7">
      <w:pPr>
        <w:rPr>
          <w:rFonts w:ascii="Arial" w:hAnsi="Arial" w:cs="Arial"/>
          <w:sz w:val="24"/>
          <w:szCs w:val="24"/>
          <w:lang w:val="pt-BR"/>
        </w:rPr>
      </w:pPr>
    </w:p>
    <w:p w:rsidR="009D60B7" w:rsidRDefault="00425C09">
      <w:pPr>
        <w:rPr>
          <w:rFonts w:ascii="Arial" w:hAnsi="Arial" w:cs="Arial"/>
          <w:sz w:val="24"/>
          <w:szCs w:val="24"/>
          <w:lang w:val="pt-BR"/>
        </w:rPr>
      </w:pPr>
      <w:r>
        <w:rPr>
          <w:rFonts w:ascii="Arial" w:hAnsi="Arial" w:cs="Arial"/>
          <w:b/>
          <w:bCs/>
          <w:sz w:val="24"/>
          <w:szCs w:val="24"/>
          <w:lang w:val="pt-BR"/>
        </w:rPr>
        <w:t>NUCCI,</w:t>
      </w:r>
      <w:r>
        <w:rPr>
          <w:rFonts w:ascii="Arial" w:hAnsi="Arial" w:cs="Arial"/>
          <w:sz w:val="24"/>
          <w:szCs w:val="24"/>
          <w:lang w:val="pt-BR"/>
        </w:rPr>
        <w:t xml:space="preserve"> Guilherme de Souza. Código de Processo Penal Comentado. 20. ed. Rio de Janeiro: Forense, 2021. Acesso 26 fev.2026</w:t>
      </w:r>
    </w:p>
    <w:p w:rsidR="009D60B7" w:rsidRDefault="009D60B7">
      <w:pPr>
        <w:rPr>
          <w:rFonts w:ascii="Arial" w:hAnsi="Arial" w:cs="Arial"/>
          <w:sz w:val="24"/>
          <w:szCs w:val="24"/>
          <w:lang w:val="pt-BR"/>
        </w:rPr>
      </w:pPr>
    </w:p>
    <w:p w:rsidR="009D60B7" w:rsidRDefault="00425C09">
      <w:pPr>
        <w:rPr>
          <w:rFonts w:ascii="Arial" w:hAnsi="Arial" w:cs="Arial"/>
          <w:sz w:val="24"/>
          <w:szCs w:val="24"/>
        </w:rPr>
      </w:pPr>
      <w:r>
        <w:rPr>
          <w:rFonts w:ascii="Arial" w:hAnsi="Arial" w:cs="Arial"/>
          <w:b/>
          <w:bCs/>
          <w:sz w:val="24"/>
          <w:szCs w:val="24"/>
          <w:lang w:val="pt-BR"/>
        </w:rPr>
        <w:t xml:space="preserve">ORGANIZAÇÃO DOS ESTADOS AMERICANOS (OEA). </w:t>
      </w:r>
      <w:r>
        <w:rPr>
          <w:rFonts w:ascii="Arial" w:hAnsi="Arial" w:cs="Arial"/>
          <w:sz w:val="24"/>
          <w:szCs w:val="24"/>
          <w:lang w:val="pt-BR"/>
        </w:rPr>
        <w:t>Convenção Americana sobre Direitos Humanos (Pacto de San José da Costa Rica). San José, 1969. Disponível em: https://www.oas.org. Acesso em: 25 fev. 2026.</w:t>
      </w: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spacing w:line="360" w:lineRule="auto"/>
        <w:ind w:firstLine="708"/>
        <w:jc w:val="both"/>
        <w:rPr>
          <w:rFonts w:ascii="Arial" w:hAnsi="Arial" w:cs="Times New Roman"/>
          <w:spacing w:val="-2"/>
          <w:sz w:val="20"/>
          <w:szCs w:val="20"/>
        </w:rPr>
      </w:pPr>
    </w:p>
    <w:p w:rsidR="009D60B7" w:rsidRDefault="009D60B7">
      <w:pPr>
        <w:rPr>
          <w:rFonts w:ascii="Arial" w:hAnsi="Arial"/>
          <w:b/>
          <w:bCs/>
          <w:sz w:val="20"/>
          <w:szCs w:val="20"/>
          <w:highlight w:val="yellow"/>
          <w:lang w:val="pt-BR"/>
        </w:rPr>
      </w:pPr>
    </w:p>
    <w:p w:rsidR="009D60B7" w:rsidRDefault="00425C09">
      <w:pPr>
        <w:jc w:val="center"/>
        <w:rPr>
          <w:rFonts w:ascii="Arial" w:eastAsia="Times New Roman" w:hAnsi="Arial" w:cs="Times New Roman"/>
          <w:b/>
          <w:bCs/>
          <w:spacing w:val="-6"/>
          <w:sz w:val="24"/>
          <w:szCs w:val="24"/>
          <w:lang w:val="pt-BR"/>
        </w:rPr>
      </w:pPr>
      <w:r>
        <w:rPr>
          <w:rFonts w:ascii="Arial" w:eastAsia="Times New Roman" w:hAnsi="Arial" w:cs="Times New Roman"/>
          <w:b/>
          <w:bCs/>
          <w:spacing w:val="-6"/>
          <w:sz w:val="24"/>
          <w:szCs w:val="24"/>
          <w:lang w:val="pt-BR"/>
        </w:rPr>
        <w:t xml:space="preserve">RACISMO NOS ESTÁDIOS: ANÁLISE DA </w:t>
      </w:r>
    </w:p>
    <w:p w:rsidR="009D60B7" w:rsidRDefault="00425C09">
      <w:pPr>
        <w:jc w:val="center"/>
        <w:rPr>
          <w:rFonts w:ascii="Arial" w:hAnsi="Arial"/>
          <w:sz w:val="24"/>
          <w:szCs w:val="24"/>
        </w:rPr>
      </w:pPr>
      <w:r>
        <w:rPr>
          <w:rFonts w:ascii="Arial" w:eastAsia="Times New Roman" w:hAnsi="Arial" w:cs="Times New Roman"/>
          <w:b/>
          <w:bCs/>
          <w:spacing w:val="-6"/>
          <w:sz w:val="24"/>
          <w:szCs w:val="24"/>
          <w:lang w:val="pt-BR"/>
        </w:rPr>
        <w:t>RESPONSABILIDADE PENAL DOS ENVOLVIDOS</w:t>
      </w:r>
    </w:p>
    <w:p w:rsidR="009D60B7" w:rsidRDefault="009D60B7">
      <w:pPr>
        <w:jc w:val="center"/>
        <w:rPr>
          <w:rFonts w:ascii="Arial" w:eastAsia="Times New Roman" w:hAnsi="Arial" w:cs="Times New Roman"/>
          <w:b/>
          <w:bCs/>
          <w:spacing w:val="-6"/>
          <w:sz w:val="24"/>
          <w:szCs w:val="24"/>
          <w:highlight w:val="yellow"/>
          <w:lang w:val="pt-BR"/>
        </w:rPr>
      </w:pPr>
    </w:p>
    <w:p w:rsidR="009D60B7" w:rsidRDefault="009D60B7">
      <w:pPr>
        <w:jc w:val="center"/>
        <w:rPr>
          <w:rFonts w:ascii="Arial" w:eastAsia="Times New Roman" w:hAnsi="Arial" w:cs="Times New Roman"/>
          <w:b/>
          <w:bCs/>
          <w:spacing w:val="-6"/>
          <w:sz w:val="24"/>
          <w:szCs w:val="24"/>
          <w:highlight w:val="yellow"/>
          <w:lang w:val="pt-BR"/>
        </w:rPr>
      </w:pPr>
    </w:p>
    <w:p w:rsidR="009D60B7" w:rsidRDefault="00425C09">
      <w:pPr>
        <w:ind w:hanging="14"/>
        <w:jc w:val="center"/>
        <w:rPr>
          <w:rFonts w:ascii="Arial" w:hAnsi="Arial"/>
          <w:sz w:val="24"/>
          <w:szCs w:val="24"/>
        </w:rPr>
      </w:pPr>
      <w:r>
        <w:rPr>
          <w:rFonts w:ascii="Arial" w:hAnsi="Arial" w:cs="Times New Roman"/>
          <w:sz w:val="24"/>
          <w:szCs w:val="24"/>
        </w:rPr>
        <w:t>Ana Júlia Rosa Rodrigues</w:t>
      </w:r>
      <w:r>
        <w:rPr>
          <w:rStyle w:val="Refdenotaderodap"/>
          <w:rFonts w:ascii="Arial" w:hAnsi="Arial" w:cs="Times New Roman"/>
          <w:sz w:val="24"/>
          <w:szCs w:val="24"/>
        </w:rPr>
        <w:footnoteReference w:id="51"/>
      </w:r>
      <w:r>
        <w:rPr>
          <w:rFonts w:ascii="Arial" w:hAnsi="Arial" w:cs="Times New Roman"/>
          <w:sz w:val="24"/>
          <w:szCs w:val="24"/>
        </w:rPr>
        <w:t xml:space="preserve"> </w:t>
      </w:r>
    </w:p>
    <w:p w:rsidR="009D60B7" w:rsidRDefault="00425C09">
      <w:pPr>
        <w:ind w:hanging="14"/>
        <w:jc w:val="center"/>
        <w:rPr>
          <w:rFonts w:ascii="Arial" w:hAnsi="Arial"/>
          <w:sz w:val="24"/>
          <w:szCs w:val="24"/>
        </w:rPr>
      </w:pPr>
      <w:r>
        <w:rPr>
          <w:rFonts w:ascii="Arial" w:hAnsi="Arial" w:cs="Times New Roman"/>
          <w:sz w:val="24"/>
          <w:szCs w:val="24"/>
        </w:rPr>
        <w:t>Gegislene Costa Ribeiro</w:t>
      </w:r>
      <w:r>
        <w:rPr>
          <w:rStyle w:val="Refdenotaderodap"/>
          <w:rFonts w:ascii="Arial" w:hAnsi="Arial" w:cs="Times New Roman"/>
          <w:sz w:val="24"/>
          <w:szCs w:val="24"/>
        </w:rPr>
        <w:footnoteReference w:id="52"/>
      </w:r>
      <w:r>
        <w:rPr>
          <w:rFonts w:ascii="Arial" w:hAnsi="Arial" w:cs="Times New Roman"/>
          <w:sz w:val="24"/>
          <w:szCs w:val="24"/>
        </w:rPr>
        <w:t xml:space="preserve"> </w:t>
      </w:r>
    </w:p>
    <w:p w:rsidR="009D60B7" w:rsidRDefault="00425C09">
      <w:pPr>
        <w:ind w:hanging="14"/>
        <w:jc w:val="center"/>
        <w:rPr>
          <w:rFonts w:ascii="Arial" w:hAnsi="Arial"/>
          <w:sz w:val="24"/>
          <w:szCs w:val="24"/>
        </w:rPr>
      </w:pPr>
      <w:r>
        <w:rPr>
          <w:rFonts w:ascii="Arial" w:hAnsi="Arial" w:cs="Times New Roman"/>
          <w:sz w:val="24"/>
          <w:szCs w:val="24"/>
        </w:rPr>
        <w:t>Cristiane Ingrid de Souza Bonfim</w:t>
      </w:r>
      <w:r>
        <w:rPr>
          <w:rStyle w:val="Refdenotaderodap"/>
          <w:rFonts w:ascii="Arial" w:hAnsi="Arial" w:cs="Times New Roman"/>
          <w:sz w:val="24"/>
          <w:szCs w:val="24"/>
        </w:rPr>
        <w:footnoteReference w:id="53"/>
      </w:r>
      <w:r>
        <w:rPr>
          <w:rFonts w:ascii="Arial" w:hAnsi="Arial" w:cs="Times New Roman"/>
          <w:sz w:val="24"/>
          <w:szCs w:val="24"/>
        </w:rPr>
        <w:t xml:space="preserve">   </w:t>
      </w:r>
    </w:p>
    <w:p w:rsidR="009D60B7" w:rsidRDefault="009D60B7">
      <w:pPr>
        <w:pStyle w:val="Corpodetexto"/>
        <w:jc w:val="center"/>
        <w:rPr>
          <w:rFonts w:ascii="Arial" w:hAnsi="Arial" w:cs="Times New Roman"/>
          <w:sz w:val="24"/>
          <w:szCs w:val="24"/>
          <w:highlight w:val="yellow"/>
          <w:u w:val="single"/>
        </w:rPr>
      </w:pPr>
    </w:p>
    <w:p w:rsidR="009D60B7" w:rsidRDefault="009D60B7">
      <w:pPr>
        <w:pStyle w:val="Corpodetexto"/>
        <w:spacing w:before="37"/>
        <w:jc w:val="center"/>
        <w:rPr>
          <w:rFonts w:ascii="Arial" w:hAnsi="Arial" w:cs="Times New Roman"/>
          <w:sz w:val="24"/>
          <w:szCs w:val="24"/>
          <w:highlight w:val="yellow"/>
        </w:rPr>
      </w:pPr>
    </w:p>
    <w:p w:rsidR="009D60B7" w:rsidRPr="002575B4" w:rsidRDefault="00425C09">
      <w:pPr>
        <w:ind w:left="143" w:right="134"/>
        <w:jc w:val="center"/>
        <w:rPr>
          <w:rFonts w:ascii="Arial" w:hAnsi="Arial"/>
          <w:sz w:val="20"/>
          <w:szCs w:val="20"/>
        </w:rPr>
      </w:pPr>
      <w:r w:rsidRPr="002575B4">
        <w:rPr>
          <w:rFonts w:ascii="Arial" w:hAnsi="Arial" w:cs="Times New Roman"/>
          <w:sz w:val="24"/>
          <w:szCs w:val="24"/>
        </w:rPr>
        <w:t>RESUMO</w:t>
      </w:r>
    </w:p>
    <w:p w:rsidR="009D60B7" w:rsidRDefault="009D60B7">
      <w:pPr>
        <w:ind w:left="143" w:right="134"/>
        <w:jc w:val="center"/>
        <w:rPr>
          <w:rFonts w:ascii="Arial" w:hAnsi="Arial" w:cs="Times New Roman"/>
          <w:sz w:val="20"/>
          <w:szCs w:val="20"/>
        </w:rPr>
      </w:pPr>
    </w:p>
    <w:p w:rsidR="009D60B7" w:rsidRDefault="00425C09">
      <w:pPr>
        <w:jc w:val="both"/>
        <w:rPr>
          <w:rFonts w:ascii="Arial" w:hAnsi="Arial"/>
          <w:sz w:val="20"/>
          <w:szCs w:val="20"/>
        </w:rPr>
      </w:pPr>
      <w:r>
        <w:rPr>
          <w:rFonts w:ascii="Arial" w:hAnsi="Arial" w:cs="Times New Roman"/>
          <w:sz w:val="20"/>
          <w:szCs w:val="20"/>
        </w:rPr>
        <w:t>O presente estudo analisa o racismo nos estádios de futebol, com enfoque na responsabilidade penal dos envolvidos, destacando sua relevância social e jurídica diante da persistência de práticas discriminatórias no esporte. A problemática da pesquisa origina da necessidade de responder: em que medida a legislação brasileira é eficaz na responsabilização penal dos envolvidos em atos de racismo no contexto do futebol, e quais são os principais obstáculos para sua efetiva aplicação? O objetivo geral é analisar a responsabilidade penal em atos de racismo nos estádios de futebol, avaliando a eficácia da legislação vigente. E os objetivos específicos, busca compreender suas raízes históricas no futebol brasileiro, diferenciar os conceitos jurídicos relacionados, examinar suas implicações sociais e legais e analisar casos práticos, visando identificar desafios e avanços. Para tanto, adotou-se uma metodologia qualitativa, baseada em revisão bibliográfica, incluindo legislações, artigos científicos e estudos de caso, especialmente no caso de Vinícius Júnior. Os resultados indicam que, embora existam avanços normativos, como a tipificação do racismo e o endurecimento de sanções, ainda há dificuldades na efetivação da justiça, sobretudo na distinção entre racismo e injúria racial e na atuação das instituições. Constatou-se também que o racismo no futebol é expressão de um problema estrutural, frequentemente minimizado por discursos institucionais, mas vivenciado de forma intensa por atletas e torcedores. Conclui-se que o enfrentamento dessa problemática exige não apenas a aplicação rigorosa das leis, mas também políticas públicas integradas, ações educativas e mudanças culturais, a fim de promover um ambiente esportivo mais justo e igualitário.</w:t>
      </w:r>
    </w:p>
    <w:p w:rsidR="009D60B7" w:rsidRDefault="009D60B7">
      <w:pPr>
        <w:spacing w:line="247" w:lineRule="auto"/>
        <w:rPr>
          <w:rFonts w:ascii="Arial" w:hAnsi="Arial" w:cs="Times New Roman"/>
          <w:sz w:val="20"/>
          <w:szCs w:val="20"/>
        </w:rPr>
      </w:pPr>
    </w:p>
    <w:p w:rsidR="009D60B7" w:rsidRDefault="00425C09">
      <w:pPr>
        <w:rPr>
          <w:rFonts w:ascii="Arial" w:hAnsi="Arial"/>
          <w:sz w:val="20"/>
          <w:szCs w:val="20"/>
        </w:rPr>
      </w:pPr>
      <w:r>
        <w:rPr>
          <w:rFonts w:ascii="Arial" w:hAnsi="Arial" w:cs="Times New Roman"/>
          <w:b/>
          <w:sz w:val="20"/>
          <w:szCs w:val="20"/>
        </w:rPr>
        <w:t>PALAVRAS-CHAVE:</w:t>
      </w:r>
      <w:r>
        <w:rPr>
          <w:rFonts w:ascii="Arial" w:hAnsi="Arial" w:cs="Times New Roman"/>
          <w:sz w:val="20"/>
          <w:szCs w:val="20"/>
        </w:rPr>
        <w:t xml:space="preserve"> Discriminação racial. Legislação brasileira. Racismo no futebol. Responsabilidade penal. Violência desportiva.</w:t>
      </w:r>
    </w:p>
    <w:p w:rsidR="009D60B7" w:rsidRDefault="009D60B7">
      <w:pPr>
        <w:spacing w:line="247" w:lineRule="auto"/>
        <w:rPr>
          <w:rFonts w:ascii="Arial" w:hAnsi="Arial" w:cs="Times New Roman"/>
          <w:sz w:val="20"/>
          <w:szCs w:val="20"/>
        </w:rPr>
      </w:pPr>
    </w:p>
    <w:p w:rsidR="009D60B7" w:rsidRDefault="00425C09">
      <w:pPr>
        <w:pStyle w:val="Ttulo1"/>
        <w:ind w:left="0"/>
        <w:jc w:val="both"/>
        <w:rPr>
          <w:rFonts w:ascii="Arial" w:hAnsi="Arial"/>
          <w:sz w:val="24"/>
          <w:szCs w:val="24"/>
        </w:rPr>
      </w:pPr>
      <w:r>
        <w:rPr>
          <w:rFonts w:ascii="Arial" w:hAnsi="Arial" w:cs="Times New Roman"/>
          <w:sz w:val="24"/>
          <w:szCs w:val="24"/>
        </w:rPr>
        <w:t xml:space="preserve">INTRODUÇÃO </w:t>
      </w:r>
    </w:p>
    <w:p w:rsidR="009D60B7" w:rsidRDefault="009D60B7">
      <w:pPr>
        <w:spacing w:line="259" w:lineRule="auto"/>
        <w:rPr>
          <w:rFonts w:ascii="Arial" w:hAnsi="Arial" w:cs="Times New Roman"/>
          <w:sz w:val="24"/>
          <w:szCs w:val="24"/>
        </w:rPr>
      </w:pPr>
    </w:p>
    <w:p w:rsidR="009D60B7" w:rsidRDefault="00425C09">
      <w:pPr>
        <w:spacing w:line="360" w:lineRule="auto"/>
        <w:ind w:firstLine="709"/>
        <w:jc w:val="both"/>
        <w:rPr>
          <w:rFonts w:ascii="Arial" w:hAnsi="Arial" w:cs="Times New Roman"/>
          <w:sz w:val="24"/>
          <w:szCs w:val="24"/>
        </w:rPr>
      </w:pPr>
      <w:r>
        <w:rPr>
          <w:rFonts w:ascii="Arial" w:hAnsi="Arial" w:cs="Times New Roman"/>
          <w:sz w:val="24"/>
          <w:szCs w:val="24"/>
        </w:rPr>
        <w:t xml:space="preserve">O racismo nos estádios de futebol constitui uma problemática social e jurídica que reflete desigualdades históricas profundamente enraizadas na sociedade. O futebol, enquanto fenômeno cultural de grande alcance, não apenas entretém, mas também reproduz comportamentos, valores e conflitos sociais, incluindo práticas discriminatórias. Apesar dos avanços normativos e das campanhas de conscientização, episódios de injúria racial e manifestações racistas continuam ocorrendo com frequência, tanto dentro quanto fora dos estádios. </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Diante desse cenário, surge o seguinte problema de pesquisa: em que medida a legislação brasileira é eficaz na responsabilização penal dos envolvidos em atos de </w:t>
      </w:r>
      <w:r>
        <w:rPr>
          <w:rFonts w:ascii="Arial" w:hAnsi="Arial" w:cs="Times New Roman"/>
          <w:sz w:val="24"/>
          <w:szCs w:val="24"/>
        </w:rPr>
        <w:lastRenderedPageBreak/>
        <w:t>racismo no contexto do futebol, e quais são os principais obstáculos para sua efetiva aplicação?</w:t>
      </w:r>
    </w:p>
    <w:p w:rsidR="009D60B7" w:rsidRDefault="00425C09">
      <w:pPr>
        <w:spacing w:line="360" w:lineRule="auto"/>
        <w:ind w:firstLine="709"/>
        <w:jc w:val="both"/>
        <w:rPr>
          <w:rFonts w:ascii="Arial" w:hAnsi="Arial" w:cs="Arial"/>
          <w:sz w:val="24"/>
          <w:szCs w:val="24"/>
        </w:rPr>
      </w:pPr>
      <w:r>
        <w:rPr>
          <w:rFonts w:ascii="Arial" w:hAnsi="Arial" w:cs="Arial"/>
          <w:sz w:val="24"/>
          <w:szCs w:val="24"/>
        </w:rPr>
        <w:t>Com isso, a relevância deste tema justifica-se pela necessidade de compreender e enfrentar o racismo no esporte, considerando seu impacto social e jurídico. O futebol possui grande influência na formação de opiniões e comportamentos, podendo tanto reforçar estigmas quanto contribuir para a promoção da igualdade. Assim, analisar a efetividade das normas jurídicas e os mecanismos de responsabilização penal torna-se fundamental para o aprimoramento das políticas públicas e para o fortalecimento do combate à discriminação racial. Além disso, o estudo contribui para o debate acadêmico ao explorar a aplicação do direito penal em situações concretas de racismo no ambiente esportivo.</w:t>
      </w:r>
    </w:p>
    <w:p w:rsidR="009D60B7" w:rsidRDefault="00425C09">
      <w:pPr>
        <w:spacing w:line="360" w:lineRule="auto"/>
        <w:ind w:firstLine="709"/>
        <w:jc w:val="both"/>
        <w:rPr>
          <w:rFonts w:ascii="Arial" w:hAnsi="Arial" w:cs="Arial"/>
          <w:sz w:val="24"/>
          <w:szCs w:val="24"/>
        </w:rPr>
      </w:pPr>
      <w:r>
        <w:rPr>
          <w:rFonts w:ascii="Arial" w:hAnsi="Arial" w:cs="Arial"/>
          <w:sz w:val="24"/>
          <w:szCs w:val="24"/>
        </w:rPr>
        <w:t>Dessa forma, o objetivo geral consiste em analisar a responsabilidade penal dos envolvidos em atos de racismo nos estádios de futebol, verificando a eficácia da legislação vigente no combate a essas práticas. Como objetivos específicos, busca-se compreender as raízes históricas do racismo no futebol brasileiro, diferenciar os conceitos de racismo, injúria racial e discriminação no âmbito jurídico, examinar as implicações sociais e legais dessas condutas e analisar casos práticos, inclusive no cenário internacional, a fim de identificar desafios e possíveis avanços no enfrentamento do problema.</w:t>
      </w:r>
    </w:p>
    <w:p w:rsidR="009D60B7" w:rsidRDefault="00425C09">
      <w:pPr>
        <w:spacing w:line="360" w:lineRule="auto"/>
        <w:ind w:firstLine="709"/>
        <w:jc w:val="both"/>
        <w:rPr>
          <w:rFonts w:ascii="Arial" w:hAnsi="Arial" w:cs="Arial"/>
          <w:sz w:val="24"/>
          <w:szCs w:val="24"/>
        </w:rPr>
      </w:pPr>
      <w:r>
        <w:rPr>
          <w:rFonts w:ascii="Arial" w:hAnsi="Arial" w:cs="Arial"/>
          <w:sz w:val="24"/>
          <w:szCs w:val="24"/>
        </w:rPr>
        <w:t>Por fim, a metodologia adotada é de natureza qualitativa, baseada em revisão bibliográfica e análise documental, utilizando doutrinas, legislações, artigos científicos e estudos de caso pertinentes ao tema. A estrutura do trabalho está organizada em três tópicos: o primeiro aborda as raízes históricas do racismo no futebol brasileiro e os conceitos fundamentais; o segundo analisa o racismo no futebol sob a perspectiva social e jurídica; e o terceiro examina o racismo no futebol espanhol, com destaque para o caso de Vinícius Júnior, permitindo uma análise contemporânea e comparativa da temática.</w:t>
      </w:r>
    </w:p>
    <w:p w:rsidR="009D60B7" w:rsidRDefault="009D60B7">
      <w:pPr>
        <w:spacing w:line="259" w:lineRule="auto"/>
        <w:jc w:val="both"/>
        <w:rPr>
          <w:rFonts w:ascii="Arial" w:hAnsi="Arial" w:cs="Arial"/>
          <w:sz w:val="24"/>
          <w:szCs w:val="24"/>
        </w:rPr>
      </w:pPr>
    </w:p>
    <w:p w:rsidR="009D60B7" w:rsidRPr="008C2CAE" w:rsidRDefault="00425C09">
      <w:pPr>
        <w:spacing w:line="360" w:lineRule="auto"/>
        <w:rPr>
          <w:rFonts w:ascii="Arial" w:hAnsi="Arial" w:cs="Arial"/>
          <w:sz w:val="24"/>
          <w:szCs w:val="24"/>
        </w:rPr>
      </w:pPr>
      <w:r w:rsidRPr="008C2CAE">
        <w:rPr>
          <w:rFonts w:ascii="Arial" w:hAnsi="Arial" w:cs="Arial"/>
          <w:sz w:val="24"/>
          <w:szCs w:val="24"/>
        </w:rPr>
        <w:t xml:space="preserve">1. </w:t>
      </w:r>
      <w:bookmarkStart w:id="36" w:name="_Hlk215988065"/>
      <w:r w:rsidRPr="008C2CAE">
        <w:rPr>
          <w:rFonts w:ascii="Arial" w:hAnsi="Arial" w:cs="Arial"/>
          <w:sz w:val="24"/>
          <w:szCs w:val="24"/>
        </w:rPr>
        <w:t>RAÍZES DO RACISMO NO FUTEBOL BRASILEIRO</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As raízes do racismo no futebol brasileiro remontam diretamente à herança escravocrata do país e ao elitismo que marcou a chegada do esporte no final do século XIX. O futebol foi inicialmente apropriado por grupos brancos das camadas altas, que utilizavam clubes exclusivos para manter práticas segregacionistas e impedir o acesso de negros e mestiços. A abolição da escravidão, ocorrida em 1888, não promoveu integração social efetiva, deixando a população negra à margem das oportunidades, situação refletida também no acesso ao esporte e na formação dos primeiros clubes.</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lastRenderedPageBreak/>
        <w:t>Nesse contexto, o ideal de “branqueamento” tornou-se um mecanismo simbólico e prático para excluir corpos negros dos espaços esportivos. Jogadores como Arthur Friedenreich tiveram de recorrer a estratégias de embranquecimento, como alisamento de cabelo e uso de pó de arroz, para serem aceitos em clubes e seleções. Esses artifícios revelam como o futebol reproduzia o racismo estrutural vigente na sociedade, legitimando padrões estéticos e raciais baseados na hierarquia social pós-escravocrata. Assim, a participação de atletas negros acontecia de forma condicionada, restrita e frequentemente velada (Pereira, 2021).</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Ainda assim segundo Pereira (2021), a luta pela inclusão no esporte começou cedo, impulsionada por clubes pioneiros que romperam, ao menos parcialmente, com a lógica excludente. O Bangu destacou-se ao escalar Francisco Carregal como o primeiro jogador negro assumido em 1905, enquanto a Ponte Preta contou com participação de um negro já em sua fundação, em 1900. Esses movimentos, embora isolados, representaram importantes brechas na estrutura racializada do futebol brasileiro, permitindo que atletas negros começassem a se afirmar gradualmente dentro do esporte, apesar das resistências institucionais.</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Com isso, a década de 1920 marcou um divisor de águas com a histórica atuação do Club de Regatas Vasco da Gama, cujo time de 1923, composto majoritariamente por negros e trabalhadores, conquistou o campeonato carioca. De acordo com Domingues (2025), a vitória provocou reação das elites esportivas, que organizaram a Associação Metropolitana de Esportes Athleticos (AMEA) para impor regras excludentes contra jogadores negros e pobres. O Vasco respondeu com a célebre carta de 1924, recusando-se a apartar seus atletas, gesto que se tornou símbolo da resistência antirracista no esporte. Paralelamente, o racismo também se manifestava no nível estatal: em 1921, um decreto presidencial de Epitácio Pessoa proibiu a participação de jogadores negros ou mestiços na seleção brasileira que disputaria o Campeonato Sul-Americano.</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Apesar de avanços proporcionados pela profissionalização do futebol e pela ascensão de grandes ídolos negros, como Pelé e Garrincha, o racismo não desapareceu do cenário esportivo brasileiro. Pelo contrário: práticas discriminatórias permanecem evidentes em episódios recorrentes de injúria racial em estádios e nas redes sociais, demonstrando a persistência do racismo estrutural que ultrapassa os limites do campo. O aumento de casos registrados nos últimos anos reforça a continuidade desse problema, indicando que o futebol, enquanto fenômeno social, reflete tensões históricas profundamente enraizadas (Domingues, 2025).</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lastRenderedPageBreak/>
        <w:t>Assim, compreender as raízes do racismo no futebol brasileiro implica reconhecer que o esporte sempre refletiu a estrutura discriminatória da sociedade, reproduzindo práticas de exclusão que atravessam mais de um século. Embora avanços significativos tenham ocorrido, a persistência de episódios de discriminação revela que o enfrentamento ao racismo demanda ações contínuas, políticas efetivas e mudanças culturais profundas. Desse modo, o debate histórico torna-se indispensável para sustentar estratégias de combate às desigualdades e promover um futebol verdadeiramente plural e inclusivo.</w:t>
      </w:r>
      <w:bookmarkEnd w:id="36"/>
    </w:p>
    <w:p w:rsidR="009D60B7" w:rsidRDefault="009D60B7">
      <w:pPr>
        <w:pStyle w:val="PargrafodaLista"/>
        <w:spacing w:line="360" w:lineRule="auto"/>
        <w:contextualSpacing/>
        <w:rPr>
          <w:rFonts w:ascii="Arial" w:hAnsi="Arial" w:cs="Arial"/>
          <w:b/>
          <w:sz w:val="24"/>
          <w:szCs w:val="24"/>
        </w:rPr>
      </w:pPr>
    </w:p>
    <w:p w:rsidR="009D60B7" w:rsidRDefault="00425C09">
      <w:pPr>
        <w:spacing w:line="360" w:lineRule="auto"/>
        <w:rPr>
          <w:rFonts w:ascii="Arial" w:hAnsi="Arial" w:cs="Arial"/>
          <w:sz w:val="24"/>
          <w:szCs w:val="24"/>
        </w:rPr>
      </w:pPr>
      <w:r>
        <w:rPr>
          <w:rFonts w:ascii="Arial" w:hAnsi="Arial" w:cs="Arial"/>
          <w:sz w:val="24"/>
          <w:szCs w:val="24"/>
        </w:rPr>
        <w:t>1.1 Conceitos fundamentais: Racismo, Injúria Racial e Discriminação</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Os conceitos fundamentais de racismo, injúria racial e discriminação constituem pilares essenciais para compreender as múltiplas dimensões da desigualdade racial no Brasil. O racismo direto manifesta-se por atos explícitos de violência física ou verbal e pela negação de acesso a bens, serviços e espaços em razão da raça, cor ou etnia, sendo tipificado pela Lei n.º 7.716/1989, que prevê sanções a quem pratica tais condutas. Esse tipo de manifestação evidencia formas abertas de hostilidade racial que ainda persistem tanto na esfera pública quanto privada, revelando a continuidade de estruturas discriminatórias históricas (Brasil, 1989).</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De forma menos explícita, o racismo institucional ocorre quando regras, práticas ou padrões adotados por instituições públicas ou privadas produzem efeitos discriminatórios, ainda que sem intenção declarada. Situações como abordagens policiais desproporcionalmente violentas contra pessoas negras ilustram esse fenômeno, observado também em episódios internacionais como os protestos em Charlottesville, nos Estados Unidos, desencadeados após sucessivos assassinatos de negros desarmados por policiais brancos. Nesse sentido, o racismo institucional revela a dimensão sistêmica da desigualdade, presente nas dinâmicas estatais e sociais que legitimam práticas de exclusão (Castanho, 2024).</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 xml:space="preserve">O racismo estrutural, por sua vez, opera de maneira ainda mais difusa e silenciosa, por meio de costumes, discursos e hábitos que naturalizam hierarquias raciais e reforçam desigualdades históricas. A dificuldade de acesso de negros e indígenas a espaços elitizados, como universidades, especialmente antes das políticas de cotas, demonstra a persistência de barreiras estruturais. Conforme Castanho (2024), expressões linguísticas pejorativas, piadas discriminatórias e eufemismos como “moreno” ou “pessoa de cor” constituem exemplos cotidianos dessa forma de racismo, </w:t>
      </w:r>
      <w:r>
        <w:rPr>
          <w:rFonts w:ascii="Arial" w:hAnsi="Arial" w:cs="Arial"/>
        </w:rPr>
        <w:lastRenderedPageBreak/>
        <w:t>que reforça estigmas e evidencia o desconforto social em reconhecer identidades negras de maneira afirmativa.</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No âmbito jurídico, a injúria racial é definida como forma qualificada do crime de injúria, prevista no artigo 140, §3º, do Código Penal Brasileiro (1940), quando a ofensa atinge a dignidade ou o decoro de alguém mediante elementos referentes à raça, cor, etnia, religião, origem ou à condição de idoso ou pessoa com deficiência. A proteção penal incide sobre a honra subjetiva da vítima, exigindo que a conduta seja dirigida a pessoa determinada ou determinável. Trata-se de crime de ação penal pública condicionada à representação, salvo nas hipóteses em que há concurso com violência ou agravantes, reforçando a gravidade das ofensas racialmente motivadas (Souza, 2022).</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Com isso, a distinção entre injúria racial e racismo é central para a prática jurídica contemporânea. Enquanto a injúria racial se dirige a uma pessoa específica, o crime de racismo, previsto na Lei n.º 7.716/1989, alcança condutas discriminatórias voltadas a grupos ou coletividades, sendo imprescritível e inafiançável, conforme estabelecido pelo Supremo Tribunal Federal e pelo artigo 5º, incisos XLII e XLIV, da Constituição Federal. A jurisprudência enfrenta desafios na delimitação entre ambas as figuras, sobretudo em casos de ofensas públicas ou difusas, tema amplamente discutido em estudos, como nos crimes contra a honra (Brasil, 1989).</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Por conseguinte, a compreensão do conceito de discriminação amplia o debate ao evidenciar que se trata da ação social que materializa preconceitos por meio de tratamentos injustos motivados por raça, gênero, orientação sexual, religião, idade ou deficiência. Também incluem danos psicológicos, sentimento de exclusão e violência, especialmente em sociedades marcadas por legados de desigualdade, como o Brasil, último país ocidental a abolir a escravidão.</w:t>
      </w:r>
    </w:p>
    <w:p w:rsidR="009D60B7" w:rsidRDefault="00425C09">
      <w:pPr>
        <w:pStyle w:val="NormalWeb"/>
        <w:spacing w:beforeAutospacing="0" w:afterAutospacing="0" w:line="360" w:lineRule="auto"/>
        <w:ind w:firstLine="709"/>
        <w:jc w:val="both"/>
        <w:rPr>
          <w:rFonts w:ascii="Arial" w:hAnsi="Arial" w:cs="Arial"/>
        </w:rPr>
      </w:pPr>
      <w:r>
        <w:rPr>
          <w:rFonts w:ascii="Arial" w:hAnsi="Arial" w:cs="Arial"/>
        </w:rPr>
        <w:t xml:space="preserve"> Contudo, a discriminação também pode assumir caráter positivo, quando se refere a políticas voltadas à promoção de grupos historicamente desfavorecidos, contribuindo para reduzir desigualdades estruturais e promover justiça social. Após a compreensão dos conceitos de racismo, injúria racial e discriminação, torna-se possível analisar como essas práticas se manifestam no futebol. Nesse contexto, passa-se ao estudo do racismo no futebol e suas implicações sociais e jurídicas. Como será abordado a seguir.</w:t>
      </w:r>
    </w:p>
    <w:p w:rsidR="009D60B7" w:rsidRDefault="009D60B7">
      <w:pPr>
        <w:spacing w:line="360" w:lineRule="auto"/>
        <w:rPr>
          <w:rFonts w:ascii="Arial" w:hAnsi="Arial" w:cs="Arial"/>
          <w:b/>
          <w:sz w:val="24"/>
          <w:szCs w:val="24"/>
        </w:rPr>
      </w:pPr>
      <w:bookmarkStart w:id="37" w:name="_Hlk215988741"/>
      <w:bookmarkEnd w:id="37"/>
    </w:p>
    <w:p w:rsidR="009D60B7" w:rsidRPr="008C2CAE" w:rsidRDefault="00425C09">
      <w:pPr>
        <w:spacing w:line="360" w:lineRule="auto"/>
        <w:rPr>
          <w:rFonts w:ascii="Arial" w:hAnsi="Arial" w:cs="Arial"/>
          <w:sz w:val="24"/>
          <w:szCs w:val="24"/>
        </w:rPr>
      </w:pPr>
      <w:r w:rsidRPr="008C2CAE">
        <w:rPr>
          <w:rFonts w:ascii="Arial" w:hAnsi="Arial" w:cs="Arial"/>
          <w:sz w:val="24"/>
          <w:szCs w:val="24"/>
        </w:rPr>
        <w:t>2. RACISMO NO FUTEBOL E SUAS IMPLICAÇÕES SOCIAIS E JURÍDICAS</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lastRenderedPageBreak/>
        <w:t>O conceito jurídico de racismo no Brasil consolidou-se a partir de marcos normativos que buscaram enfrentar práticas discriminatórias historicamente enraizadas. A Lei 7.716 de 1989 definiu os crimes resultantes de preconceito de raça ou cor, dando concretude às previsões constitucionais anteriores, como a Constituição de 1967 e a Emenda Constitucional de 1969, que já indicavam a necessidade de punição ao preconceito racial. Esses dispositivos representaram as primeiras tentativas legais de combater um problema cuja origem remonta ao longo período escravocrata, responsável por estruturar profundas desigualdades sociais e raciais no país.</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 xml:space="preserve">A escravidão, vigente por cerca de três séculos, produziu uma sociedade rigidamente hierarquizada, na qual a população negra permaneceu excluída por gerações, mesmo após a abolição formal em 1888. Apenas a partir do período pós-1967 é que o tema começou a ganhar maior relevância jurídica, embora a discriminação racial já estivesse amplamente disseminada. </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Nesse contexto, estudos como os de Moreira e Ribeiro (2019) contribuem ao diferenciar racismo individual vinculado a ações diretas de pessoas e racismo institucional, praticado por organizações que mantêm grupos raciais em situações de subordinação social, reforçando a complexidade e amplitude do fenômeno.</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Com a promulgação da Constituição Federal de 1988, o combate ao racismo tornou-se princípio fundamental do Estado brasileiro, expresso no repúdio constitucional ao racismo no art. 4º, VIII e na garantia de igualdade a todos conforme previsão incursa no artigo 5º.</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 xml:space="preserve"> A Carta Constitucional (1988) também estabeleceu distinções jurídicas relevantes: o crime de racismo passou a ser considerado inafiançável e imprescritível (art. 5º, XLII), aplicando-se a condutas que atingem coletividades, enquanto a injúria racial, prevista no Código Penal (1940), atinge apenas a honra subjetiva de pessoa determinada. Embora a Lei 7.716 (1989) tenha ampliado a punição para o crime de racismo, sua aplicação ainda é limitada, sendo frequente que casos de discriminação sejam enquadrados como injúria e resultem em penas brandas (Brasil, 1988).</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 xml:space="preserve">Do ponto de vista jurídico, as diferenças práticas entre racismo e injúria racial se revelam na extensão do dano e na natureza da ação penal. O crime de racismo, por lesionar a dignidade humana coletiva, impede o exercício de direitos e é de ação pública incondicionada; já a injúria racial pressupõe ofensa dirigida a indivíduo específico e, em regra, depende de representação. </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 xml:space="preserve">A Constituição Federal (1988) reforça o rigor no combate ao racismo ao impedir a </w:t>
      </w:r>
      <w:r>
        <w:rPr>
          <w:rFonts w:ascii="Arial" w:hAnsi="Arial" w:cs="Arial"/>
          <w:bCs/>
          <w:sz w:val="24"/>
          <w:szCs w:val="24"/>
        </w:rPr>
        <w:lastRenderedPageBreak/>
        <w:t>concessão de fiança e a contagem de prescrição, impedindo que o agente utilize mecanismos jurídicos tradicionais de defesa. Essas distinções são essenciais para a correta aplicação da lei e para a efetividade das políticas antidiscriminatórias (Gomes, 2024).</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 xml:space="preserve">E, sob a perspectiva sociológica, o racismo é compreendido como um sistema de dominação que estrutura relações sociais, distribuindo privilégios e vulnerabilidades com base na raça. Trata-se de um fenômeno estrutural, operando por meio de instituições, práticas cotidianas e relações de poder, independentemente da intenção individual. </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Assim, preconceito refere-se a julgamentos negativos, enquanto discriminação representa ações concretas de exclusão, perpetuando desigualdades historicamente construídas desde o período colonial. Desse modo, a compreensão integrada dos conceitos jurídicos e sociais de racismo é indispensável para analisar sua permanência e os desafios de seu enfrentamento no Brasil contemporâneo, conforme estuda-se na seção a seguir.</w:t>
      </w:r>
    </w:p>
    <w:p w:rsidR="009D60B7" w:rsidRDefault="009D60B7">
      <w:pPr>
        <w:spacing w:line="360" w:lineRule="auto"/>
        <w:jc w:val="both"/>
        <w:rPr>
          <w:rFonts w:ascii="Arial" w:hAnsi="Arial" w:cs="Arial"/>
          <w:b/>
          <w:sz w:val="24"/>
          <w:szCs w:val="24"/>
        </w:rPr>
      </w:pPr>
      <w:bookmarkStart w:id="38" w:name="_Hlk215988907"/>
      <w:bookmarkEnd w:id="38"/>
    </w:p>
    <w:p w:rsidR="009D60B7" w:rsidRDefault="00425C09">
      <w:pPr>
        <w:spacing w:line="360" w:lineRule="auto"/>
        <w:jc w:val="both"/>
        <w:rPr>
          <w:rFonts w:ascii="Arial" w:hAnsi="Arial" w:cs="Arial"/>
          <w:sz w:val="24"/>
          <w:szCs w:val="24"/>
        </w:rPr>
      </w:pPr>
      <w:r>
        <w:rPr>
          <w:rFonts w:ascii="Arial" w:hAnsi="Arial" w:cs="Arial"/>
          <w:bCs/>
          <w:sz w:val="24"/>
          <w:szCs w:val="24"/>
        </w:rPr>
        <w:t>2.1 O futebol como reflexo da sociedade</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As reflexões de Gilberto Freyre, apresentadas no prefácio de: O Negro no Futebol Brasileiro de 1947, evidenciam como o futebol se tornou uma instituição social capaz de sublimar elementos da formação cultural brasileira. Inicialmente introduzido pelas elites urbanas no fim do século XIX, o esporte rapidamente se expandiu entre as camadas populares, tornando-se um elo comum para a população que ocupava as cidades. Nesse processo, o futebol ultrapassou sua condição esportiva, contribuindo para quebrar barreiras sociais e raciais tanto nas arquibancadas quanto nos campos.</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 xml:space="preserve">A partir da década de 1930, o futebol consolidou-se como fenômeno nacional, impulsionado pela campanha de 1938 e pela ascensão de ídolos negros como Leônidas da Silva e Domingos da Guia, cujas trajetórias representavam parte da população marginalizada. O surgimento de grandes estádios e o uso político do esporte durante o Estado Novo fortaleceram sua presença simbólica na sociedade. </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Vasconcelos (2023), antecipou que o futebol continuaria exercendo influência decisiva na vida social brasileira, funcionando como espaço de reflexo e transformação dos rumos políticos, econômicos e culturais do país.</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Além disso, a centralidade do futebol também se manifesta na cultura nacional, permeando artes como literatura, cinema, música e artes plásticas, que absorvem sua simbologia e expressividade.</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lastRenderedPageBreak/>
        <w:t xml:space="preserve"> A figura de Garrincha ilustra essa dimensão artística: seus dribles, comparados a dança e metáfora, inspiraram filmes, poemas, pinturas e canções, demonstrando o valor cultural e social de sua imagem. Por meio dessas representações, o futebol combina-se a outras linguagens para transmitir aspectos identitários do povo brasileiro, enriquecidos por particularidades regionais (Vasconcelos, 2023).</w:t>
      </w:r>
    </w:p>
    <w:p w:rsidR="009D60B7" w:rsidRDefault="00425C09">
      <w:pPr>
        <w:spacing w:line="360" w:lineRule="auto"/>
        <w:ind w:firstLine="709"/>
        <w:jc w:val="both"/>
        <w:rPr>
          <w:rFonts w:ascii="Arial" w:hAnsi="Arial" w:cs="Arial"/>
          <w:bCs/>
          <w:sz w:val="24"/>
          <w:szCs w:val="24"/>
        </w:rPr>
      </w:pPr>
      <w:r>
        <w:rPr>
          <w:rFonts w:ascii="Arial" w:hAnsi="Arial" w:cs="Arial"/>
          <w:bCs/>
          <w:sz w:val="24"/>
          <w:szCs w:val="24"/>
        </w:rPr>
        <w:t xml:space="preserve">Portanto, além das artes, o futebol impacta profundamente a linguagem cotidiana, com expressões originadas nos estádios incorporadas ao vocabulário nacional, como demonstra a pesquisa sobre a Linguagem do Futebol: estilo e produtividade lexical. Termos como “chutar”, “tirar de letra” ou “show de bola” extrapolam o campo semântico esportivo e passam a figurar em diversos contextos sociais, refletindo a forte identificação do brasileiro com o esporte. </w:t>
      </w:r>
    </w:p>
    <w:p w:rsidR="009D60B7" w:rsidRDefault="00425C09">
      <w:pPr>
        <w:spacing w:line="360" w:lineRule="auto"/>
        <w:ind w:firstLine="709"/>
        <w:jc w:val="both"/>
        <w:rPr>
          <w:rFonts w:ascii="Arial" w:hAnsi="Arial" w:cs="Arial"/>
          <w:sz w:val="24"/>
          <w:szCs w:val="24"/>
        </w:rPr>
      </w:pPr>
      <w:r>
        <w:rPr>
          <w:rFonts w:ascii="Arial" w:hAnsi="Arial" w:cs="Arial"/>
          <w:bCs/>
          <w:sz w:val="24"/>
          <w:szCs w:val="24"/>
        </w:rPr>
        <w:t>A literatura também absorveu esse repertório, permitindo que diversos autores explorassem o futebol como metáfora de vida, registrando-o como elemento essencial da identidade cultural do país.</w:t>
      </w:r>
      <w:r>
        <w:rPr>
          <w:rFonts w:ascii="Arial" w:hAnsi="Arial" w:cs="Arial"/>
          <w:sz w:val="24"/>
          <w:szCs w:val="24"/>
        </w:rPr>
        <w:t xml:space="preserve"> </w:t>
      </w:r>
      <w:r>
        <w:rPr>
          <w:rFonts w:ascii="Arial" w:hAnsi="Arial" w:cs="Arial"/>
          <w:bCs/>
          <w:sz w:val="24"/>
          <w:szCs w:val="24"/>
        </w:rPr>
        <w:t>Dessa forma, ao compreender o futebol como reflexo da sociedade, evidencia-se a presença de práticas discriminatórias nesse ambiente, como será desenvolvido na seção seguinte ao tratar do racismo como forma de violência no esporte.</w:t>
      </w:r>
    </w:p>
    <w:p w:rsidR="009D60B7" w:rsidRDefault="009D60B7">
      <w:pPr>
        <w:spacing w:line="360" w:lineRule="auto"/>
        <w:jc w:val="both"/>
        <w:rPr>
          <w:rFonts w:ascii="Arial" w:hAnsi="Arial" w:cs="Arial"/>
          <w:b/>
          <w:sz w:val="24"/>
          <w:szCs w:val="24"/>
        </w:rPr>
      </w:pPr>
      <w:bookmarkStart w:id="39" w:name="_Hlk215989051"/>
      <w:bookmarkEnd w:id="39"/>
    </w:p>
    <w:p w:rsidR="009D60B7" w:rsidRDefault="00425C09">
      <w:pPr>
        <w:spacing w:line="360" w:lineRule="auto"/>
        <w:jc w:val="both"/>
        <w:rPr>
          <w:rFonts w:ascii="Arial" w:hAnsi="Arial" w:cs="Arial"/>
          <w:sz w:val="24"/>
          <w:szCs w:val="24"/>
        </w:rPr>
      </w:pPr>
      <w:r>
        <w:rPr>
          <w:rFonts w:ascii="Arial" w:hAnsi="Arial" w:cs="Arial"/>
          <w:bCs/>
          <w:sz w:val="24"/>
          <w:szCs w:val="24"/>
        </w:rPr>
        <w:t>2.2 O racismo como violência no esporte</w:t>
      </w:r>
    </w:p>
    <w:p w:rsidR="009D60B7" w:rsidRDefault="00425C09">
      <w:pPr>
        <w:spacing w:line="360" w:lineRule="auto"/>
        <w:ind w:firstLine="709"/>
        <w:jc w:val="both"/>
        <w:rPr>
          <w:rFonts w:ascii="Arial" w:hAnsi="Arial" w:cs="Arial"/>
          <w:sz w:val="24"/>
          <w:szCs w:val="24"/>
        </w:rPr>
      </w:pPr>
      <w:r>
        <w:rPr>
          <w:rFonts w:ascii="Arial" w:hAnsi="Arial" w:cs="Arial"/>
          <w:sz w:val="24"/>
          <w:szCs w:val="24"/>
        </w:rPr>
        <w:t xml:space="preserve">O racismo no esporte brasileiro, especialmente no futebol, revela contradições históricas que desmontam a ideia de democracia racial construída simbolicamente pela diversidade aparente nos times. Apesar da presença de atletas negros, práticas discriminatórias persistem por meio de violência simbólica e verbal, expondo a continuidade de estigmas que atravessam o campo esportivo. </w:t>
      </w:r>
    </w:p>
    <w:p w:rsidR="009D60B7" w:rsidRDefault="00425C09">
      <w:pPr>
        <w:spacing w:line="360" w:lineRule="auto"/>
        <w:ind w:firstLine="709"/>
        <w:jc w:val="both"/>
        <w:rPr>
          <w:rFonts w:ascii="Arial" w:hAnsi="Arial" w:cs="Arial"/>
          <w:sz w:val="24"/>
          <w:szCs w:val="24"/>
        </w:rPr>
      </w:pPr>
      <w:r>
        <w:rPr>
          <w:rFonts w:ascii="Arial" w:hAnsi="Arial" w:cs="Arial"/>
          <w:sz w:val="24"/>
          <w:szCs w:val="24"/>
        </w:rPr>
        <w:t>Desde a década de 1930, quando jogadores eram estigmatizados como marginais, observa-se que o processo de profissionalização não eliminou preconceitos, embora tenha ampliado a visibilidade e a valorização de atletas negros nos grandes clubes.</w:t>
      </w:r>
    </w:p>
    <w:p w:rsidR="009D60B7" w:rsidRDefault="00425C09">
      <w:pPr>
        <w:spacing w:line="360" w:lineRule="auto"/>
        <w:ind w:firstLine="709"/>
        <w:jc w:val="both"/>
        <w:rPr>
          <w:rFonts w:ascii="Arial" w:hAnsi="Arial" w:cs="Arial"/>
          <w:sz w:val="24"/>
          <w:szCs w:val="24"/>
        </w:rPr>
      </w:pPr>
      <w:r>
        <w:rPr>
          <w:rFonts w:ascii="Arial" w:hAnsi="Arial" w:cs="Arial"/>
          <w:sz w:val="24"/>
          <w:szCs w:val="24"/>
        </w:rPr>
        <w:t xml:space="preserve">A consolidação do futebol como fenômeno social impulsionou avanços legislativos voltados à proteção de atletas e torcedores. A Constituição Federal de 1988 estabeleceu o esporte como direito fundamental, enquanto o Estatuto de Defesa do Torcedor (2003), introduziu sanções para manifestações discriminatórias nos estádios, incluindo afastamento e restrições de acesso. </w:t>
      </w:r>
    </w:p>
    <w:p w:rsidR="009D60B7" w:rsidRDefault="00425C09">
      <w:pPr>
        <w:spacing w:line="360" w:lineRule="auto"/>
        <w:ind w:firstLine="709"/>
        <w:jc w:val="both"/>
        <w:rPr>
          <w:rFonts w:ascii="Arial" w:hAnsi="Arial" w:cs="Arial"/>
          <w:sz w:val="24"/>
          <w:szCs w:val="24"/>
        </w:rPr>
      </w:pPr>
      <w:r>
        <w:rPr>
          <w:rFonts w:ascii="Arial" w:hAnsi="Arial" w:cs="Arial"/>
          <w:sz w:val="24"/>
          <w:szCs w:val="24"/>
        </w:rPr>
        <w:t xml:space="preserve">De maneira complementar, segundo Serrano (2023) o Código Brasileiro de Justiça </w:t>
      </w:r>
      <w:r>
        <w:rPr>
          <w:rFonts w:ascii="Arial" w:hAnsi="Arial" w:cs="Arial"/>
          <w:sz w:val="24"/>
          <w:szCs w:val="24"/>
        </w:rPr>
        <w:lastRenderedPageBreak/>
        <w:t>Desportiva (2003), incorporou punições mais rigorosas, como suspensão mínima de 120 dias, multas elevadas e perda de pontos para entidades envolvidas em atos racistas, reforçando a responsabilização institucional.</w:t>
      </w:r>
    </w:p>
    <w:p w:rsidR="009D60B7" w:rsidRDefault="00425C09">
      <w:pPr>
        <w:spacing w:line="360" w:lineRule="auto"/>
        <w:ind w:firstLine="709"/>
        <w:jc w:val="both"/>
        <w:rPr>
          <w:rFonts w:ascii="Arial" w:hAnsi="Arial" w:cs="Arial"/>
          <w:sz w:val="24"/>
          <w:szCs w:val="24"/>
        </w:rPr>
      </w:pPr>
      <w:r>
        <w:rPr>
          <w:rFonts w:ascii="Arial" w:hAnsi="Arial" w:cs="Arial"/>
          <w:sz w:val="24"/>
          <w:szCs w:val="24"/>
        </w:rPr>
        <w:t xml:space="preserve">Além disso, nos últimos anos, novas medidas ampliaram o combate ao racismo no esporte brasileiro. Em 2023, a equiparação da injúria racial ao crime de racismo tornou ambas as condutas inafiançáveis e imprescritíveis, intensificando a proteção jurídica das vítimas. </w:t>
      </w:r>
    </w:p>
    <w:p w:rsidR="009D60B7" w:rsidRDefault="00425C09">
      <w:pPr>
        <w:spacing w:line="360" w:lineRule="auto"/>
        <w:ind w:firstLine="709"/>
        <w:jc w:val="both"/>
        <w:rPr>
          <w:rFonts w:ascii="Arial" w:hAnsi="Arial" w:cs="Arial"/>
          <w:sz w:val="24"/>
          <w:szCs w:val="24"/>
        </w:rPr>
      </w:pPr>
      <w:r>
        <w:rPr>
          <w:rFonts w:ascii="Arial" w:hAnsi="Arial" w:cs="Arial"/>
          <w:sz w:val="24"/>
          <w:szCs w:val="24"/>
        </w:rPr>
        <w:t>Dessa forma, uma conduta considerada inafiançável e imprescritível recebe tratamento mais rigoroso no Direito Penal devido à sua gravidade. A inafiançabilidade impede a concessão de liberdade provisória mediante pagamento de fiança, enquanto a imprescritibilidade garante que o Estado possa punir o autor a qualquer tempo, sem limitação de prazo. No ordenamento jurídico brasileiro, conforme previsto na Constituição Federal de 1988, tais características são atribuídas a crimes de extrema gravidade, como o racismo, reforçando a necessidade de repressão efetiva dessas condutas.</w:t>
      </w:r>
    </w:p>
    <w:p w:rsidR="009D60B7" w:rsidRDefault="00425C09">
      <w:pPr>
        <w:spacing w:line="360" w:lineRule="auto"/>
        <w:ind w:firstLine="709"/>
        <w:jc w:val="both"/>
        <w:rPr>
          <w:rFonts w:ascii="Arial" w:hAnsi="Arial" w:cs="Arial"/>
          <w:sz w:val="24"/>
          <w:szCs w:val="24"/>
        </w:rPr>
      </w:pPr>
      <w:r>
        <w:rPr>
          <w:rFonts w:ascii="Arial" w:hAnsi="Arial" w:cs="Arial"/>
          <w:sz w:val="24"/>
          <w:szCs w:val="24"/>
        </w:rPr>
        <w:t>No âmbito esportivo, a Confederação Brasileira de Futebol implementou regulamentos inéditos na Copa do Brasil (2023), classificando condutas discriminatórias como infrações gravíssimas, com possibilidade de perda de pontos após julgamento no Superior Tribunal de Justiça Desportiva (STJD).</w:t>
      </w:r>
    </w:p>
    <w:p w:rsidR="009D60B7" w:rsidRDefault="00425C09">
      <w:pPr>
        <w:spacing w:line="360" w:lineRule="auto"/>
        <w:ind w:firstLine="709"/>
        <w:jc w:val="both"/>
        <w:rPr>
          <w:rFonts w:ascii="Arial" w:hAnsi="Arial" w:cs="Arial"/>
          <w:sz w:val="24"/>
          <w:szCs w:val="24"/>
        </w:rPr>
      </w:pPr>
      <w:r>
        <w:rPr>
          <w:rFonts w:ascii="Arial" w:hAnsi="Arial" w:cs="Arial"/>
          <w:sz w:val="24"/>
          <w:szCs w:val="24"/>
        </w:rPr>
        <w:t>Em nível estadual, a chamada “Lei Vini Jr.” determinou a interrupção ou suspensão de partidas diante de denúncias comprovadas, fortalecendo protocolos de resposta imediata (Batalha; Santos; Mesquita, 2023).</w:t>
      </w:r>
    </w:p>
    <w:p w:rsidR="009D60B7" w:rsidRDefault="00425C09">
      <w:pPr>
        <w:spacing w:line="360" w:lineRule="auto"/>
        <w:ind w:firstLine="709"/>
        <w:jc w:val="both"/>
        <w:rPr>
          <w:rFonts w:ascii="Arial" w:hAnsi="Arial" w:cs="Arial"/>
          <w:sz w:val="24"/>
          <w:szCs w:val="24"/>
        </w:rPr>
      </w:pPr>
      <w:r>
        <w:rPr>
          <w:rFonts w:ascii="Arial" w:hAnsi="Arial" w:cs="Arial"/>
          <w:sz w:val="24"/>
          <w:szCs w:val="24"/>
        </w:rPr>
        <w:t xml:space="preserve">Por sequência, essas iniciativas jurídicas e institucionais demonstram um esforço crescente para enfrentar a violência racial nos esportes e promover ambientes esportivos seguros e inclusivos. A adoção de campanhas educativas e a intensificação das penalidades refletem o reconhecimento de que o combate ao racismo exige ações contínuas e integradas entre Estado, entidades esportivas e sociedade. </w:t>
      </w:r>
    </w:p>
    <w:p w:rsidR="009D60B7" w:rsidRDefault="00425C09">
      <w:pPr>
        <w:spacing w:line="360" w:lineRule="auto"/>
        <w:ind w:firstLine="709"/>
        <w:jc w:val="both"/>
        <w:rPr>
          <w:rFonts w:ascii="Arial" w:hAnsi="Arial" w:cs="Arial"/>
          <w:sz w:val="24"/>
          <w:szCs w:val="24"/>
        </w:rPr>
      </w:pPr>
      <w:r>
        <w:rPr>
          <w:rFonts w:ascii="Arial" w:hAnsi="Arial" w:cs="Arial"/>
          <w:sz w:val="24"/>
          <w:szCs w:val="24"/>
        </w:rPr>
        <w:t>Assim, os avanços recentes representam passos essenciais para a consolidação de uma cultura esportiva que respeite os direitos humanos, combatendo o preconceito e fortalecendo a igualdade racial no país. Nesse contexto, ao reconhecer o racismo como uma forma de violência presente no esporte, torna-se essencial investigar casos reais que ilustrem essa problemática, contribuindo para uma análise mais crítica e aplicada, como será aprofundado na próxima seção com o estudo do caso Vinícius Júnior.</w:t>
      </w:r>
    </w:p>
    <w:p w:rsidR="009D60B7" w:rsidRDefault="009D60B7">
      <w:pPr>
        <w:spacing w:line="259" w:lineRule="auto"/>
        <w:rPr>
          <w:rFonts w:ascii="Arial" w:hAnsi="Arial" w:cs="Arial"/>
          <w:sz w:val="24"/>
          <w:szCs w:val="24"/>
        </w:rPr>
      </w:pPr>
    </w:p>
    <w:p w:rsidR="009D60B7" w:rsidRPr="008C2CAE" w:rsidRDefault="00425C09">
      <w:pPr>
        <w:spacing w:line="360" w:lineRule="auto"/>
        <w:rPr>
          <w:rFonts w:ascii="Arial" w:hAnsi="Arial" w:cs="Arial"/>
          <w:sz w:val="24"/>
          <w:szCs w:val="24"/>
        </w:rPr>
      </w:pPr>
      <w:r w:rsidRPr="008C2CAE">
        <w:rPr>
          <w:rFonts w:ascii="Arial" w:hAnsi="Arial" w:cs="Arial"/>
          <w:bCs/>
          <w:sz w:val="24"/>
          <w:szCs w:val="24"/>
        </w:rPr>
        <w:t>3. ESTUDO DE CASO DE RACISMO NO FUTEBOL: UMA ANÁLISE A PARTIR DO CASO VINÍCIUS JÚNIOR</w:t>
      </w:r>
    </w:p>
    <w:p w:rsidR="009D60B7" w:rsidRDefault="00425C09">
      <w:pPr>
        <w:spacing w:line="360" w:lineRule="auto"/>
        <w:ind w:firstLine="709"/>
        <w:jc w:val="both"/>
        <w:rPr>
          <w:rFonts w:ascii="Arial" w:hAnsi="Arial" w:cs="Arial"/>
          <w:sz w:val="24"/>
          <w:szCs w:val="24"/>
        </w:rPr>
      </w:pPr>
      <w:r>
        <w:rPr>
          <w:rFonts w:ascii="Arial" w:hAnsi="Arial" w:cs="Arial"/>
          <w:sz w:val="24"/>
          <w:szCs w:val="24"/>
        </w:rPr>
        <w:lastRenderedPageBreak/>
        <w:t>A análise do racismo no futebol espanhol, a partir do caso de Vinícius Júnior, revela a complexidade dos discursos que permeiam a negação, a minimização e a denúncia dessa prática. O material discursivo selecionado abrange pronunciamentos institucionais e relatos de experiência, permitindo compreender como diferentes sujeitos produzem sentidos sobre o racismo. Nesse contexto, a investigação se ancora na Análise do Discurso, considerando que os enunciados não são neutros, mas atravessados por posições ideológicas e relações de poder.</w:t>
      </w:r>
    </w:p>
    <w:p w:rsidR="009D60B7" w:rsidRDefault="00425C09">
      <w:pPr>
        <w:spacing w:line="360" w:lineRule="auto"/>
        <w:ind w:firstLine="709"/>
        <w:jc w:val="both"/>
        <w:rPr>
          <w:rFonts w:ascii="Arial" w:hAnsi="Arial" w:cs="Arial"/>
          <w:sz w:val="24"/>
          <w:szCs w:val="24"/>
        </w:rPr>
      </w:pPr>
      <w:r>
        <w:rPr>
          <w:rFonts w:ascii="Arial" w:hAnsi="Arial" w:cs="Arial"/>
          <w:sz w:val="24"/>
          <w:szCs w:val="24"/>
        </w:rPr>
        <w:t>Segundo Coimbra e Sousa (2023), os episódios de racismo envolvendo Vinícius Júnior não ocorreram de forma isolada, mas ao longo de anos, evidenciando a recorrência do problema no futebol europeu. A seleção de sequências discursivas em diferentes momentos permite observar a permanência de determinadas estratégias discursivas, especialmente aquelas que buscam deslegitimar ou relativizar as denúncias. Assim, a análise das falas evidencia um embate entre discursos institucionais e vivências individuais, revelando tensões estruturais.</w:t>
      </w:r>
    </w:p>
    <w:p w:rsidR="009D60B7" w:rsidRDefault="00425C09">
      <w:pPr>
        <w:ind w:left="2268"/>
        <w:jc w:val="both"/>
        <w:rPr>
          <w:rFonts w:ascii="Arial" w:hAnsi="Arial"/>
          <w:sz w:val="20"/>
          <w:szCs w:val="20"/>
        </w:rPr>
      </w:pPr>
      <w:r>
        <w:rPr>
          <w:rFonts w:ascii="Arial" w:hAnsi="Arial" w:cs="Times New Roman"/>
          <w:sz w:val="20"/>
          <w:szCs w:val="20"/>
        </w:rPr>
        <w:t>O racismo no futebol não se manifesta apenas em atos isolados de torcedores, mas está profundamente enraizado em estruturas simbólicas e discursivas que operam na tentativa constante de deslegitimar a denúncia e preservar a imagem das instituições esportivas. Nesse sentido, a reação institucional tende a minimizar os episódios, tratando-os como exceções, o que contribui para a manutenção de práticas discriminatórias no ambiente esportivo (Coimbra; Sousa, 2023, p. 20).</w:t>
      </w:r>
    </w:p>
    <w:p w:rsidR="009D60B7" w:rsidRDefault="009D60B7">
      <w:pPr>
        <w:ind w:left="2268"/>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Na primeira sequência discursiva, o prefeito de Madrid, José Luis Martínez-Almeida, constrói um discurso de defesa institucional ao afirmar: “é profundamente injusto para Espanha e, particularmente, para Madrid dizer que somos uma sociedade racista”. Tal enunciado reconhece a existência de episódios racistas, mas os enquadra como exceções, desvinculando-os de um problema estrutural. Essa estratégia discursiva busca preservar a imagem da cidade e do país, deslocando a responsabilidade coletiva (Serrano, 2023).</w:t>
      </w:r>
    </w:p>
    <w:p w:rsidR="009D60B7" w:rsidRDefault="00425C09">
      <w:pPr>
        <w:spacing w:line="360" w:lineRule="auto"/>
        <w:ind w:firstLine="709"/>
        <w:jc w:val="both"/>
        <w:rPr>
          <w:rFonts w:ascii="Arial" w:hAnsi="Arial"/>
          <w:sz w:val="20"/>
          <w:szCs w:val="20"/>
        </w:rPr>
      </w:pPr>
      <w:r>
        <w:rPr>
          <w:rFonts w:ascii="Arial" w:hAnsi="Arial" w:cs="Times New Roman"/>
          <w:sz w:val="24"/>
          <w:szCs w:val="24"/>
        </w:rPr>
        <w:t>De maneira semelhante segundo Lima (2025), Javier Tebas presidente da LaLiga, adota uma postura argumentativa ao negar o racismo institucional e enfatizar dados quantitativos. Ao declarar que “insultos racistas foram relatados 9 vezes (8 deles foram por insultos contra Vinícius), o dirigente constrói a ideia de que os casos são pontuais. Além disso, ao se referir aos autores como “loucos”, transfere a responsabilidade para indivíduos isolados, reforçando a narrativa de que o racismo não representa a estrutura do futebol espanhol.</w:t>
      </w:r>
    </w:p>
    <w:p w:rsidR="009D60B7" w:rsidRDefault="00425C09">
      <w:pPr>
        <w:ind w:left="2268"/>
        <w:jc w:val="both"/>
        <w:rPr>
          <w:rFonts w:ascii="Arial" w:hAnsi="Arial"/>
          <w:sz w:val="20"/>
          <w:szCs w:val="20"/>
        </w:rPr>
      </w:pPr>
      <w:r>
        <w:rPr>
          <w:rFonts w:ascii="Arial" w:hAnsi="Arial" w:cs="Times New Roman"/>
          <w:sz w:val="20"/>
          <w:szCs w:val="20"/>
        </w:rPr>
        <w:t xml:space="preserve">A persistência do racismo no futebol revela não apenas falhas institucionais, mas também uma naturalização histórica da violência simbólica contra atletas negros. Ainda que medidas punitivas sejam anunciadas, observa-se uma lacuna entre o </w:t>
      </w:r>
      <w:r>
        <w:rPr>
          <w:rFonts w:ascii="Arial" w:hAnsi="Arial" w:cs="Times New Roman"/>
          <w:sz w:val="20"/>
          <w:szCs w:val="20"/>
        </w:rPr>
        <w:lastRenderedPageBreak/>
        <w:t>discurso oficial e a prática efetiva, o que demonstra a necessidade de uma abordagem mais profunda, baseada na educação antirracista e na responsabilização coletiva dos agentes envolvidos no espetáculo esportivo (Lima, 2025, p. 35).</w:t>
      </w:r>
    </w:p>
    <w:p w:rsidR="009D60B7" w:rsidRDefault="009D60B7">
      <w:pPr>
        <w:ind w:left="2268"/>
        <w:jc w:val="both"/>
        <w:rPr>
          <w:rFonts w:ascii="Arial" w:hAnsi="Arial" w:cs="Times New Roman"/>
          <w:sz w:val="24"/>
          <w:szCs w:val="24"/>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Em contraste conforme Domingues (2025), a fala de Vinícius Júnior apresenta uma perspectiva marcada pela experiência vivida e pelo impacto emocional do racismo. O jogador afirma: “Eu quero igualdade num futuro bem próximo, menos casos de racismo e que as pessoas negras possam ter uma vida normal”. Esse enunciado evidencia não apenas a denúncia, mas também o desgaste psicológico causado pelas ofensas, revelando que o racismo não pode ser tratado como evento isolado, mas como prática recorrente que afeta diretamente a dignidade humana.</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isso, a fala do ex-jogador Catanha reforça a dimensão histórica do problema ao relatar experiências semelhantes no passado. Ao afirmar que sofria ofensas racistas e que “o meu foco era dentro de campo, mas eu escutava”, o ex-atleta evidencia uma tensão entre o silenciamento e o reconhecimento da violência sofrida. O uso da conjunção adversativa explicita essa ambiguidade, indicando que, mesmo diante da tentativa de ignorar, o racismo produz efeitos subjetivos (Coimbra; Sousa, 2023).</w:t>
      </w:r>
    </w:p>
    <w:p w:rsidR="009D60B7" w:rsidRDefault="00425C09">
      <w:pPr>
        <w:spacing w:line="360" w:lineRule="auto"/>
        <w:ind w:firstLine="709"/>
        <w:jc w:val="both"/>
        <w:rPr>
          <w:rFonts w:ascii="Arial" w:hAnsi="Arial"/>
          <w:sz w:val="24"/>
          <w:szCs w:val="24"/>
        </w:rPr>
      </w:pPr>
      <w:r>
        <w:rPr>
          <w:rFonts w:ascii="Arial" w:hAnsi="Arial" w:cs="Times New Roman"/>
          <w:sz w:val="24"/>
          <w:szCs w:val="24"/>
        </w:rPr>
        <w:t>Essa contradição pode ser compreendida à luz da Análise do Discurso, especialmente ao se observar que os discursos não são homogêneos, mas atravessados por disputas de sentido e relações de poder. Para Serrano (2023) as falas analisadas evidenciam que, mesmo quando há tentativas de negação ou minimização do racismo, emergem marcas linguísticas que revelam tensões e contradições, demonstrando a dificuldade de sustentar uma narrativa completamente desvinculada da realidade vivida pelos sujeitos.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Nesse sentido, a análise das sequências discursivas demonstra que o racismo no futebol espanhol é constantemente minimizado por discursos institucionais, enquanto é intensamente vivenciado por atletas. A contraposição entre essas vozes evidencia um conflito entre a preservação da imagem das instituições e a realidade das experiências raciais, demonstrando que o caso de Vinícius Júnior não é isolado, mas expressão de um problema estrutural que demanda reconhecimento e enfrentamento efetivo.</w:t>
      </w:r>
    </w:p>
    <w:p w:rsidR="009D60B7" w:rsidRDefault="009D60B7">
      <w:pPr>
        <w:spacing w:line="360" w:lineRule="auto"/>
        <w:jc w:val="both"/>
        <w:rPr>
          <w:rFonts w:ascii="Arial" w:hAnsi="Arial" w:cs="Times New Roman"/>
          <w:sz w:val="24"/>
          <w:szCs w:val="24"/>
        </w:rPr>
      </w:pPr>
    </w:p>
    <w:p w:rsidR="009D60B7" w:rsidRDefault="00425C09">
      <w:pPr>
        <w:jc w:val="both"/>
        <w:rPr>
          <w:rFonts w:ascii="Arial" w:hAnsi="Arial"/>
          <w:sz w:val="24"/>
          <w:szCs w:val="24"/>
        </w:rPr>
      </w:pPr>
      <w:r>
        <w:rPr>
          <w:rFonts w:ascii="Arial" w:hAnsi="Arial" w:cs="Times New Roman"/>
          <w:bCs/>
          <w:sz w:val="24"/>
          <w:szCs w:val="24"/>
        </w:rPr>
        <w:t>3.1 O Posicionamento Doutrinário e Judicial Sobre a Violência Desportiva</w:t>
      </w:r>
    </w:p>
    <w:p w:rsidR="009D60B7" w:rsidRDefault="009D60B7">
      <w:pPr>
        <w:jc w:val="both"/>
        <w:rPr>
          <w:rFonts w:ascii="Arial" w:hAnsi="Arial" w:cs="Times New Roman"/>
          <w:b/>
          <w:bCs/>
          <w:sz w:val="24"/>
          <w:szCs w:val="24"/>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A violência no desporto configura-se como um fenômeno complexo e recorrente, tanto no Brasil quanto em âmbito internacional, exigindo análise crítica sob a perspectiva jurídica e social. Trata-se de uma problemática multifacetada, cuja compreensão </w:t>
      </w:r>
      <w:r>
        <w:rPr>
          <w:rFonts w:ascii="Arial" w:hAnsi="Arial" w:cs="Times New Roman"/>
          <w:sz w:val="24"/>
          <w:szCs w:val="24"/>
        </w:rPr>
        <w:lastRenderedPageBreak/>
        <w:t>demanda a articulação entre fatores históricos, culturais e institucionais que permeiam o ambiente esportivo.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Gomes (2025) aponta que a violência desportiva não se limita a episódios isolados, mas decorre de um conjunto de elementos estruturais, como a rivalidade entre torcidas, a intensificação das emoções coletivas e o consumo excessivo de álcool. Esses fatores contribuem para a escalada de comportamentos agressivos, tanto dentro quanto fora dos estádios.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Nesse contexto, episódios de indisciplina e violência, ocorridos em campo, nas arquibancadas ou em seus arredores, frequentemente resultam em processos judiciais. Contudo, nem todos são imediatamente levados ao Poder Judiciário, uma vez que o ordenamento jurídico brasileiro prevê a existência da Justiça Desportiva, cuja atuação é prioritária nesses casos, conforme disposto na Constituição Federal de 1988 (Brasil, 1988).</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Para Silva e Paula (2020) o Poder Judiciário continua a receber um número expressivo de demandas relacionadas à violência nos eventos esportivos. A jurisprudência do Superior Tribunal de Justiça (STJ) tem se consolidado no sentido de reconhecer a responsabilidade civil em diversas situações envolvendo agressões e falhas na segurança durante partidas.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Com isso, a título exemplificativo, a Terceira Turma do STJ firmou entendimento de que agressões físicas e verbais praticadas por jogadores profissionais contra árbitros configuram ato ilícito indenizável na Justiça comum, independentemente das sanções impostas pela Justiça Desportiva.  Para Tavares (2025), tal posicionamento evidencia a autonomia das esferas de responsabilização.</w:t>
      </w:r>
    </w:p>
    <w:p w:rsidR="009D60B7" w:rsidRDefault="00425C09">
      <w:pPr>
        <w:ind w:left="2268"/>
        <w:jc w:val="both"/>
        <w:rPr>
          <w:rFonts w:ascii="Arial" w:hAnsi="Arial"/>
          <w:sz w:val="20"/>
          <w:szCs w:val="20"/>
        </w:rPr>
      </w:pPr>
      <w:r>
        <w:rPr>
          <w:rFonts w:ascii="Arial" w:hAnsi="Arial" w:cs="Times New Roman"/>
          <w:sz w:val="20"/>
          <w:szCs w:val="20"/>
        </w:rPr>
        <w:t>A responsabilização por práticas discriminatórias no esporte, especialmente aquelas relacionadas ao racismo, deve ser compreendida à luz de uma estrutura jurídica que não apenas reconheça a gravidade dessas condutas, mas que também assegure a efetividade das sanções aplicadas. Nesse contexto, a equiparação entre injúria racial e racismo representa um avanço significativo no ordenamento jurídico brasileiro, uma vez que amplia a proteção dos direitos fundamentais e reforça o caráter imprescritível e inafiançável dessas condutas. Além disso, a atuação do Poder Judiciário revela-se essencial para garantir que tais práticas não permaneçam impunes, contribuindo para a construção de uma jurisprudência mais rigorosa e comprometida com a promoção da igualdade racial (Tavares, 2025, p. 25).</w:t>
      </w:r>
    </w:p>
    <w:p w:rsidR="009D60B7" w:rsidRDefault="009D60B7">
      <w:pPr>
        <w:ind w:left="2268"/>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No mesmo sentido, ao julgar os Recursos Especiais nº 1.924.527 e nº 1.773.885, o Superior Tribunal de Justiça ampliou o conceito de local do evento esportivo, reconhecendo que este abrange também o entorno dos estádios. Assim, estabeleceu-se que o clube mandante pode ser responsabilizado solidariamente por danos decorrentes de falhas na segurança, em consonância com o dever de garantia da integridade dos </w:t>
      </w:r>
      <w:r>
        <w:rPr>
          <w:rFonts w:ascii="Arial" w:hAnsi="Arial" w:cs="Times New Roman"/>
          <w:sz w:val="24"/>
          <w:szCs w:val="24"/>
        </w:rPr>
        <w:lastRenderedPageBreak/>
        <w:t>participantes e espectadores previstos na legislação esportiva brasileira (Brasil, 2021).</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no âmbito da Justiça Desportiva, observa-se um aumento significativo no número de processos disciplinares. Em 2023, o Superior Tribunal de Justiça Desportiva (STJD) julgou aproximadamente 1.237 processos, incluindo casos de injúria racial e homofobia. Sobre essa atuação, destaca-se a seguinte manifestação: O STJD está adotando medidas enérgicas com penas relevantes e com caráter pedagógico na tentativa de cessar ou ao menos minimizar esse tipo de comportamento, odioso, lastimável e inconcebível (Brasil, 2023).</w:t>
      </w:r>
    </w:p>
    <w:p w:rsidR="009D60B7" w:rsidRDefault="00425C09">
      <w:pPr>
        <w:ind w:left="2268"/>
        <w:jc w:val="both"/>
        <w:rPr>
          <w:rFonts w:ascii="Arial" w:hAnsi="Arial"/>
          <w:sz w:val="20"/>
          <w:szCs w:val="20"/>
        </w:rPr>
      </w:pPr>
      <w:r>
        <w:rPr>
          <w:rFonts w:ascii="Arial" w:hAnsi="Arial" w:cs="Times New Roman"/>
          <w:sz w:val="20"/>
          <w:szCs w:val="20"/>
        </w:rPr>
        <w:t>O racismo no futebol não se manifesta apenas de forma explícita, por meio de ofensas diretas, mas também se estrutura de maneira sutil e naturalizada, influenciando a posição ocupada por jogadores negros dentro e fora de campo. Esse fenômeno, denominado racismo posicional, evidencia como determinadas funções e espaços são historicamente associados a atletas brancos, enquanto jogadores negros são frequentemente limitados a posições específicas, reforçando estereótipos e desigualdades. Tal dinâmica impacta não apenas a organização do jogo, mas também a subjetividade dos atletas, produzindo efeitos psicológicos que afetam sua autoestima, desempenho e reconhecimento profissional (Gomes, 2025, p. 102).</w:t>
      </w:r>
    </w:p>
    <w:p w:rsidR="009D60B7" w:rsidRDefault="009D60B7">
      <w:pPr>
        <w:ind w:left="2268"/>
        <w:jc w:val="both"/>
        <w:rPr>
          <w:rFonts w:ascii="Arial" w:hAnsi="Arial" w:cs="Times New Roman"/>
          <w:sz w:val="20"/>
          <w:szCs w:val="20"/>
        </w:rPr>
      </w:pPr>
    </w:p>
    <w:p w:rsidR="009D60B7" w:rsidRDefault="00425C09">
      <w:pPr>
        <w:spacing w:line="360" w:lineRule="auto"/>
        <w:ind w:firstLine="709"/>
        <w:jc w:val="both"/>
        <w:rPr>
          <w:rFonts w:ascii="Arial" w:hAnsi="Arial"/>
          <w:sz w:val="24"/>
          <w:szCs w:val="24"/>
        </w:rPr>
      </w:pPr>
      <w:r>
        <w:rPr>
          <w:rFonts w:ascii="Arial" w:hAnsi="Arial" w:cs="Times New Roman"/>
          <w:sz w:val="24"/>
          <w:szCs w:val="24"/>
        </w:rPr>
        <w:t>Além disso, medidas preventivas também têm sido adotadas, como a punição de torcidas organizadas com jogos de portões fechados. Na esfera da Justiça Comum, o Ministério Público do Paraná obteve decisão liminar proibindo o acesso de torcidas organizadas aos estádios, fundamentando-se na Lei nº 14.597/2023, que estabelece que “é obrigação do poder público em todos os níveis, das organizações esportivas, dos torcedores e dos espectadores de eventos esportivos promover e manter a paz no esporte (Brasil, 2023).</w:t>
      </w:r>
    </w:p>
    <w:p w:rsidR="009D60B7" w:rsidRDefault="00425C09">
      <w:pPr>
        <w:spacing w:line="360" w:lineRule="auto"/>
        <w:ind w:firstLine="709"/>
        <w:jc w:val="both"/>
        <w:rPr>
          <w:rFonts w:ascii="Arial" w:hAnsi="Arial"/>
          <w:sz w:val="24"/>
          <w:szCs w:val="24"/>
        </w:rPr>
      </w:pPr>
      <w:r>
        <w:rPr>
          <w:rFonts w:ascii="Arial" w:hAnsi="Arial" w:cs="Times New Roman"/>
          <w:sz w:val="24"/>
          <w:szCs w:val="24"/>
        </w:rPr>
        <w:t>Portanto, torna-se evidente que o enfrentamento da violência desportiva exige não apenas a aplicação de sanções, mas também a construção de políticas integradas de prevenção, educação e conscientização. A atuação conjunta entre instituições desportivas, órgãos públicos e sociedade civil revela-se fundamental para a promoção de uma cultura de paz no esporte, capaz de reduzir práticas discriminatórias e condutas violentas. Nesse sentido, a efetividade das medidas adotadas depende diretamente do compromisso contínuo com a transformação do ambiente esportivo em um espaço seguro, inclusivo e socialmente responsável.</w:t>
      </w:r>
    </w:p>
    <w:p w:rsidR="009D60B7" w:rsidRDefault="009D60B7">
      <w:pPr>
        <w:spacing w:line="259" w:lineRule="auto"/>
        <w:jc w:val="both"/>
        <w:rPr>
          <w:rFonts w:ascii="Arial" w:hAnsi="Arial" w:cs="Times New Roman"/>
          <w:sz w:val="20"/>
          <w:szCs w:val="20"/>
        </w:rPr>
      </w:pPr>
    </w:p>
    <w:p w:rsidR="009D60B7" w:rsidRPr="008C2CAE" w:rsidRDefault="00425C09">
      <w:pPr>
        <w:spacing w:line="259" w:lineRule="auto"/>
        <w:jc w:val="both"/>
        <w:rPr>
          <w:rFonts w:ascii="Arial" w:hAnsi="Arial"/>
          <w:sz w:val="24"/>
          <w:szCs w:val="24"/>
        </w:rPr>
      </w:pPr>
      <w:r w:rsidRPr="008C2CAE">
        <w:rPr>
          <w:rFonts w:ascii="Arial" w:hAnsi="Arial" w:cs="Times New Roman"/>
          <w:sz w:val="24"/>
          <w:szCs w:val="24"/>
        </w:rPr>
        <w:t>CONCLUSÃO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 xml:space="preserve"> A análise desenvolvida ao longo deste trabalho permitiu compreender que o racismo nos estádios de futebol é uma manifestação de desigualdades históricas profundamente enraizadas na sociedade, refletindo-se no ambiente esportivo de forma recorrente. Observou-se que, apesar da existência de um aparato jurídico relevante no </w:t>
      </w:r>
      <w:r>
        <w:rPr>
          <w:rFonts w:ascii="Arial" w:hAnsi="Arial" w:cs="Times New Roman"/>
          <w:sz w:val="24"/>
          <w:szCs w:val="24"/>
        </w:rPr>
        <w:lastRenderedPageBreak/>
        <w:t>ordenamento brasileiro, a efetividade da responsabilização penal ainda enfrenta obstáculos, especialmente no que se refere à correta tipificação das condutas e à aplicação prática das normas. Assim, o objetivo geral da pesquisa foi alcançado ao examinar criticamente a responsabilidade penal dos envolvidos e identificar os principais desafios para sua concretização.</w:t>
      </w:r>
    </w:p>
    <w:p w:rsidR="009D60B7" w:rsidRDefault="00425C09">
      <w:pPr>
        <w:spacing w:line="360" w:lineRule="auto"/>
        <w:ind w:firstLine="709"/>
        <w:jc w:val="both"/>
        <w:rPr>
          <w:rFonts w:ascii="Arial" w:hAnsi="Arial"/>
          <w:sz w:val="24"/>
          <w:szCs w:val="24"/>
        </w:rPr>
      </w:pPr>
      <w:r>
        <w:rPr>
          <w:rFonts w:ascii="Arial" w:hAnsi="Arial" w:cs="Times New Roman"/>
          <w:sz w:val="24"/>
          <w:szCs w:val="24"/>
        </w:rPr>
        <w:t>Os resultados evidenciaram que o racismo no futebol não se limita a episódios isolados, mas integra uma estrutura social mais ampla, sendo frequentemente minimizado por discursos institucionais e naturalizado em práticas cotidianas. A análise do cenário internacional, com destaque para o caso de Vinícius Júnior, contribuiu para ampliar a compreensão do fenômeno, demonstrando que a problemática ultrapassa fronteiras nacionais e exige respostas coordenadas e eficazes. Verificou-se, ainda, que medidas recentes, tanto no âmbito legislativo quanto esportivo, indicam avanços no combate à discriminação, embora ainda não sejam suficientes para erradicar tais práticas.</w:t>
      </w:r>
    </w:p>
    <w:p w:rsidR="009D60B7" w:rsidRDefault="00425C09">
      <w:pPr>
        <w:spacing w:line="360" w:lineRule="auto"/>
        <w:ind w:firstLine="709"/>
        <w:jc w:val="both"/>
        <w:rPr>
          <w:rFonts w:ascii="Arial" w:hAnsi="Arial"/>
          <w:sz w:val="24"/>
          <w:szCs w:val="24"/>
        </w:rPr>
      </w:pPr>
      <w:r>
        <w:rPr>
          <w:rFonts w:ascii="Arial" w:hAnsi="Arial" w:cs="Times New Roman"/>
          <w:sz w:val="24"/>
          <w:szCs w:val="24"/>
        </w:rPr>
        <w:t>Dessa forma, conclui-se que o enfrentamento do racismo no futebol demanda não apenas a aplicação rigorosa das normas jurídicas, mas também a implementação de políticas públicas integradas, ações educativas e transformações culturais. Sugere-se, para estudos futuros, o aprofundamento da análise sobre a atuação das instituições desportivas e do sistema de justiça, bem como a investigação de experiências internacionais bem-sucedidas. Tais iniciativas podem contribuir para o aprimoramento das estratégias de combate ao racismo, promovendo um ambiente esportivo mais inclusivo e comprometido com a igualdade racial.</w:t>
      </w:r>
    </w:p>
    <w:p w:rsidR="009D60B7" w:rsidRDefault="009D60B7">
      <w:pPr>
        <w:spacing w:line="259" w:lineRule="auto"/>
        <w:rPr>
          <w:rFonts w:ascii="Arial" w:hAnsi="Arial" w:cs="Times New Roman"/>
          <w:sz w:val="24"/>
          <w:szCs w:val="24"/>
        </w:rPr>
      </w:pPr>
    </w:p>
    <w:p w:rsidR="009D60B7" w:rsidRDefault="009D60B7">
      <w:pPr>
        <w:spacing w:line="259" w:lineRule="auto"/>
        <w:jc w:val="both"/>
        <w:rPr>
          <w:rFonts w:ascii="Arial" w:hAnsi="Arial" w:cs="Times New Roman"/>
          <w:b/>
          <w:sz w:val="24"/>
          <w:szCs w:val="24"/>
        </w:rPr>
      </w:pPr>
    </w:p>
    <w:p w:rsidR="009D60B7" w:rsidRPr="008C2CAE" w:rsidRDefault="00425C09">
      <w:pPr>
        <w:spacing w:line="259" w:lineRule="auto"/>
        <w:jc w:val="both"/>
        <w:rPr>
          <w:rFonts w:ascii="Arial" w:hAnsi="Arial"/>
          <w:sz w:val="24"/>
          <w:szCs w:val="24"/>
        </w:rPr>
      </w:pPr>
      <w:r w:rsidRPr="008C2CAE">
        <w:rPr>
          <w:rFonts w:ascii="Arial" w:hAnsi="Arial" w:cs="Times New Roman"/>
          <w:sz w:val="24"/>
          <w:szCs w:val="24"/>
        </w:rPr>
        <w:t xml:space="preserve">REFERÊNCIAS </w:t>
      </w:r>
    </w:p>
    <w:p w:rsidR="009D60B7" w:rsidRDefault="009D60B7">
      <w:pPr>
        <w:jc w:val="both"/>
        <w:rPr>
          <w:rFonts w:ascii="Arial" w:hAnsi="Arial" w:cs="Times New Roman"/>
          <w:sz w:val="24"/>
          <w:szCs w:val="24"/>
        </w:rPr>
      </w:pPr>
    </w:p>
    <w:p w:rsidR="009D60B7" w:rsidRDefault="00425C09">
      <w:pPr>
        <w:rPr>
          <w:rFonts w:ascii="Arial" w:hAnsi="Arial"/>
          <w:sz w:val="24"/>
          <w:szCs w:val="24"/>
        </w:rPr>
      </w:pPr>
      <w:r>
        <w:rPr>
          <w:rFonts w:ascii="Arial" w:eastAsia="Times New Roman" w:hAnsi="Arial" w:cs="Times New Roman"/>
          <w:sz w:val="24"/>
          <w:szCs w:val="24"/>
        </w:rPr>
        <w:t>BATALHA, Ivo.; SANTOS, Diogo; MESQUITA, Silvio. Direitos humanos e racismo no esporte: uma perspectiva comparada. </w:t>
      </w:r>
      <w:r>
        <w:rPr>
          <w:rFonts w:ascii="Arial" w:eastAsia="Times New Roman" w:hAnsi="Arial" w:cs="Times New Roman"/>
          <w:b/>
          <w:bCs/>
          <w:sz w:val="24"/>
          <w:szCs w:val="24"/>
        </w:rPr>
        <w:t>Cuadernos de Educación y Desarrollo - QUALIS A4</w:t>
      </w:r>
      <w:r>
        <w:rPr>
          <w:rFonts w:ascii="Arial" w:eastAsia="Times New Roman" w:hAnsi="Arial" w:cs="Times New Roman"/>
          <w:sz w:val="24"/>
          <w:szCs w:val="24"/>
        </w:rPr>
        <w:t>, </w:t>
      </w:r>
      <w:r>
        <w:rPr>
          <w:rFonts w:ascii="Arial" w:eastAsia="Times New Roman" w:hAnsi="Arial" w:cs="Times New Roman"/>
          <w:i/>
          <w:iCs/>
          <w:sz w:val="24"/>
          <w:szCs w:val="24"/>
        </w:rPr>
        <w:t>[S. l.]</w:t>
      </w:r>
      <w:r>
        <w:rPr>
          <w:rFonts w:ascii="Arial" w:eastAsia="Times New Roman" w:hAnsi="Arial" w:cs="Times New Roman"/>
          <w:sz w:val="24"/>
          <w:szCs w:val="24"/>
        </w:rPr>
        <w:t>, v. 17, n. 3, p. e7699, 2025. DOI: 10.55905/cuadv17n3-012. Disponível em: https://ojs.cuadernoseducacion.com/ojs/index.php/ced/article/view/7699. Acesso em: 7 dez. 2025.</w:t>
      </w:r>
    </w:p>
    <w:p w:rsidR="009D60B7" w:rsidRDefault="009D60B7">
      <w:pPr>
        <w:pStyle w:val="Recuodecorpodetexto"/>
        <w:spacing w:after="0" w:line="240" w:lineRule="auto"/>
        <w:ind w:left="0"/>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hyperlink r:id="rId204">
        <w:r>
          <w:rPr>
            <w:rStyle w:val="Hyperlink1"/>
            <w:rFonts w:ascii="Arial" w:hAnsi="Arial" w:cs="Times New Roman"/>
            <w:b/>
            <w:bCs/>
            <w:color w:val="auto"/>
            <w:sz w:val="24"/>
            <w:szCs w:val="24"/>
            <w:u w:val="none"/>
          </w:rPr>
          <w:t>Constituição da república federativa do brasil de 1988</w:t>
        </w:r>
      </w:hyperlink>
      <w:r>
        <w:rPr>
          <w:rFonts w:ascii="Arial" w:hAnsi="Arial" w:cs="Times New Roman"/>
          <w:sz w:val="24"/>
          <w:szCs w:val="24"/>
        </w:rPr>
        <w:t>.</w:t>
      </w:r>
      <w:r>
        <w:rPr>
          <w:rFonts w:ascii="Arial" w:hAnsi="Arial" w:cs="Times New Roman"/>
          <w:sz w:val="24"/>
          <w:szCs w:val="24"/>
          <w:shd w:val="clear" w:color="auto" w:fill="FFFFFF"/>
        </w:rPr>
        <w:t xml:space="preserve"> </w:t>
      </w:r>
      <w:hyperlink r:id="rId205">
        <w:r>
          <w:rPr>
            <w:rStyle w:val="Hyperlink1"/>
            <w:rFonts w:ascii="Arial" w:hAnsi="Arial" w:cs="Times New Roman"/>
            <w:color w:val="auto"/>
            <w:sz w:val="24"/>
            <w:szCs w:val="24"/>
            <w:u w:val="none"/>
          </w:rPr>
          <w:t>Emendas Constitucionais de Revisão</w:t>
        </w:r>
      </w:hyperlink>
      <w:r>
        <w:rPr>
          <w:rFonts w:ascii="Arial" w:hAnsi="Arial" w:cs="Times New Roman"/>
          <w:sz w:val="24"/>
          <w:szCs w:val="24"/>
        </w:rPr>
        <w:t>. Brasília: Planalto, 1988. Disponível em:   https://www.planalto.gov.br/ccivil_03/constituicao/constituicao.htm. Acesso em: 27 out. 2025.</w:t>
      </w:r>
    </w:p>
    <w:p w:rsidR="009D60B7" w:rsidRDefault="009D60B7">
      <w:pPr>
        <w:pStyle w:val="Recuodecorpodetexto"/>
        <w:spacing w:after="0" w:line="240" w:lineRule="auto"/>
        <w:ind w:left="0"/>
        <w:rPr>
          <w:rFonts w:ascii="Arial" w:hAnsi="Arial" w:cs="Times New Roman"/>
          <w:sz w:val="24"/>
          <w:szCs w:val="24"/>
        </w:rPr>
      </w:pPr>
    </w:p>
    <w:p w:rsidR="009D60B7" w:rsidRDefault="00425C09">
      <w:pPr>
        <w:pStyle w:val="Recuodecorpodetexto"/>
        <w:spacing w:after="0" w:line="240" w:lineRule="auto"/>
        <w:ind w:left="0"/>
        <w:rPr>
          <w:sz w:val="24"/>
          <w:szCs w:val="24"/>
        </w:rPr>
      </w:pPr>
      <w:r>
        <w:rPr>
          <w:rFonts w:ascii="Arial" w:hAnsi="Arial" w:cs="Times New Roman"/>
          <w:sz w:val="24"/>
          <w:szCs w:val="24"/>
        </w:rPr>
        <w:t xml:space="preserve">BRASIL. </w:t>
      </w:r>
      <w:r>
        <w:rPr>
          <w:rFonts w:ascii="Arial" w:hAnsi="Arial" w:cs="Times New Roman"/>
          <w:b/>
          <w:bCs/>
          <w:sz w:val="24"/>
          <w:szCs w:val="24"/>
        </w:rPr>
        <w:t>Lei nº 10.671, de 15 de maio de 2003</w:t>
      </w:r>
      <w:r>
        <w:rPr>
          <w:rFonts w:ascii="Arial" w:hAnsi="Arial" w:cs="Times New Roman"/>
          <w:sz w:val="24"/>
          <w:szCs w:val="24"/>
        </w:rPr>
        <w:t xml:space="preserve">. Dispõe sobre o Estatuto de Defesa do Torcedor e dá outras providências. Brasília: Planalto, 2003. Presidência da República, 2003. Disponível em: </w:t>
      </w:r>
      <w:hyperlink r:id="rId206">
        <w:r>
          <w:rPr>
            <w:rStyle w:val="Hyperlink1"/>
            <w:rFonts w:ascii="Arial" w:hAnsi="Arial" w:cs="Times New Roman"/>
            <w:color w:val="auto"/>
            <w:sz w:val="24"/>
            <w:szCs w:val="24"/>
            <w:u w:val="none"/>
          </w:rPr>
          <w:t>https://www.planalto.gov.br/ccivil_03/leis/2003/l10.671.htm</w:t>
        </w:r>
      </w:hyperlink>
      <w:r>
        <w:rPr>
          <w:rFonts w:ascii="Arial" w:hAnsi="Arial" w:cs="Times New Roman"/>
          <w:sz w:val="24"/>
          <w:szCs w:val="24"/>
        </w:rPr>
        <w:t xml:space="preserve">. </w:t>
      </w:r>
      <w:r>
        <w:rPr>
          <w:rFonts w:ascii="Arial" w:hAnsi="Arial" w:cs="Times New Roman"/>
          <w:sz w:val="24"/>
          <w:szCs w:val="24"/>
        </w:rPr>
        <w:lastRenderedPageBreak/>
        <w:t>Acesso em: 31 mar. 2026.</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sz w:val="24"/>
          <w:szCs w:val="24"/>
        </w:rPr>
      </w:pPr>
      <w:r>
        <w:rPr>
          <w:rFonts w:ascii="Arial" w:hAnsi="Arial" w:cs="Times New Roman"/>
          <w:sz w:val="24"/>
          <w:szCs w:val="24"/>
        </w:rPr>
        <w:t xml:space="preserve">BRASIL. </w:t>
      </w:r>
      <w:r>
        <w:rPr>
          <w:rFonts w:ascii="Arial" w:hAnsi="Arial" w:cs="Times New Roman"/>
          <w:b/>
          <w:bCs/>
          <w:sz w:val="24"/>
          <w:szCs w:val="24"/>
        </w:rPr>
        <w:t>Lei nº 14.597, de 14 de junho de 2023.</w:t>
      </w:r>
      <w:r>
        <w:rPr>
          <w:rFonts w:ascii="Arial" w:hAnsi="Arial" w:cs="Times New Roman"/>
          <w:sz w:val="24"/>
          <w:szCs w:val="24"/>
        </w:rPr>
        <w:t xml:space="preserve"> </w:t>
      </w:r>
      <w:r>
        <w:rPr>
          <w:rFonts w:ascii="Arial" w:eastAsia="Times New Roman" w:hAnsi="Arial" w:cs="Times New Roman"/>
          <w:sz w:val="24"/>
          <w:szCs w:val="24"/>
        </w:rPr>
        <w:br/>
        <w:t>Institui a Lei Geral do Esporte</w:t>
      </w:r>
      <w:r>
        <w:rPr>
          <w:rFonts w:ascii="Arial" w:hAnsi="Arial" w:cs="Times New Roman"/>
          <w:sz w:val="24"/>
          <w:szCs w:val="24"/>
        </w:rPr>
        <w:t xml:space="preserve">. Brasília: Planalto, 2023. Disponível em:   </w:t>
      </w:r>
      <w:hyperlink r:id="rId207">
        <w:r>
          <w:rPr>
            <w:rStyle w:val="Hyperlink1"/>
            <w:rFonts w:ascii="Arial" w:hAnsi="Arial" w:cs="Times New Roman"/>
            <w:color w:val="auto"/>
            <w:sz w:val="24"/>
            <w:szCs w:val="24"/>
            <w:u w:val="none"/>
          </w:rPr>
          <w:t>https://www.planalto.gov.br/ccivil_03/leis/l7716.htm</w:t>
        </w:r>
      </w:hyperlink>
      <w:r>
        <w:rPr>
          <w:rFonts w:ascii="Arial" w:hAnsi="Arial" w:cs="Times New Roman"/>
          <w:sz w:val="24"/>
          <w:szCs w:val="24"/>
        </w:rPr>
        <w:t>. Acesso em: 29 mar. 2025.</w:t>
      </w:r>
    </w:p>
    <w:p w:rsidR="009D60B7" w:rsidRDefault="00425C09">
      <w:pPr>
        <w:pStyle w:val="Recuodecorpodetexto"/>
        <w:spacing w:after="0" w:line="240" w:lineRule="auto"/>
        <w:ind w:left="0"/>
        <w:rPr>
          <w:rFonts w:ascii="Arial" w:hAnsi="Arial"/>
          <w:sz w:val="24"/>
          <w:szCs w:val="24"/>
        </w:rPr>
      </w:pPr>
      <w:r>
        <w:rPr>
          <w:rFonts w:ascii="Arial" w:hAnsi="Arial" w:cs="Times New Roman"/>
          <w:sz w:val="24"/>
          <w:szCs w:val="24"/>
        </w:rPr>
        <w:t xml:space="preserve">BRASIL. </w:t>
      </w:r>
      <w:r>
        <w:rPr>
          <w:rFonts w:ascii="Arial" w:hAnsi="Arial" w:cs="Times New Roman"/>
          <w:b/>
          <w:bCs/>
          <w:sz w:val="24"/>
          <w:szCs w:val="24"/>
        </w:rPr>
        <w:t>Lei nº 7.716, de 5 de janeiro de 1989.</w:t>
      </w:r>
      <w:r>
        <w:rPr>
          <w:rFonts w:ascii="Arial" w:hAnsi="Arial" w:cs="Times New Roman"/>
          <w:sz w:val="24"/>
          <w:szCs w:val="24"/>
        </w:rPr>
        <w:t xml:space="preserve"> Define os crimes resultantes de preconceito de raça ou de cor. Brasília: Planalto, 1989. Disponível em:   https://www.planalto.gov.br/ccivil_03/leis/l7716.htm. Acesso em: 07 dez. 2025.</w:t>
      </w:r>
    </w:p>
    <w:p w:rsidR="009D60B7" w:rsidRDefault="009D60B7">
      <w:pPr>
        <w:pStyle w:val="Recuodecorpodetexto"/>
        <w:spacing w:after="0" w:line="240" w:lineRule="auto"/>
        <w:ind w:left="0"/>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BRASIL. </w:t>
      </w:r>
      <w:r>
        <w:rPr>
          <w:rFonts w:ascii="Arial" w:hAnsi="Arial" w:cs="Times New Roman"/>
          <w:b/>
          <w:bCs/>
          <w:sz w:val="24"/>
          <w:szCs w:val="24"/>
        </w:rPr>
        <w:t>Superior Tribunal de Justiça</w:t>
      </w:r>
      <w:r>
        <w:rPr>
          <w:rFonts w:ascii="Arial" w:hAnsi="Arial" w:cs="Times New Roman"/>
          <w:sz w:val="24"/>
          <w:szCs w:val="24"/>
        </w:rPr>
        <w:t>. Recurso Especial nº 1.924.527/PR e Recurso Especial nº 1.773.885/SP. Relatora: Ministra Nancy Andrighi. Julgado em: 15 jun. 2021. Disponível em: https://www.stj.jus.br. Acesso em: 29 mar. 2026.</w:t>
      </w:r>
    </w:p>
    <w:p w:rsidR="009D60B7" w:rsidRDefault="009D60B7">
      <w:pPr>
        <w:rPr>
          <w:rFonts w:ascii="Arial" w:eastAsia="Times New Roman"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CASTANHO, Beatriz Marçal. </w:t>
      </w:r>
      <w:r>
        <w:rPr>
          <w:rFonts w:ascii="Arial" w:hAnsi="Arial" w:cs="Times New Roman"/>
          <w:b/>
          <w:bCs/>
          <w:sz w:val="24"/>
          <w:szCs w:val="24"/>
        </w:rPr>
        <w:t>Responsabilidade penal dos crimes de racismo praticados no cenário do futebol brasileiro: histórico, mudanças legislativas e análise de casos práticos</w:t>
      </w:r>
      <w:r>
        <w:rPr>
          <w:rFonts w:ascii="Arial" w:hAnsi="Arial" w:cs="Times New Roman"/>
          <w:sz w:val="24"/>
          <w:szCs w:val="24"/>
        </w:rPr>
        <w:t>. 2024. Trabalho de Conclusão de Curso (Graduação em Direito) - Faculdade de Direito da Pontifícia Universidade Católica de São Paulo, São Paulo, 2024.</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COIMBRA, Gustavo; SOUSA, Kátia. Racismo, ressentimento e resistência: o baile de Vinicius Junior sobre o recalque espanhol. </w:t>
      </w:r>
      <w:r>
        <w:rPr>
          <w:rFonts w:ascii="Arial" w:hAnsi="Arial" w:cs="Times New Roman"/>
          <w:b/>
          <w:bCs/>
          <w:sz w:val="24"/>
          <w:szCs w:val="24"/>
        </w:rPr>
        <w:t>Redis: Revista de Estudos do Discurso</w:t>
      </w:r>
      <w:r>
        <w:rPr>
          <w:rFonts w:ascii="Arial" w:hAnsi="Arial" w:cs="Times New Roman"/>
          <w:sz w:val="24"/>
          <w:szCs w:val="24"/>
        </w:rPr>
        <w:t>, </w:t>
      </w:r>
      <w:r>
        <w:rPr>
          <w:rFonts w:ascii="Arial" w:hAnsi="Arial" w:cs="Times New Roman"/>
          <w:i/>
          <w:iCs/>
          <w:sz w:val="24"/>
          <w:szCs w:val="24"/>
        </w:rPr>
        <w:t>[S. l.]</w:t>
      </w:r>
      <w:r>
        <w:rPr>
          <w:rFonts w:ascii="Arial" w:hAnsi="Arial" w:cs="Times New Roman"/>
          <w:sz w:val="24"/>
          <w:szCs w:val="24"/>
        </w:rPr>
        <w:t>, n. 12, p. 15–42, 2023. DOI: 10.21747/21833958/red12a1. Disponível em: https://ojs.letras.up.pt/index.php/re/article/view/13229. Acesso em: 29 mar. 2026.</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DOMINGUES, Giovani. </w:t>
      </w:r>
      <w:r>
        <w:rPr>
          <w:rFonts w:ascii="Arial" w:hAnsi="Arial" w:cs="Times New Roman"/>
          <w:b/>
          <w:bCs/>
          <w:sz w:val="24"/>
          <w:szCs w:val="24"/>
        </w:rPr>
        <w:t>Gol contra o racismo: desafiando preconceitos no futebol</w:t>
      </w:r>
      <w:r>
        <w:rPr>
          <w:rFonts w:ascii="Arial" w:hAnsi="Arial" w:cs="Times New Roman"/>
          <w:sz w:val="24"/>
          <w:szCs w:val="24"/>
        </w:rPr>
        <w:t>. São Paulo: Editora: ‎ Khanh Editora, 2025.</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GOMES, Camilla. Raça e racismo como conceitos jurídicos de resistência. </w:t>
      </w:r>
      <w:r>
        <w:rPr>
          <w:rFonts w:ascii="Arial" w:hAnsi="Arial" w:cs="Times New Roman"/>
          <w:b/>
          <w:bCs/>
          <w:sz w:val="24"/>
          <w:szCs w:val="24"/>
        </w:rPr>
        <w:t>Insurgência: revista de direitos e movimentos sociais</w:t>
      </w:r>
      <w:r>
        <w:rPr>
          <w:rFonts w:ascii="Arial" w:hAnsi="Arial" w:cs="Times New Roman"/>
          <w:sz w:val="24"/>
          <w:szCs w:val="24"/>
        </w:rPr>
        <w:t>, Brasília, v. 10, n. 1, p. 697–708, 2024. DOI: 10.26512/revistainsurgncia.v10i1.51527. Disponível em: https://periodicos.unb.br/index.php/insurgencia/article/view/51527. Acesso em: 7 dez. 2025.</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GOMES, Job. </w:t>
      </w:r>
      <w:r>
        <w:rPr>
          <w:rFonts w:ascii="Arial" w:hAnsi="Arial" w:cs="Times New Roman"/>
          <w:b/>
          <w:bCs/>
          <w:sz w:val="24"/>
          <w:szCs w:val="24"/>
        </w:rPr>
        <w:t>A cor do jogo: Racismo Posicional: Como um tipo de racismo naturalizado opera no futebol mundial</w:t>
      </w:r>
      <w:r>
        <w:rPr>
          <w:rFonts w:ascii="Arial" w:hAnsi="Arial" w:cs="Times New Roman"/>
          <w:sz w:val="24"/>
          <w:szCs w:val="24"/>
        </w:rPr>
        <w:t>. São Paulo: Editora: UICLAP, 2025.</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LIMA, Marcelo Lisboa da Cunha. </w:t>
      </w:r>
      <w:r>
        <w:rPr>
          <w:rFonts w:ascii="Arial" w:hAnsi="Arial" w:cs="Times New Roman"/>
          <w:b/>
          <w:bCs/>
          <w:sz w:val="24"/>
          <w:szCs w:val="24"/>
        </w:rPr>
        <w:t>Uma análise à luz dos direitos humanos sobre o racismo no futebol brasileiro</w:t>
      </w:r>
      <w:r>
        <w:rPr>
          <w:rFonts w:ascii="Arial" w:hAnsi="Arial" w:cs="Times New Roman"/>
          <w:sz w:val="24"/>
          <w:szCs w:val="24"/>
        </w:rPr>
        <w:t>. 2025. Trabalho de Conclusão de Curso (Graduação em Direito) – Centro Universitário do Rio Grande do Norte (UNI-RN), Natal, 2025.</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MOREIRA, Adilson; RIBEIRO, Djamila. </w:t>
      </w:r>
      <w:r>
        <w:rPr>
          <w:rFonts w:ascii="Arial" w:hAnsi="Arial" w:cs="Times New Roman"/>
          <w:b/>
          <w:bCs/>
          <w:sz w:val="24"/>
          <w:szCs w:val="24"/>
        </w:rPr>
        <w:t>Racismo Recreativo</w:t>
      </w:r>
      <w:r>
        <w:rPr>
          <w:rFonts w:ascii="Arial" w:hAnsi="Arial" w:cs="Times New Roman"/>
          <w:sz w:val="24"/>
          <w:szCs w:val="24"/>
        </w:rPr>
        <w:t>. Rio de Janeiro: Editora: ‎ Pólen Livros, 2019.</w:t>
      </w:r>
    </w:p>
    <w:p w:rsidR="009D60B7" w:rsidRDefault="00425C09">
      <w:pPr>
        <w:rPr>
          <w:rFonts w:ascii="Arial" w:hAnsi="Arial"/>
          <w:sz w:val="24"/>
          <w:szCs w:val="24"/>
        </w:rPr>
      </w:pPr>
      <w:r>
        <w:rPr>
          <w:rFonts w:ascii="Arial" w:eastAsia="Times New Roman" w:hAnsi="Arial" w:cs="Times New Roman"/>
          <w:sz w:val="24"/>
          <w:szCs w:val="24"/>
        </w:rPr>
        <w:br/>
        <w:t>PEREIRA, Igor Moreira Dias</w:t>
      </w:r>
      <w:r>
        <w:rPr>
          <w:rFonts w:ascii="Arial" w:eastAsia="Times New Roman" w:hAnsi="Arial" w:cs="Times New Roman"/>
          <w:b/>
          <w:bCs/>
          <w:sz w:val="24"/>
          <w:szCs w:val="24"/>
        </w:rPr>
        <w:t>. Racismo no futebol brasileiro: a ótica do jogador negro</w:t>
      </w:r>
      <w:r>
        <w:rPr>
          <w:rFonts w:ascii="Arial" w:eastAsia="Times New Roman" w:hAnsi="Arial" w:cs="Times New Roman"/>
          <w:sz w:val="24"/>
          <w:szCs w:val="24"/>
        </w:rPr>
        <w:t>. 2021. Tese (Doutorado em Ciências Sociais). Programa de Estudos Pós-Graduados em Ciências Sociais da Pontifícia Universidade Católica de São Paulo, São Paulo, 2021.</w:t>
      </w:r>
    </w:p>
    <w:p w:rsidR="009D60B7" w:rsidRDefault="009D60B7">
      <w:pPr>
        <w:rPr>
          <w:rFonts w:ascii="Arial" w:eastAsia="Times New Roman"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SERRANO, Igor. </w:t>
      </w:r>
      <w:r>
        <w:rPr>
          <w:rFonts w:ascii="Arial" w:hAnsi="Arial" w:cs="Times New Roman"/>
          <w:b/>
          <w:bCs/>
          <w:sz w:val="24"/>
          <w:szCs w:val="24"/>
        </w:rPr>
        <w:t>O Racismo no Futebol Brasileiro</w:t>
      </w:r>
      <w:r>
        <w:rPr>
          <w:rFonts w:ascii="Arial" w:hAnsi="Arial" w:cs="Times New Roman"/>
          <w:sz w:val="24"/>
          <w:szCs w:val="24"/>
        </w:rPr>
        <w:t>. São Paulo: Cartola Editora, 2023.</w:t>
      </w:r>
    </w:p>
    <w:p w:rsidR="009D60B7" w:rsidRDefault="009D60B7">
      <w:pPr>
        <w:rPr>
          <w:rFonts w:ascii="Arial" w:eastAsia="Times New Roman"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SILVA, Fabio; PAULA, Ângela. </w:t>
      </w:r>
      <w:r>
        <w:rPr>
          <w:rFonts w:ascii="Arial" w:hAnsi="Arial" w:cs="Times New Roman"/>
          <w:b/>
          <w:bCs/>
          <w:sz w:val="24"/>
          <w:szCs w:val="24"/>
        </w:rPr>
        <w:t xml:space="preserve">Os impactos do racismo na subjetividade do </w:t>
      </w:r>
      <w:r>
        <w:rPr>
          <w:rFonts w:ascii="Arial" w:hAnsi="Arial" w:cs="Times New Roman"/>
          <w:b/>
          <w:bCs/>
          <w:sz w:val="24"/>
          <w:szCs w:val="24"/>
        </w:rPr>
        <w:lastRenderedPageBreak/>
        <w:t>jogador de futebol negro</w:t>
      </w:r>
      <w:r>
        <w:rPr>
          <w:rFonts w:ascii="Arial" w:hAnsi="Arial" w:cs="Times New Roman"/>
          <w:sz w:val="24"/>
          <w:szCs w:val="24"/>
        </w:rPr>
        <w:t>. Brasília: Psicologia: Ciência e Profissão, 2020.</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SOUSA, Joanna de Ângelis Barbosa de. </w:t>
      </w:r>
      <w:r>
        <w:rPr>
          <w:rFonts w:ascii="Arial" w:hAnsi="Arial" w:cs="Times New Roman"/>
          <w:b/>
          <w:bCs/>
          <w:sz w:val="24"/>
          <w:szCs w:val="24"/>
        </w:rPr>
        <w:t>Mídia e racismo no futebol brasileiro</w:t>
      </w:r>
      <w:r>
        <w:rPr>
          <w:rFonts w:ascii="Arial" w:hAnsi="Arial" w:cs="Times New Roman"/>
          <w:sz w:val="24"/>
          <w:szCs w:val="24"/>
        </w:rPr>
        <w:t>. 2022. 59 f. Trabalho de Conclusão de Curso (Bacharelado em Jornalismo). Instituto de Ciências Humanas, Comunicação e Artes, Universidade Federal de Alagoas, Maceió, 2022.</w:t>
      </w:r>
    </w:p>
    <w:p w:rsidR="009D60B7" w:rsidRDefault="009D60B7">
      <w:pPr>
        <w:rPr>
          <w:rFonts w:ascii="Arial" w:hAnsi="Arial" w:cs="Times New Roman"/>
          <w:sz w:val="24"/>
          <w:szCs w:val="24"/>
        </w:rPr>
      </w:pPr>
    </w:p>
    <w:p w:rsidR="009D60B7" w:rsidRDefault="00425C09">
      <w:pPr>
        <w:rPr>
          <w:rFonts w:ascii="Arial" w:hAnsi="Arial"/>
          <w:sz w:val="24"/>
          <w:szCs w:val="24"/>
        </w:rPr>
      </w:pPr>
      <w:r>
        <w:rPr>
          <w:rFonts w:ascii="Arial" w:hAnsi="Arial" w:cs="Times New Roman"/>
          <w:sz w:val="24"/>
          <w:szCs w:val="24"/>
        </w:rPr>
        <w:t xml:space="preserve">TAVARES, Yasnaia Nobrega. </w:t>
      </w:r>
      <w:r>
        <w:rPr>
          <w:rFonts w:ascii="Arial" w:hAnsi="Arial" w:cs="Times New Roman"/>
          <w:b/>
          <w:bCs/>
          <w:sz w:val="24"/>
          <w:szCs w:val="24"/>
        </w:rPr>
        <w:t>Como decidem os tribunais? Uma análise das decisões do TJPE sobre os crimes de racismo e injúria racial</w:t>
      </w:r>
      <w:r>
        <w:rPr>
          <w:rFonts w:ascii="Arial" w:hAnsi="Arial" w:cs="Times New Roman"/>
          <w:sz w:val="24"/>
          <w:szCs w:val="24"/>
        </w:rPr>
        <w:t>. 2025. Trabalho de Conclusão de Curso (Graduação em Direito) – Universidade Federal da Paraíba (UFPB), Santa Rita, 2025.</w:t>
      </w:r>
    </w:p>
    <w:p w:rsidR="009D60B7" w:rsidRDefault="00425C09">
      <w:pPr>
        <w:rPr>
          <w:rFonts w:ascii="Arial" w:hAnsi="Arial"/>
          <w:sz w:val="24"/>
          <w:szCs w:val="24"/>
        </w:rPr>
      </w:pPr>
      <w:r>
        <w:rPr>
          <w:rFonts w:ascii="Arial" w:eastAsia="Times New Roman" w:hAnsi="Arial" w:cs="Times New Roman"/>
          <w:sz w:val="24"/>
          <w:szCs w:val="24"/>
        </w:rPr>
        <w:br/>
        <w:t xml:space="preserve">VASCONCELOS, Francisco Diego Pereira de. </w:t>
      </w:r>
      <w:r>
        <w:rPr>
          <w:rFonts w:ascii="Arial" w:eastAsia="Times New Roman" w:hAnsi="Arial" w:cs="Times New Roman"/>
          <w:b/>
          <w:bCs/>
          <w:sz w:val="24"/>
          <w:szCs w:val="24"/>
        </w:rPr>
        <w:t>Corpos em jogo: o futebol como reflexo da sociedade</w:t>
      </w:r>
      <w:r>
        <w:rPr>
          <w:rFonts w:ascii="Arial" w:eastAsia="Times New Roman" w:hAnsi="Arial" w:cs="Times New Roman"/>
          <w:sz w:val="24"/>
          <w:szCs w:val="24"/>
        </w:rPr>
        <w:t>. 2023. 20 f. Trabalho de Conclusão de Curso (Graduação em Jornalismo). Instituto de Cultura e Arte, Universidade Federal do Ceará, Fortaleza, 2023.</w:t>
      </w: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8C2CAE" w:rsidRDefault="008C2CAE">
      <w:pPr>
        <w:jc w:val="center"/>
        <w:rPr>
          <w:rFonts w:ascii="Arial" w:hAnsi="Arial"/>
          <w:b/>
          <w:bCs/>
          <w:sz w:val="20"/>
          <w:szCs w:val="20"/>
        </w:rPr>
      </w:pPr>
    </w:p>
    <w:p w:rsidR="009D60B7" w:rsidRDefault="009D60B7">
      <w:pPr>
        <w:jc w:val="center"/>
        <w:rPr>
          <w:rFonts w:ascii="Arial" w:hAnsi="Arial"/>
          <w:b/>
          <w:bCs/>
          <w:sz w:val="20"/>
          <w:szCs w:val="20"/>
        </w:rPr>
      </w:pPr>
    </w:p>
    <w:p w:rsidR="009D60B7" w:rsidRDefault="009D60B7">
      <w:pPr>
        <w:jc w:val="both"/>
        <w:rPr>
          <w:rFonts w:ascii="Arial" w:hAnsi="Arial"/>
          <w:b/>
          <w:bCs/>
          <w:sz w:val="20"/>
          <w:szCs w:val="20"/>
        </w:rPr>
      </w:pPr>
    </w:p>
    <w:p w:rsidR="009D60B7" w:rsidRDefault="009D60B7">
      <w:pPr>
        <w:jc w:val="both"/>
        <w:rPr>
          <w:rFonts w:ascii="Arial" w:hAnsi="Arial"/>
          <w:b/>
          <w:bCs/>
          <w:sz w:val="20"/>
          <w:szCs w:val="20"/>
        </w:rPr>
      </w:pPr>
    </w:p>
    <w:p w:rsidR="009D60B7" w:rsidRPr="001753E5" w:rsidRDefault="00425C09" w:rsidP="001753E5">
      <w:pPr>
        <w:jc w:val="center"/>
        <w:rPr>
          <w:rFonts w:ascii="Arial" w:hAnsi="Arial"/>
          <w:sz w:val="28"/>
          <w:szCs w:val="28"/>
        </w:rPr>
      </w:pPr>
      <w:r w:rsidRPr="001753E5">
        <w:rPr>
          <w:rFonts w:ascii="Arial" w:hAnsi="Arial"/>
          <w:b/>
          <w:bCs/>
          <w:sz w:val="28"/>
          <w:szCs w:val="28"/>
        </w:rPr>
        <w:lastRenderedPageBreak/>
        <w:t>T</w:t>
      </w:r>
      <w:r w:rsidRPr="001753E5">
        <w:rPr>
          <w:rFonts w:ascii="Arial" w:eastAsia="Times New Roman" w:hAnsi="Arial" w:cs="Times New Roman"/>
          <w:b/>
          <w:bCs/>
          <w:sz w:val="28"/>
          <w:szCs w:val="28"/>
        </w:rPr>
        <w:t>RÁFICO DE DROGAS E FACÇÕES CRIMINOSAS: UMA ANÁLISE CRÍTICA SOBRE SELETIVIDADE PENAL E A VULNERABILIDADE SOCIAL NO SISTEMA PRISIONAL BRASILEIRO</w:t>
      </w:r>
    </w:p>
    <w:p w:rsidR="009D60B7" w:rsidRDefault="009D60B7">
      <w:pPr>
        <w:spacing w:line="360" w:lineRule="auto"/>
        <w:ind w:left="-283" w:right="100"/>
        <w:jc w:val="center"/>
        <w:rPr>
          <w:rFonts w:ascii="Arial" w:eastAsia="Times New Roman" w:hAnsi="Arial" w:cs="Times New Roman"/>
          <w:b/>
          <w:bCs/>
          <w:sz w:val="24"/>
          <w:szCs w:val="24"/>
        </w:rPr>
      </w:pPr>
    </w:p>
    <w:p w:rsidR="001753E5" w:rsidRDefault="001753E5">
      <w:pPr>
        <w:spacing w:line="360" w:lineRule="auto"/>
        <w:ind w:left="-283" w:right="100"/>
        <w:jc w:val="center"/>
        <w:rPr>
          <w:rFonts w:ascii="Arial" w:eastAsia="Times New Roman" w:hAnsi="Arial" w:cs="Times New Roman"/>
          <w:b/>
          <w:bCs/>
          <w:sz w:val="24"/>
          <w:szCs w:val="24"/>
        </w:rPr>
      </w:pPr>
    </w:p>
    <w:p w:rsidR="009D60B7" w:rsidRDefault="00425C09">
      <w:pPr>
        <w:ind w:left="-283" w:right="100"/>
        <w:jc w:val="center"/>
        <w:rPr>
          <w:rFonts w:ascii="Arial" w:hAnsi="Arial"/>
          <w:sz w:val="24"/>
          <w:szCs w:val="24"/>
        </w:rPr>
      </w:pPr>
      <w:r>
        <w:rPr>
          <w:rFonts w:ascii="Arial" w:eastAsia="Times New Roman" w:hAnsi="Arial" w:cs="Times New Roman"/>
          <w:sz w:val="24"/>
          <w:szCs w:val="24"/>
        </w:rPr>
        <w:t xml:space="preserve">Rafaela Pereira da Silva </w:t>
      </w:r>
      <w:r>
        <w:rPr>
          <w:rStyle w:val="Refdenotaderodap"/>
          <w:rFonts w:ascii="Arial" w:eastAsia="Times New Roman" w:hAnsi="Arial" w:cs="Times New Roman"/>
          <w:sz w:val="24"/>
          <w:szCs w:val="24"/>
        </w:rPr>
        <w:footnoteReference w:id="54"/>
      </w:r>
    </w:p>
    <w:p w:rsidR="009D60B7" w:rsidRDefault="00425C09">
      <w:pPr>
        <w:ind w:left="-283" w:right="100"/>
        <w:jc w:val="center"/>
        <w:rPr>
          <w:rFonts w:ascii="Arial" w:eastAsia="Times New Roman" w:hAnsi="Arial" w:cs="Times New Roman"/>
          <w:sz w:val="24"/>
          <w:szCs w:val="24"/>
        </w:rPr>
      </w:pPr>
      <w:r>
        <w:rPr>
          <w:rFonts w:ascii="Arial" w:eastAsia="Times New Roman" w:hAnsi="Arial" w:cs="Times New Roman"/>
          <w:sz w:val="24"/>
          <w:szCs w:val="24"/>
        </w:rPr>
        <w:t>Luana Luiza Cardoso Peixoto</w:t>
      </w:r>
      <w:r>
        <w:rPr>
          <w:rStyle w:val="Refdenotaderodap"/>
          <w:rFonts w:ascii="Arial" w:eastAsia="Times New Roman" w:hAnsi="Arial" w:cs="Times New Roman"/>
          <w:sz w:val="24"/>
          <w:szCs w:val="24"/>
        </w:rPr>
        <w:footnoteReference w:id="55"/>
      </w:r>
      <w:r>
        <w:rPr>
          <w:rFonts w:ascii="Arial" w:eastAsia="Times New Roman" w:hAnsi="Arial" w:cs="Times New Roman"/>
          <w:sz w:val="24"/>
          <w:szCs w:val="24"/>
        </w:rPr>
        <w:t xml:space="preserve"> </w:t>
      </w:r>
    </w:p>
    <w:p w:rsidR="009D60B7" w:rsidRDefault="00425C09">
      <w:pPr>
        <w:ind w:left="-283" w:right="100"/>
        <w:jc w:val="center"/>
        <w:rPr>
          <w:sz w:val="24"/>
          <w:szCs w:val="24"/>
        </w:rPr>
      </w:pPr>
      <w:r>
        <w:rPr>
          <w:rFonts w:ascii="Arial" w:eastAsia="Times New Roman" w:hAnsi="Arial" w:cs="Times New Roman"/>
          <w:sz w:val="24"/>
          <w:szCs w:val="24"/>
        </w:rPr>
        <w:t>Gabriel de Castro Borges Reis</w:t>
      </w:r>
      <w:r>
        <w:rPr>
          <w:rStyle w:val="Refdenotaderodap"/>
          <w:rFonts w:ascii="Arial" w:eastAsia="Times New Roman" w:hAnsi="Arial" w:cs="Times New Roman"/>
          <w:sz w:val="24"/>
          <w:szCs w:val="24"/>
        </w:rPr>
        <w:footnoteReference w:id="56"/>
      </w:r>
    </w:p>
    <w:p w:rsidR="009D60B7" w:rsidRDefault="009D60B7">
      <w:pPr>
        <w:pStyle w:val="Corpodetexto"/>
        <w:spacing w:before="182"/>
        <w:rPr>
          <w:rFonts w:ascii="Arial" w:hAnsi="Arial" w:cs="Times New Roman"/>
        </w:rPr>
      </w:pPr>
    </w:p>
    <w:p w:rsidR="007E6055" w:rsidRDefault="007E6055">
      <w:pPr>
        <w:pStyle w:val="Corpodetexto"/>
        <w:spacing w:before="182"/>
        <w:rPr>
          <w:rFonts w:ascii="Arial" w:hAnsi="Arial" w:cs="Times New Roman"/>
        </w:rPr>
      </w:pPr>
    </w:p>
    <w:p w:rsidR="009D60B7" w:rsidRPr="001753E5" w:rsidRDefault="00425C09">
      <w:pPr>
        <w:pStyle w:val="Ttulo1"/>
        <w:rPr>
          <w:rFonts w:ascii="Arial" w:hAnsi="Arial"/>
          <w:bCs/>
          <w:sz w:val="24"/>
          <w:szCs w:val="24"/>
        </w:rPr>
      </w:pPr>
      <w:r w:rsidRPr="001753E5">
        <w:rPr>
          <w:rFonts w:ascii="Arial" w:hAnsi="Arial" w:cs="Arial"/>
          <w:bCs/>
          <w:spacing w:val="-2"/>
          <w:sz w:val="24"/>
          <w:szCs w:val="24"/>
        </w:rPr>
        <w:t>RESUMO</w:t>
      </w:r>
    </w:p>
    <w:p w:rsidR="009D60B7" w:rsidRDefault="00425C09">
      <w:pPr>
        <w:shd w:val="clear" w:color="auto" w:fill="FFFFFF"/>
        <w:ind w:left="-283" w:right="100" w:hanging="1"/>
        <w:jc w:val="both"/>
        <w:rPr>
          <w:rFonts w:ascii="Arial" w:eastAsia="Times New Roman" w:hAnsi="Arial" w:cs="Times New Roman"/>
          <w:color w:val="0A0A0A"/>
          <w:sz w:val="20"/>
          <w:szCs w:val="20"/>
        </w:rPr>
      </w:pPr>
      <w:r>
        <w:rPr>
          <w:rFonts w:ascii="Arial" w:eastAsia="Times New Roman" w:hAnsi="Arial" w:cs="Times New Roman"/>
          <w:color w:val="0A0A0A"/>
          <w:sz w:val="20"/>
          <w:szCs w:val="20"/>
        </w:rPr>
        <w:t>O presente trabalho analisa a crise estrutural do sistema prisional brasileiro sob a ótica da criminologia crítica e do direito penal do inimigo. O objetivo central é investigar como a seletividade penal e o encarceramento em massa operam como mecanismos de gestão da pobreza, contribuindo para o fortalecimento das organizações criminosas. Metodologicamente, utilizou-se a pesquisa bibliográfica e documental, fundamentada em autores como Baratta, Wacquant e Zaffaroni, além de estudos recentes sobre a soberania estatal precária nos presídios. A primeira seção aborda a lógica seletiva do sistema punitivo e o impacto da Lei de Drogas. A segunda seção examina a gênese do Comando Vermelho (CV) e do Primeiro Comando da Capital (PCC) como resposta às violências do Estado. Por fim, a terceira seção confronta a teoria do direito penal do inimigo com o reconhecimento do Estado de Coisas Inconstitucional pelo STF e a desumanização do preso. Concluiu-se que a antecipação da punição e a negação do básico para a sobrevivência não reduzem a criminalidade, mas consolidam a hegemonia das facções no ambiente carcerário.</w:t>
      </w:r>
    </w:p>
    <w:p w:rsidR="009D60B7" w:rsidRDefault="009D60B7">
      <w:pPr>
        <w:shd w:val="clear" w:color="auto" w:fill="FFFFFF"/>
        <w:ind w:left="-283" w:right="100" w:hanging="1"/>
        <w:jc w:val="both"/>
        <w:rPr>
          <w:rFonts w:ascii="Arial" w:eastAsia="Times New Roman" w:hAnsi="Arial" w:cs="Times New Roman"/>
          <w:color w:val="0A0A0A"/>
          <w:sz w:val="20"/>
          <w:szCs w:val="20"/>
        </w:rPr>
      </w:pPr>
    </w:p>
    <w:p w:rsidR="009D60B7" w:rsidRDefault="001753E5" w:rsidP="001753E5">
      <w:pPr>
        <w:shd w:val="clear" w:color="auto" w:fill="FFFFFF"/>
        <w:ind w:left="-283" w:right="100"/>
        <w:jc w:val="both"/>
        <w:rPr>
          <w:rFonts w:ascii="Arial" w:hAnsi="Arial"/>
          <w:sz w:val="20"/>
          <w:szCs w:val="20"/>
        </w:rPr>
      </w:pPr>
      <w:r>
        <w:rPr>
          <w:rFonts w:ascii="Arial" w:eastAsia="Times New Roman" w:hAnsi="Arial" w:cs="Times New Roman"/>
          <w:b/>
          <w:bCs/>
          <w:color w:val="0A0A0A"/>
          <w:sz w:val="20"/>
          <w:szCs w:val="20"/>
        </w:rPr>
        <w:t>PALAVRAS-CHAVE</w:t>
      </w:r>
      <w:r>
        <w:rPr>
          <w:rFonts w:ascii="Arial" w:hAnsi="Arial"/>
          <w:sz w:val="20"/>
          <w:szCs w:val="20"/>
        </w:rPr>
        <w:t xml:space="preserve">: </w:t>
      </w:r>
      <w:r w:rsidR="00425C09">
        <w:rPr>
          <w:rFonts w:ascii="Arial" w:eastAsia="Times New Roman" w:hAnsi="Arial" w:cs="Times New Roman"/>
          <w:color w:val="0A0A0A"/>
          <w:sz w:val="20"/>
          <w:szCs w:val="20"/>
        </w:rPr>
        <w:t>Seletividade Penal. Encarceramento em Massa. Organizações Criminosas. Direito Penal do Inimigo.</w:t>
      </w:r>
    </w:p>
    <w:p w:rsidR="009D60B7" w:rsidRDefault="009D60B7">
      <w:pPr>
        <w:spacing w:line="360" w:lineRule="auto"/>
        <w:ind w:left="-283" w:right="100"/>
        <w:jc w:val="both"/>
        <w:rPr>
          <w:rFonts w:ascii="Arial" w:eastAsia="Times New Roman" w:hAnsi="Arial" w:cs="Times New Roman"/>
          <w:color w:val="0A0A0A"/>
          <w:sz w:val="20"/>
          <w:szCs w:val="20"/>
        </w:rPr>
      </w:pPr>
    </w:p>
    <w:p w:rsidR="009D60B7" w:rsidRPr="001753E5" w:rsidRDefault="00425C09">
      <w:pPr>
        <w:spacing w:line="360" w:lineRule="auto"/>
        <w:ind w:left="-283" w:right="100"/>
        <w:jc w:val="both"/>
        <w:rPr>
          <w:rFonts w:ascii="Arial" w:hAnsi="Arial"/>
          <w:sz w:val="24"/>
          <w:szCs w:val="24"/>
        </w:rPr>
      </w:pPr>
      <w:r w:rsidRPr="001753E5">
        <w:rPr>
          <w:rFonts w:ascii="Arial" w:eastAsia="Times New Roman" w:hAnsi="Arial" w:cs="Times New Roman"/>
          <w:bCs/>
          <w:color w:val="0A0A0A"/>
          <w:sz w:val="24"/>
          <w:szCs w:val="24"/>
        </w:rPr>
        <w:t>INTRODUÇÃO</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O sistema prisional brasileiro atravessa uma crise estrutural que desafia as bases do Estado Democrático de Direito. Longe de ser um ambiente de reintegração social, o cárcere consolidou-se como um espaço de reprodução da violência e de afirmação de desigualdades históricas. A presente pesquisa propõe uma análise crítica sobre as engrenagens que sustentam esse cenário, investigando a relação entre a seletividade penal, o fortalecimento das organizações criminosas e a aplicação prática do Direito Penal do Inimigo.</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O problema central que norteia este trabalho reside na contradição entre o discurso constitucional de proteção à dignidade da pessoa humana e a realidade de um sistema que opera mediante a neutralização de determinados grupos sociais. Questiona-se: em que medida a lógica da seletividade penal e o tratamento do preso como "inimigo" contribuem para o fortalecimento das facções criminosas no Brasil?</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lastRenderedPageBreak/>
        <w:t>Para responder a essa indagação, o objetivo geral deste estudo é analisar como o encarceramento em massa e a negação da cidadania no cárcere retroalimentam o ciclo de criminalidade. Como objetivos específicos, busca-se conceituar o fenômeno da seletividade; descrever o processo histórico de formação do Comando Vermelho (CV) e do Primeiro Comando da Capital (PCC); e confrontar a teoria do Direito Penal do Inimigo com as garantias fundamentais do preso.</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A metodologia adotada é a pesquisa bibliográfica e documental, pautando-se na análise de obras de referência da criminologia crítica, como Alessandro Baratta e Loïc Wacquant, além de dados institucionais sobre o sistema penitenciário.</w:t>
      </w:r>
    </w:p>
    <w:p w:rsidR="009D60B7" w:rsidRDefault="00425C09">
      <w:pPr>
        <w:spacing w:line="360" w:lineRule="auto"/>
        <w:ind w:left="-283" w:right="100" w:firstLine="850"/>
        <w:jc w:val="both"/>
        <w:rPr>
          <w:rFonts w:ascii="Arial" w:hAnsi="Arial"/>
          <w:sz w:val="20"/>
          <w:szCs w:val="20"/>
        </w:rPr>
      </w:pPr>
      <w:r>
        <w:rPr>
          <w:rFonts w:ascii="Arial" w:eastAsia="Times New Roman" w:hAnsi="Arial" w:cs="Times New Roman"/>
          <w:color w:val="0A0A0A"/>
          <w:sz w:val="24"/>
          <w:szCs w:val="24"/>
        </w:rPr>
        <w:t>O trabalho está estruturado em três seções. A primeira aborda a seletividade penal e o encarceramento em massa, com foco na política de drogas brasileira. A segunda examina a gênese das organizações criminosas e o conceito de soberania estatal negociada no cárcere. Por fim, a terceira analisa o embate entre o Direito Penal do Inimigo e a condição de cidadão, evidenciando como a precarização da vida e a falência das garantias fundamentais consolidam o poder das facções</w:t>
      </w:r>
      <w:r>
        <w:rPr>
          <w:rFonts w:ascii="Arial" w:eastAsia="Times New Roman" w:hAnsi="Arial" w:cs="Times New Roman"/>
          <w:color w:val="0A0A0A"/>
          <w:sz w:val="20"/>
          <w:szCs w:val="20"/>
        </w:rPr>
        <w:t>.</w:t>
      </w:r>
    </w:p>
    <w:p w:rsidR="009D60B7" w:rsidRDefault="009D60B7">
      <w:pPr>
        <w:spacing w:line="360" w:lineRule="auto"/>
        <w:ind w:left="-283" w:right="100"/>
        <w:jc w:val="both"/>
        <w:rPr>
          <w:rFonts w:ascii="Arial" w:eastAsia="Times New Roman" w:hAnsi="Arial" w:cs="Times New Roman"/>
          <w:sz w:val="20"/>
          <w:szCs w:val="20"/>
        </w:rPr>
      </w:pPr>
    </w:p>
    <w:p w:rsidR="009D60B7" w:rsidRPr="00D36C44" w:rsidRDefault="00425C09">
      <w:pPr>
        <w:spacing w:line="360" w:lineRule="auto"/>
        <w:ind w:left="-283" w:right="100"/>
        <w:jc w:val="both"/>
        <w:rPr>
          <w:rFonts w:ascii="Arial" w:hAnsi="Arial"/>
          <w:sz w:val="24"/>
          <w:szCs w:val="24"/>
        </w:rPr>
      </w:pPr>
      <w:r w:rsidRPr="00D36C44">
        <w:rPr>
          <w:rFonts w:ascii="Arial" w:eastAsia="Times New Roman" w:hAnsi="Arial" w:cs="Times New Roman"/>
          <w:bCs/>
          <w:sz w:val="24"/>
          <w:szCs w:val="24"/>
          <w:lang w:val="pt-BR"/>
        </w:rPr>
        <w:t xml:space="preserve">1 </w:t>
      </w:r>
      <w:r w:rsidRPr="00D36C44">
        <w:rPr>
          <w:rFonts w:ascii="Arial" w:eastAsia="Times New Roman" w:hAnsi="Arial" w:cs="Times New Roman"/>
          <w:bCs/>
          <w:sz w:val="24"/>
          <w:szCs w:val="24"/>
        </w:rPr>
        <w:t xml:space="preserve">SELETIVIDADE PENAL E ENCARCERAMENTO EM MASSA </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 xml:space="preserve">Para examinar detidamente o narcotráfico e a expansão das facções, é imperativo decifrar as engrenagens que sustentam o ordenamento punitivo nacional, bem como o ciclo de vulnerabilidade imposto à população carcerária. Sob esse prisma, o filtro punitivo e a segregação em larga escala surgem como pilares para entender como o Estado instrumentaliza o controle social sobre estratos historicamente marginalizados. A literatura criminológica ratifica que tais dinâmicas não operam como falhas pontuais, mas sim como elementos estruturantes da própria arquitetura de justiça criminal brasileira. </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Assim, esta divisão tem como objetivo fundamental conceituar a Seletividade Penal e o Encarceramento em Massa, evidenciando suas raízes teóricas, seus desdobramentos sociais e seus vínculos com práticas institucionais que reforçam a desigualdade. Também se busca demonstrar como tais mecanismos influenciam diretamente a configuração atual do sistema prisional e das organizações criminosas. </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A Seletividade Penal corresponde ao processo pelo qual o Sistema de Justiça Criminal incide de forma desigual na repressão e punição de determinados grupos sociais. A Criminologia Crítica demonstra que o sistema penal não atua de modo neutro, mas orientado por interesses sociais e políticos que determinam quem será criminalizado e quem permanecerá invisível ao controle penal. Baratta (1999), em sua obra clássica, afirma que a seletividade constitui elemento estrutural do funcionamento do sistema penal, </w:t>
      </w:r>
      <w:r>
        <w:rPr>
          <w:rFonts w:ascii="Arial" w:eastAsia="Times New Roman" w:hAnsi="Arial" w:cs="Times New Roman"/>
          <w:sz w:val="24"/>
          <w:szCs w:val="24"/>
        </w:rPr>
        <w:lastRenderedPageBreak/>
        <w:t>ao destacar que:</w:t>
      </w:r>
    </w:p>
    <w:p w:rsidR="009D60B7" w:rsidRDefault="00425C09">
      <w:pPr>
        <w:ind w:left="2267" w:right="100"/>
        <w:jc w:val="both"/>
        <w:rPr>
          <w:rFonts w:ascii="Arial" w:hAnsi="Arial"/>
          <w:sz w:val="20"/>
          <w:szCs w:val="20"/>
        </w:rPr>
      </w:pPr>
      <w:r>
        <w:rPr>
          <w:rFonts w:ascii="Arial" w:eastAsia="Times New Roman" w:hAnsi="Arial" w:cs="Times New Roman"/>
          <w:color w:val="0A0A0A"/>
          <w:sz w:val="20"/>
          <w:szCs w:val="20"/>
        </w:rPr>
        <w:t>O sistema penal, de fato, não bate sobre todos os comportamentos desviantes, mas opera segundo uma lógica seletiva, de modo que a qualidade de criminoso não é uma qualidade intrínseca ao indivíduo ou à sua ação, mas é o resultado de um processo de etiquetamento que recai de forma desproporcional sobre indivíduos pertencentes às classes subalternas." (Baratta, 1999, p. 176).</w:t>
      </w:r>
    </w:p>
    <w:p w:rsidR="009D60B7" w:rsidRDefault="009D60B7">
      <w:pPr>
        <w:spacing w:line="360" w:lineRule="auto"/>
        <w:ind w:left="-283" w:right="100"/>
        <w:jc w:val="both"/>
        <w:rPr>
          <w:rFonts w:ascii="Arial" w:eastAsia="Times New Roman" w:hAnsi="Arial" w:cs="Times New Roman"/>
          <w:b/>
          <w:bCs/>
          <w:sz w:val="20"/>
          <w:szCs w:val="20"/>
        </w:rPr>
      </w:pP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Essa seletividade se expressa desde a abordagem policial até a aplicação da pena, consolidando um modelo de punição que recai prioritariamente sobre os jovens negros, pobres e residentes de territórios marginalizados. Assim, a seletividade penal no Brasil é indissociável da desigualdade estrutural que marca a sociedade brasileira, reforçando mecanismos de controle social sobre grupos vulnerabilizados. </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O encarceramento em massa não se limita ao aumento numérico da população prisional; trata-se de um fenômeno político e institucional que reflete escolhas estatais sobre quem deve ser punido e como a punição deve ser utilizada. </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Como afirma Garland (2008): </w:t>
      </w:r>
      <w:r>
        <w:rPr>
          <w:rFonts w:ascii="Arial" w:eastAsia="Times New Roman" w:hAnsi="Arial" w:cs="Times New Roman"/>
          <w:color w:val="0A0A0A"/>
          <w:sz w:val="24"/>
          <w:szCs w:val="24"/>
        </w:rPr>
        <w:t>“A nova criminologia da vida cotidiana e a criminologia do outro [...] dão voz a uma nova mentalidade de controle de crimes que é ao mesmo tempo mais pragmática e mais pessimista do que o ideal reabilitador que ela substitui." (Garland, 2008, p. 381).</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No Brasil, a adoção dessa cultura punitiva intensificou-se especialmente após a </w:t>
      </w:r>
      <w:r>
        <w:rPr>
          <w:rFonts w:ascii="Arial" w:eastAsia="Times New Roman" w:hAnsi="Arial" w:cs="Times New Roman"/>
          <w:color w:val="0A0A0A"/>
          <w:sz w:val="24"/>
          <w:szCs w:val="24"/>
        </w:rPr>
        <w:t>Lei nº 11.343/2006 que, embora tenha surgido com o intuito de despenalizar o uso de drogas, gerou um impacto reverso no cenário penitenciário. A vacuidade de parâmetros normativos para distinguir o consumo do comércio de entorpecentes outorgou aos agentes de segurança</w:t>
      </w:r>
      <w:r>
        <w:rPr>
          <w:rFonts w:ascii="Arial" w:eastAsia="Times New Roman" w:hAnsi="Arial" w:cs="Times New Roman"/>
          <w:b/>
          <w:bCs/>
          <w:color w:val="0A0A0A"/>
          <w:sz w:val="24"/>
          <w:szCs w:val="24"/>
        </w:rPr>
        <w:t>—</w:t>
      </w:r>
      <w:r>
        <w:rPr>
          <w:rFonts w:ascii="Arial" w:eastAsia="Times New Roman" w:hAnsi="Arial" w:cs="Times New Roman"/>
          <w:color w:val="0A0A0A"/>
          <w:sz w:val="24"/>
          <w:szCs w:val="24"/>
        </w:rPr>
        <w:t xml:space="preserve"> policiais, delegados e juízes </w:t>
      </w:r>
      <w:r>
        <w:rPr>
          <w:rFonts w:ascii="Arial" w:eastAsia="Times New Roman" w:hAnsi="Arial" w:cs="Times New Roman"/>
          <w:b/>
          <w:bCs/>
          <w:color w:val="0A0A0A"/>
          <w:sz w:val="24"/>
          <w:szCs w:val="24"/>
        </w:rPr>
        <w:t>—</w:t>
      </w:r>
      <w:r>
        <w:rPr>
          <w:rFonts w:ascii="Arial" w:eastAsia="Times New Roman" w:hAnsi="Arial" w:cs="Times New Roman"/>
          <w:color w:val="0A0A0A"/>
          <w:sz w:val="24"/>
          <w:szCs w:val="24"/>
        </w:rPr>
        <w:t xml:space="preserve"> um poder discricionário que aprofunda a seletividade penal. Na realidade fática, o enquadramento do tipo penal é menos pautado pela materialidade da droga e mais pelo território geográfico e pelos marcadores sociais do abordado.</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 xml:space="preserve"> Como destaca Boiteux (2010), o tráfico de drogas tornou-se o principal motor do encarceramento feminino e da juventude periférica, consolidando uma política de guerra às drogas que, na verdade, opera como uma guerra contra sujeitos selecionados por sua cor e classe social.</w:t>
      </w:r>
      <w:r>
        <w:rPr>
          <w:rFonts w:ascii="Arial" w:eastAsia="Times New Roman" w:hAnsi="Arial" w:cs="Times New Roman"/>
          <w:sz w:val="24"/>
          <w:szCs w:val="24"/>
        </w:rPr>
        <w:t xml:space="preserve"> Salla (2007) destaca que a política criminal brasileira prioriza a punição seletiva dos grupos socialmente vulneráveis, contribuindo para a superlotação e para a precarização das condições prisionais. Segundo Wacquant (2007): “</w:t>
      </w:r>
      <w:r>
        <w:rPr>
          <w:rFonts w:ascii="Arial" w:eastAsia="Times New Roman" w:hAnsi="Arial" w:cs="Times New Roman"/>
          <w:color w:val="0A0A0A"/>
          <w:sz w:val="24"/>
          <w:szCs w:val="24"/>
        </w:rPr>
        <w:t>A ascensão do Estado penal constitui uma resposta política à precarização do trabalho assalariado e à insegurança social que ela gera, visando não tanto a redução do crime, mas a gestão da miséria e a imposição da disciplina sobre as categorias sociais deserdadas." (Wacquant, 2007, p. 21).</w:t>
      </w:r>
    </w:p>
    <w:p w:rsidR="009D60B7" w:rsidRDefault="00425C09">
      <w:pPr>
        <w:widowControl/>
        <w:spacing w:line="360" w:lineRule="auto"/>
        <w:ind w:left="-283" w:right="100" w:firstLine="850"/>
        <w:jc w:val="both"/>
        <w:rPr>
          <w:rFonts w:ascii="Arial" w:eastAsia="Times New Roman" w:hAnsi="Arial" w:cs="Times New Roman"/>
          <w:sz w:val="24"/>
          <w:szCs w:val="24"/>
        </w:rPr>
      </w:pPr>
      <w:r>
        <w:rPr>
          <w:rFonts w:ascii="Arial" w:eastAsia="Times New Roman" w:hAnsi="Arial" w:cs="Times New Roman"/>
          <w:sz w:val="24"/>
          <w:szCs w:val="24"/>
        </w:rPr>
        <w:lastRenderedPageBreak/>
        <w:t>Assim, o encarceramento em massa aprofunda desigualdades preexistentes, transformando o espaço prisional em ambiente de violação sistemática de direitos e de reprodução da exclusão social. A prisão provisória assume papel central na sustentação do encarceramento em massa no Brasil. Dados do Conselho Nacional de Justiça e do Departamento Penitenciário Nacional (2023), corroborados pelas estatísticas da SENAPPEN referentes ao segundo semestre do mesmo ano, atestam a posição brasileira no topo do ranking global de aprisionamento cautelar, mantendo milhares de sujeitos sob custódia antes de qualquer trânsito em julgado.</w:t>
      </w:r>
    </w:p>
    <w:p w:rsidR="009D60B7" w:rsidRDefault="00425C09">
      <w:pPr>
        <w:widowControl/>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 Esse contingente corresponde a aproximadamente 21,4% a 25% da população carcerária — cerca de 183.806 indivíduos de um total aproximado de 855 mil —, o que denota a conversão da segregação provisória em uma técnica de neutralização antecipada de grupos indesejados. Nesse contexto, Zaffaroni (2007) explica que:</w:t>
      </w:r>
    </w:p>
    <w:p w:rsidR="009D60B7" w:rsidRDefault="009D60B7">
      <w:pPr>
        <w:spacing w:line="360" w:lineRule="auto"/>
        <w:ind w:left="-283" w:right="100"/>
        <w:jc w:val="both"/>
        <w:rPr>
          <w:rFonts w:ascii="Arial" w:eastAsia="Times New Roman" w:hAnsi="Arial" w:cs="Times New Roman"/>
          <w:color w:val="0A0A0A"/>
          <w:sz w:val="20"/>
          <w:szCs w:val="20"/>
        </w:rPr>
      </w:pPr>
    </w:p>
    <w:p w:rsidR="009D60B7" w:rsidRDefault="00425C09">
      <w:pPr>
        <w:ind w:left="2261" w:right="101"/>
        <w:jc w:val="both"/>
        <w:rPr>
          <w:rFonts w:ascii="Arial" w:hAnsi="Arial"/>
          <w:sz w:val="20"/>
          <w:szCs w:val="20"/>
        </w:rPr>
      </w:pPr>
      <w:r>
        <w:rPr>
          <w:rFonts w:ascii="Arial" w:eastAsia="Times New Roman" w:hAnsi="Arial" w:cs="Times New Roman"/>
          <w:color w:val="0A0A0A"/>
          <w:sz w:val="20"/>
          <w:szCs w:val="20"/>
        </w:rPr>
        <w:t>O direito penal do inimigo não é mais do que a manifestação de um poder punitivo que se exerce contra pessoas que o próprio sistema priva de sua condição de cidadãos, para tratá-las como puros objetos de coação, sob o pretexto de combater uma periculosidade presumida. (Zaffaroni, 2007, p. 25).</w:t>
      </w:r>
    </w:p>
    <w:p w:rsidR="009D60B7" w:rsidRDefault="009D60B7">
      <w:pPr>
        <w:spacing w:line="360" w:lineRule="auto"/>
        <w:ind w:left="-283" w:right="100"/>
        <w:jc w:val="both"/>
        <w:rPr>
          <w:rFonts w:ascii="Arial" w:eastAsia="Times New Roman" w:hAnsi="Arial" w:cs="Times New Roman"/>
          <w:sz w:val="20"/>
          <w:szCs w:val="20"/>
        </w:rPr>
      </w:pP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Além disso, pesquisas de Azevedo (2010) demonstram que a prisão provisória atinge prioritariamente pessoas negras, pobres e com baixa escolaridade, refletindo a seletividade estrutural do sistema.  </w:t>
      </w:r>
      <w:r>
        <w:rPr>
          <w:rFonts w:ascii="Arial" w:eastAsia="Times New Roman" w:hAnsi="Arial" w:cs="Times New Roman"/>
          <w:color w:val="0A0A0A"/>
          <w:sz w:val="24"/>
          <w:szCs w:val="24"/>
        </w:rPr>
        <w:t>Günther</w:t>
      </w:r>
      <w:r>
        <w:rPr>
          <w:rFonts w:ascii="Arial" w:eastAsia="Times New Roman" w:hAnsi="Arial" w:cs="Times New Roman"/>
          <w:sz w:val="24"/>
          <w:szCs w:val="24"/>
        </w:rPr>
        <w:t xml:space="preserve"> Jakobs, ao propor o modelo de “Direito Penal do Inimigo”, oferece base teórica para a crítica ao uso excessivo da prisão cautelar. Segundo ele: </w:t>
      </w:r>
      <w:r>
        <w:rPr>
          <w:rFonts w:ascii="Arial" w:eastAsia="Times New Roman" w:hAnsi="Arial" w:cs="Times New Roman"/>
          <w:color w:val="0A0A0A"/>
          <w:sz w:val="24"/>
          <w:szCs w:val="24"/>
        </w:rPr>
        <w:t>“O Direito Penal do inimigo caracteriza-se por uma ampla antecipação da punibilidade e por uma redução das garantias processuais, tratando o indivíduo não como pessoa, mas como uma fonte de perigo que deve ser isolada." (Jakobs; Meliá, 2007, p. 35).</w:t>
      </w:r>
    </w:p>
    <w:p w:rsidR="009D60B7" w:rsidRDefault="00425C09">
      <w:pPr>
        <w:spacing w:line="360" w:lineRule="auto"/>
        <w:ind w:left="-285" w:right="100" w:firstLine="851"/>
        <w:jc w:val="both"/>
        <w:rPr>
          <w:rFonts w:ascii="Arial" w:hAnsi="Arial"/>
          <w:sz w:val="24"/>
          <w:szCs w:val="24"/>
        </w:rPr>
      </w:pPr>
      <w:r>
        <w:rPr>
          <w:rFonts w:ascii="Arial" w:eastAsia="Times New Roman" w:hAnsi="Arial" w:cs="Times New Roman"/>
          <w:color w:val="0A0A0A"/>
          <w:sz w:val="24"/>
          <w:szCs w:val="24"/>
        </w:rPr>
        <w:t>A seletividade penal brasileira não é apenas classista, mas profundamente racializada, operando como um mecanismo de controle dos corpos negros. O racismo estrutural, conforme aponta a literatura criminológica contemporânea, funciona como um filtro que orienta a suspeição policial e a severidade das decisões judiciais. Dados do Infopen e do Fórum Brasileiro de Segurança Pública (2024) reiteram que a população carcerária é majoritariamente negra, evidenciando que a cor da pele atua como um estigma de periculosidade presumida. Essa "criminalização do rosto" reforça a lógica do Direito Penal do Inimigo antes mesmo de qualquer processo judicial, onde a abordagem policial seletiva em territórios periféricos constitui a porta de entrada para um sistema que opera pela exclusão definitiva do "outro" racializado.</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lastRenderedPageBreak/>
        <w:t xml:space="preserve">No contexto brasileiro, essa lógica contribui para ampliar o encarceramento de grupos já vulnerabilizados, reforçando desigualdades e legitimando práticas seletivas. Loïc Wacquant, especialmente </w:t>
      </w:r>
      <w:r>
        <w:rPr>
          <w:rFonts w:ascii="Arial" w:eastAsia="Times New Roman" w:hAnsi="Arial" w:cs="Times New Roman"/>
          <w:i/>
          <w:iCs/>
          <w:sz w:val="24"/>
          <w:szCs w:val="24"/>
        </w:rPr>
        <w:t>"As Prisões da Miséria"</w:t>
      </w:r>
      <w:r>
        <w:rPr>
          <w:rFonts w:ascii="Arial" w:eastAsia="Times New Roman" w:hAnsi="Arial" w:cs="Times New Roman"/>
          <w:sz w:val="24"/>
          <w:szCs w:val="24"/>
        </w:rPr>
        <w:t xml:space="preserve"> (2001), analisa a expansão do encarceramento como instrumento de gestão das populações pobres e racializadas. O autor destaca que: </w:t>
      </w:r>
      <w:r>
        <w:rPr>
          <w:rFonts w:ascii="Arial" w:eastAsia="Times New Roman" w:hAnsi="Arial" w:cs="Times New Roman"/>
          <w:color w:val="0A0A0A"/>
          <w:sz w:val="24"/>
          <w:szCs w:val="24"/>
        </w:rPr>
        <w:t>"A prisão não é um instrumento de luta contra o crime, mas sim um instrumento de gestão da miséria, que serve para estocar as populações consideradas supérfluas ou perigosas pelo novo mercado de trabalho precário." (Wacquant, 2001, p. 115).</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Essa perspectiva dialoga fortemente com a realidade brasileira, na qual a prisão cumpre papel disciplinador sobre grupos excluídos pelo mercado de trabalho, pela política e pelo Estado Social.</w:t>
      </w:r>
    </w:p>
    <w:p w:rsidR="009D60B7" w:rsidRDefault="00425C09">
      <w:pPr>
        <w:spacing w:line="360" w:lineRule="auto"/>
        <w:ind w:left="-283" w:right="100" w:firstLine="708"/>
        <w:jc w:val="both"/>
        <w:rPr>
          <w:rFonts w:ascii="Arial" w:hAnsi="Arial"/>
          <w:sz w:val="24"/>
          <w:szCs w:val="24"/>
        </w:rPr>
      </w:pPr>
      <w:r>
        <w:rPr>
          <w:rFonts w:ascii="Arial" w:eastAsia="Times New Roman" w:hAnsi="Arial" w:cs="Times New Roman"/>
          <w:sz w:val="24"/>
          <w:szCs w:val="24"/>
        </w:rPr>
        <w:t>Nesse sentido, a criminologia crítica latino-americana, representada por Baratta, Zaffaroni e Vera Malaguti Batista, complementa essa análise ao demonstrar que o sistema penal é funcional à manutenção da ordem capitalista, operando seletivamente para controlar populações consideradas “perigosas”. Como afirma Batista (2011): "</w:t>
      </w:r>
      <w:r>
        <w:rPr>
          <w:rFonts w:ascii="Arial" w:eastAsia="Times New Roman" w:hAnsi="Arial" w:cs="Times New Roman"/>
          <w:color w:val="0A0A0A"/>
          <w:sz w:val="24"/>
          <w:szCs w:val="24"/>
        </w:rPr>
        <w:t>O sistema penal brasileiro, longe de ser um instrumento de segurança pública, opera como um dispositivo de gestão da pobreza, voltado para a neutralização daqueles que a lógica de mercado exclui e marginaliza." (Batista, 2011, p. 84).</w:t>
      </w:r>
    </w:p>
    <w:p w:rsidR="009D60B7" w:rsidRDefault="00425C09">
      <w:pPr>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Do ponto de vista teórico, a seletividade penal e o encarceramento em massa são mecanismos estruturais que atuam de forma interdependente. A seletividade define quem será criminalizado; o encarceramento em massa consolida essa escolha. Nesse sentido, Foucault (1987) já observava que: </w:t>
      </w:r>
      <w:r>
        <w:rPr>
          <w:rFonts w:ascii="Arial" w:eastAsia="Times New Roman" w:hAnsi="Arial" w:cs="Times New Roman"/>
          <w:color w:val="0A0A0A"/>
          <w:sz w:val="24"/>
          <w:szCs w:val="24"/>
        </w:rPr>
        <w:t>"A prisão, em vez de devolver à liberdade indivíduos corrigidos, espalha na população delinquentes perigosos [...] a prisão fabrica delinquentes." (Foucault, 1987, p. 222).</w:t>
      </w:r>
    </w:p>
    <w:p w:rsidR="009D60B7" w:rsidRDefault="00425C09">
      <w:pPr>
        <w:widowControl/>
        <w:spacing w:line="360" w:lineRule="auto"/>
        <w:ind w:left="-283" w:right="100" w:firstLine="850"/>
        <w:jc w:val="both"/>
        <w:rPr>
          <w:rFonts w:ascii="Arial" w:eastAsia="Times New Roman" w:hAnsi="Arial" w:cs="Times New Roman"/>
          <w:sz w:val="20"/>
          <w:szCs w:val="20"/>
        </w:rPr>
      </w:pPr>
      <w:r>
        <w:rPr>
          <w:rFonts w:ascii="Arial" w:eastAsia="Times New Roman" w:hAnsi="Arial" w:cs="Times New Roman"/>
          <w:sz w:val="24"/>
          <w:szCs w:val="24"/>
        </w:rPr>
        <w:t xml:space="preserve">Essa compreensão demonstra que o sistema penal não apenas pune, mas produz os próprios sujeitos sobre os quais passa a exercer controle. Diante do exposto, verifica-se que a seletividade penal e o encarceramento em massa não constituem fenômenos isolados, mas elementos estruturais do sistema de justiça criminal brasileiro, atuando diretamente na definição dos sujeitos submetidos ao controle punitivo. Tais mecanismos, ao incidirem de forma desigual sobre populações vulnerabilizadas, não apenas refletem as desigualdades sociais existentes, mas também contribuem para sua reprodução e aprofundamento. Nesse cenário, o sistema prisional deixa de exercer função meramente punitiva e passa a operar como espaço de reorganização e fortalecimento de organizações </w:t>
      </w:r>
      <w:r>
        <w:rPr>
          <w:rFonts w:ascii="Arial" w:eastAsia="Times New Roman" w:hAnsi="Arial" w:cs="Times New Roman"/>
          <w:sz w:val="24"/>
          <w:szCs w:val="24"/>
        </w:rPr>
        <w:lastRenderedPageBreak/>
        <w:t>criminosas. Assim, torna-se fundamental compreender a relação entre essas dinâmicas e o tráfico de drogas.</w:t>
      </w:r>
    </w:p>
    <w:p w:rsidR="009D60B7" w:rsidRDefault="009D60B7">
      <w:pPr>
        <w:spacing w:line="360" w:lineRule="auto"/>
        <w:ind w:right="100"/>
        <w:jc w:val="both"/>
        <w:rPr>
          <w:rFonts w:ascii="Arial" w:eastAsia="Times New Roman" w:hAnsi="Arial" w:cs="Times New Roman"/>
          <w:sz w:val="20"/>
          <w:szCs w:val="20"/>
        </w:rPr>
      </w:pPr>
    </w:p>
    <w:p w:rsidR="009D60B7" w:rsidRPr="00D36C44" w:rsidRDefault="00425C09">
      <w:pPr>
        <w:spacing w:line="360" w:lineRule="auto"/>
        <w:ind w:left="-288" w:right="101"/>
        <w:jc w:val="both"/>
        <w:rPr>
          <w:rFonts w:ascii="Arial" w:eastAsia="Times New Roman" w:hAnsi="Arial" w:cs="Times New Roman"/>
          <w:bCs/>
          <w:sz w:val="24"/>
          <w:szCs w:val="24"/>
        </w:rPr>
      </w:pPr>
      <w:r w:rsidRPr="00D36C44">
        <w:rPr>
          <w:rFonts w:ascii="Arial" w:eastAsia="Times New Roman" w:hAnsi="Arial" w:cs="Times New Roman"/>
          <w:bCs/>
          <w:sz w:val="24"/>
          <w:szCs w:val="24"/>
          <w:lang w:val="pt-BR"/>
        </w:rPr>
        <w:t xml:space="preserve">2 </w:t>
      </w:r>
      <w:r w:rsidRPr="00D36C44">
        <w:rPr>
          <w:rFonts w:ascii="Arial" w:eastAsia="Times New Roman" w:hAnsi="Arial" w:cs="Times New Roman"/>
          <w:bCs/>
          <w:sz w:val="24"/>
          <w:szCs w:val="24"/>
        </w:rPr>
        <w:t>A FORMAÇÃO E CONSOLIDAÇÃO DAS ORGANIZAÇÕES CRIMINOSAS NO BRASIL: COMANDO VERMELHO E PCC</w:t>
      </w:r>
    </w:p>
    <w:p w:rsidR="009D60B7" w:rsidRDefault="00425C09">
      <w:pPr>
        <w:spacing w:line="360" w:lineRule="auto"/>
        <w:ind w:left="-288" w:right="101" w:firstLine="850"/>
        <w:jc w:val="both"/>
        <w:rPr>
          <w:rFonts w:ascii="Arial" w:hAnsi="Arial"/>
          <w:sz w:val="24"/>
          <w:szCs w:val="24"/>
        </w:rPr>
      </w:pPr>
      <w:bookmarkStart w:id="40" w:name="_heading=h.qew01uebwqb7"/>
      <w:bookmarkEnd w:id="40"/>
      <w:r>
        <w:rPr>
          <w:rFonts w:ascii="Arial" w:eastAsia="Times New Roman" w:hAnsi="Arial" w:cs="Times New Roman"/>
          <w:sz w:val="24"/>
          <w:szCs w:val="24"/>
        </w:rPr>
        <w:t>A eclosão do Comando Vermelho (CV) é um subproduto direto das tensões carcerárias vividas sob o regime autoritário brasileiro. O Instituto Penal Cândido Mendes, na Ilha Grande, serviu como laboratório para uma simbiose inédita: a convivência compulsória entre presos comuns e militantes políticos. Estes últimos possuíam maior grau de organização e consciência coletiva, o que influenciou significativamente a dinâmica entre os detentos (Misse, 2011, Salla, 2007).</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 xml:space="preserve">A partir dessa interação, desenvolveu-se uma lógica de solidariedade e organização interna entre os presos comuns, baseada na união frente às condições precárias do sistema carcerário. Inicialmente, o grupo tinha como objetivo resistir às violências institucionais e melhorar as condições de sobrevivência no ambiente prisional.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Com o passar do tempo, essa organização ultrapassou os limites do cárcere, adquirindo maior estrutura e direcionando suas atividades também para práticas ilícitas, especialmente relacionadas ao tráfico ilícito de entorpecentes.</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 xml:space="preserve">A expansão do Comando Vermelho intensificou-se a partir da década de 1980, acompanhando o crescimento do tráfico de drogas no Rio de Janeiro. A organização passou a exercer domínio territorial em diversas comunidades, consolidando sua presença em áreas periféricas e estabelecendo formas próprias de controle social.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Esse controle não se limitava às atividades ilícitas, abrangendo também a imposição de normas internas e a mediação de conflitos nas localidades sob a influência. Nessa linha de raciocínio, a facção passou a ocupar espaços caracterizados pela ausência ou insuficiência da atuação estatal, configurando uma estrutura paralela de poder.</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Além disso, o sistema prisional manteve-se como elemento central para a articulação e expansão da organização, funcionando como espaço de recrutamento, fortalecimento de vínculos e planejamento de ações. Conforme destaca Misse (2011), a consolidação de organizações criminosas no Rio de Janeiro está diretamente relacionada à ausência estatal e à construção de mercados ilícitos regulados por essas facções.</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 xml:space="preserve">Seguindo uma trajetória análoga, o Primeiro Comando da Capital (PCC) emerge em 1993, dentro da Casa de Custódia de Taubaté. Sua fundação materializa um grito de resistência à letalidade estatal, tendo como catalisador traumático o Massacre de Carandiru (1992), evento que desnudou a falência das garantias fundamentais no cárcere </w:t>
      </w:r>
      <w:r>
        <w:rPr>
          <w:rFonts w:ascii="Arial" w:eastAsia="Times New Roman" w:hAnsi="Arial" w:cs="Times New Roman"/>
          <w:sz w:val="24"/>
          <w:szCs w:val="24"/>
        </w:rPr>
        <w:lastRenderedPageBreak/>
        <w:t xml:space="preserve">paulista.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 xml:space="preserve">O PCC foi inicialmente estruturado com o objetivo de promover a proteção dos presos contra abusos institucionais, adotando como princípio a união e a solidariedade entre seus membros. No entanto, assim como ocorreu com o Comando Vermelho, a organização rapidamente expandiu suas atividades para além do sistema prisional, consolidando-se como uma das maiores facções criminosas do país.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 xml:space="preserve">Nesse sentido, tanto o Comando Vermelho quanto o Primeiro Comando da Capital evidenciam como as organizações criminosas no Brasil estão profundamente enraizadas nas falhas estruturais do sistema prisional. Longe de serem fenômenos externos ao Estado, tais facções se desenvolvem a partir de suas próprias omissões e contradições.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color w:val="0A0A0A"/>
          <w:sz w:val="24"/>
          <w:szCs w:val="24"/>
        </w:rPr>
        <w:t>Sob essa ótica, Feltran (2018) aponta que o PCC desenvolveu uma estrutura organizacional baseada em normas internas e racionalidade própria, o que contribuiu para sua expansão para além do sistema prisional. A organização transcende a lógica de uma simples gangue prisional para se tornar um regulador de condutas. Através de seus 'estatutos' e 'debates', estabeleceu um sistema de justiça próprio, capaz de mediar conflitos e aplicar sanções onde o Estado se faz ausente. Essa racionalidade, denominada pelo autor como o 'mundo do crime', não se baseia apenas na violência bruta, mas em uma ética de lealdade e solidariedade interna que oferece ao detento a proteção e a ordem que o sistema oficial lhe subtraiu.</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color w:val="0A0A0A"/>
          <w:sz w:val="24"/>
          <w:szCs w:val="24"/>
        </w:rPr>
        <w:t xml:space="preserve">A análise de Reis (2019) aprofunda a compreensão sobre o domínio das facções ao introduzir o conceito de uma soberania estatal precária e negociada. Segundo o autor, o Estado brasileiro, diante da sua incapacidade de gerir a disciplina interna e garantir a segurança nas unidades superlotadas, acaba por estabelecer uma espécie de "soberania por consenso" com as organizações criminosas.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color w:val="0A0A0A"/>
          <w:sz w:val="24"/>
          <w:szCs w:val="24"/>
        </w:rPr>
        <w:t>Nesse cenário, o Estado delega tacitamente a manutenção da ordem cotidiana aos coletivos de presos, permitindo que as facções ditam as normas de convivência em troca de uma redução aparente de rebeliões e conflitos internos. Essa terceirização da disciplina transforma a facção em um braço gestor do cárcere, provendo a "paz e a justiça" que a Lei de Execução Penal (1984) falha em entregar, consolidando o grupo não apenas como uma ameaça, mas como um regulador necessário à própria sobrevivência do sistema oficial.</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 xml:space="preserve">A simbiose entre o ambiente prisional e a robustez dessas redes criminais atesta que o hiperencarceramento, longe de mitigar a violência, atua como seu principal reator químico. O ambiente prisional, marcado pela violência, pela exclusão e a ausência de </w:t>
      </w:r>
      <w:r>
        <w:rPr>
          <w:rFonts w:ascii="Arial" w:eastAsia="Times New Roman" w:hAnsi="Arial" w:cs="Times New Roman"/>
          <w:sz w:val="24"/>
          <w:szCs w:val="24"/>
        </w:rPr>
        <w:lastRenderedPageBreak/>
        <w:t xml:space="preserve">direitos, torna-se terreno fértil para a consolidação de redes criminosas cada vez mais estruturadas. </w:t>
      </w:r>
    </w:p>
    <w:p w:rsidR="009D60B7" w:rsidRDefault="00425C09">
      <w:pPr>
        <w:spacing w:line="360" w:lineRule="auto"/>
        <w:ind w:left="-288" w:right="101" w:firstLine="850"/>
        <w:jc w:val="both"/>
        <w:rPr>
          <w:rFonts w:ascii="Arial" w:hAnsi="Arial"/>
          <w:sz w:val="24"/>
          <w:szCs w:val="24"/>
        </w:rPr>
      </w:pPr>
      <w:r>
        <w:rPr>
          <w:rFonts w:ascii="Arial" w:eastAsia="Times New Roman" w:hAnsi="Arial" w:cs="Times New Roman"/>
          <w:sz w:val="24"/>
          <w:szCs w:val="24"/>
        </w:rPr>
        <w:t>A forma como o Estado responde à atuação dessas organizações, frequentemente por meio do endurecimento penal e da ampliação de medidas excepcionais, reforça a distinção entre cidadãos e inimigos, evidenciando a transição de um direito penal garantista para um modelo voltado à neutralização de sujeitos considerados perigosos, fundamento central do Direito Penal do Inimigo, que será analisado a seguir.</w:t>
      </w:r>
    </w:p>
    <w:p w:rsidR="009D60B7" w:rsidRDefault="009D60B7">
      <w:pPr>
        <w:spacing w:line="360" w:lineRule="auto"/>
        <w:ind w:left="-283" w:right="100"/>
        <w:jc w:val="both"/>
        <w:rPr>
          <w:rFonts w:ascii="Arial" w:eastAsia="Times New Roman" w:hAnsi="Arial" w:cs="Times New Roman"/>
          <w:sz w:val="20"/>
          <w:szCs w:val="20"/>
        </w:rPr>
      </w:pPr>
    </w:p>
    <w:p w:rsidR="009D60B7" w:rsidRPr="00D36C44" w:rsidRDefault="00425C09">
      <w:pPr>
        <w:shd w:val="clear" w:color="auto" w:fill="FFFFFF"/>
        <w:spacing w:line="360" w:lineRule="auto"/>
        <w:ind w:left="-283" w:right="100"/>
        <w:jc w:val="both"/>
        <w:rPr>
          <w:rFonts w:ascii="Arial" w:hAnsi="Arial"/>
          <w:sz w:val="24"/>
          <w:szCs w:val="24"/>
        </w:rPr>
      </w:pPr>
      <w:r w:rsidRPr="00D36C44">
        <w:rPr>
          <w:rFonts w:ascii="Arial" w:eastAsia="Times New Roman" w:hAnsi="Arial" w:cs="Times New Roman"/>
          <w:bCs/>
          <w:color w:val="0A0A0A"/>
          <w:sz w:val="24"/>
          <w:szCs w:val="24"/>
        </w:rPr>
        <w:t>3. O DIREITO PENAL DO INIMIGO E A DESCONSTRUÇÃO DA CIDADANIA NO CÁRCERE</w:t>
      </w:r>
    </w:p>
    <w:p w:rsidR="009D60B7" w:rsidRDefault="00425C09">
      <w:pPr>
        <w:widowControl/>
        <w:spacing w:line="360" w:lineRule="auto"/>
        <w:ind w:left="-283" w:right="100" w:firstLine="850"/>
        <w:jc w:val="both"/>
        <w:rPr>
          <w:rFonts w:ascii="Arial" w:hAnsi="Arial"/>
          <w:sz w:val="24"/>
          <w:szCs w:val="24"/>
        </w:rPr>
      </w:pPr>
      <w:bookmarkStart w:id="41" w:name="_heading=h.jhalizre5ec7"/>
      <w:bookmarkEnd w:id="41"/>
      <w:r>
        <w:rPr>
          <w:rFonts w:ascii="Arial" w:eastAsia="Times New Roman" w:hAnsi="Arial" w:cs="Times New Roman"/>
          <w:sz w:val="24"/>
          <w:szCs w:val="24"/>
        </w:rPr>
        <w:t>A transição de um modelo garantista para uma política de neutralização de sujeitos considerados perigosos encontra sua expressão máxima na aplicação prática do Direito Penal do Inimigo no sistema prisional brasileiro. Embora a Constituição Federal de 1988 estabeleça a dignidade da pessoa humana como fundamento da República, a realidade do cárcere revela a coexistência de dois pesos e duas medidas: o Direito Penal do Cidadão, reservado àqueles integrados ao sistema social, e o Direito Penal do Inimigo, aplicado àqueles que o Estado rotula como ameaças existenciais à ordem pública.</w:t>
      </w:r>
    </w:p>
    <w:p w:rsidR="009D60B7" w:rsidRDefault="00425C09">
      <w:pPr>
        <w:widowControl/>
        <w:spacing w:line="360" w:lineRule="auto"/>
        <w:ind w:left="-283" w:right="100" w:firstLine="850"/>
        <w:jc w:val="both"/>
        <w:rPr>
          <w:rFonts w:ascii="Arial" w:hAnsi="Arial"/>
          <w:sz w:val="20"/>
          <w:szCs w:val="20"/>
        </w:rPr>
      </w:pPr>
      <w:bookmarkStart w:id="42" w:name="_heading=h.2iqkt05assad"/>
      <w:bookmarkEnd w:id="42"/>
      <w:r>
        <w:rPr>
          <w:rFonts w:ascii="Arial" w:eastAsia="Times New Roman" w:hAnsi="Arial" w:cs="Times New Roman"/>
          <w:sz w:val="24"/>
          <w:szCs w:val="24"/>
        </w:rPr>
        <w:t>Nesse contexto, o indivíduo custodiado pelo Estado sofre um processo de despersonalização. Ao ser identificado como membro de facções ou como parte da massa criminalizada pelo tráfico de drogas, o preso deixa de ser tratado como sujeito de direitos para ser gerido como um "corpo perigoso". Sobre essa negação de direitos, Zaffaroni (2007) explica que</w:t>
      </w:r>
      <w:r>
        <w:rPr>
          <w:rFonts w:ascii="Arial" w:eastAsia="Times New Roman" w:hAnsi="Arial" w:cs="Times New Roman"/>
          <w:sz w:val="20"/>
          <w:szCs w:val="20"/>
        </w:rPr>
        <w:t>:</w:t>
      </w:r>
    </w:p>
    <w:p w:rsidR="009D60B7" w:rsidRDefault="009D60B7">
      <w:pPr>
        <w:shd w:val="clear" w:color="auto" w:fill="FFFFFF"/>
        <w:spacing w:line="360" w:lineRule="auto"/>
        <w:ind w:left="-283" w:right="100" w:firstLine="850"/>
        <w:jc w:val="both"/>
        <w:rPr>
          <w:rFonts w:ascii="Arial" w:eastAsia="Times New Roman" w:hAnsi="Arial" w:cs="Times New Roman"/>
          <w:color w:val="0A0A0A"/>
          <w:sz w:val="20"/>
          <w:szCs w:val="20"/>
        </w:rPr>
      </w:pPr>
    </w:p>
    <w:p w:rsidR="009D60B7" w:rsidRDefault="00425C09">
      <w:pPr>
        <w:shd w:val="clear" w:color="auto" w:fill="FFFFFF"/>
        <w:ind w:left="2267" w:right="600"/>
        <w:jc w:val="both"/>
        <w:rPr>
          <w:rFonts w:ascii="Arial" w:hAnsi="Arial"/>
          <w:sz w:val="20"/>
          <w:szCs w:val="20"/>
        </w:rPr>
      </w:pPr>
      <w:r>
        <w:rPr>
          <w:rFonts w:ascii="Arial" w:eastAsia="Times New Roman" w:hAnsi="Arial" w:cs="Times New Roman"/>
          <w:color w:val="0A0A0A"/>
          <w:sz w:val="20"/>
          <w:szCs w:val="20"/>
        </w:rPr>
        <w:t>O direito penal do inimigo não é mais do que a manifestação de um poder punitivo que se exerce contra pessoas que o próprio sistema priva de sua condição de cidadãos, para tratá-las como puros objetos de coação, sob o pretexto de combater uma periculosidade presumida. (Zaffaroni</w:t>
      </w:r>
      <w:r>
        <w:rPr>
          <w:rFonts w:ascii="Arial" w:eastAsia="Times New Roman" w:hAnsi="Arial" w:cs="Times New Roman"/>
          <w:b/>
          <w:bCs/>
          <w:color w:val="0A0A0A"/>
          <w:sz w:val="20"/>
          <w:szCs w:val="20"/>
        </w:rPr>
        <w:t>,</w:t>
      </w:r>
      <w:r>
        <w:rPr>
          <w:rFonts w:ascii="Arial" w:eastAsia="Times New Roman" w:hAnsi="Arial" w:cs="Times New Roman"/>
          <w:color w:val="0A0A0A"/>
          <w:sz w:val="20"/>
          <w:szCs w:val="20"/>
        </w:rPr>
        <w:t xml:space="preserve"> 2007, p. 26).</w:t>
      </w:r>
    </w:p>
    <w:p w:rsidR="009D60B7" w:rsidRDefault="009D60B7">
      <w:pPr>
        <w:shd w:val="clear" w:color="auto" w:fill="FFFFFF"/>
        <w:ind w:left="2267" w:right="600"/>
        <w:jc w:val="both"/>
        <w:rPr>
          <w:rFonts w:ascii="Arial" w:eastAsia="Times New Roman" w:hAnsi="Arial" w:cs="Times New Roman"/>
          <w:color w:val="0A0A0A"/>
          <w:sz w:val="20"/>
          <w:szCs w:val="20"/>
        </w:rPr>
      </w:pPr>
    </w:p>
    <w:p w:rsidR="009D60B7" w:rsidRDefault="009D60B7">
      <w:pPr>
        <w:shd w:val="clear" w:color="auto" w:fill="FFFFFF"/>
        <w:spacing w:line="360" w:lineRule="auto"/>
        <w:ind w:left="2267" w:right="600"/>
        <w:jc w:val="both"/>
        <w:rPr>
          <w:rFonts w:ascii="Arial" w:eastAsia="Times New Roman" w:hAnsi="Arial" w:cs="Times New Roman"/>
          <w:color w:val="0A0A0A"/>
          <w:sz w:val="20"/>
          <w:szCs w:val="20"/>
        </w:rPr>
      </w:pPr>
    </w:p>
    <w:p w:rsidR="009D60B7" w:rsidRDefault="00425C09">
      <w:pPr>
        <w:shd w:val="clear" w:color="auto" w:fill="FFFFFF"/>
        <w:spacing w:line="360" w:lineRule="auto"/>
        <w:ind w:left="-283" w:right="100" w:firstLine="849"/>
        <w:jc w:val="both"/>
        <w:rPr>
          <w:rFonts w:ascii="Arial" w:hAnsi="Arial"/>
          <w:sz w:val="24"/>
          <w:szCs w:val="24"/>
        </w:rPr>
      </w:pPr>
      <w:r>
        <w:rPr>
          <w:rFonts w:ascii="Arial" w:eastAsia="Times New Roman" w:hAnsi="Arial" w:cs="Times New Roman"/>
          <w:color w:val="0A0A0A"/>
          <w:sz w:val="24"/>
          <w:szCs w:val="24"/>
        </w:rPr>
        <w:t xml:space="preserve">Essa desumanização institucionalizada, longe de ser um fenômeno invisível ou meramente administrativo, encontra eco e reconhecimento na jurisprudência do Supremo Tribunal Federal, embora a eficácia prática dessas decisões ainda enfrente o pragmatismo punitivista das instâncias inferiores. No emblemático julgamento do Recurso Extraordinário (RE) 580.252, a Corte consolidou a tese da responsabilidade civil objetiva do Estado por danos morais decorrentes de prisões em condições degradantes. Ao fixar o dever de indenizar o detento submetido a ambientes insalubres e superlotados, o STF não apenas estabeleceu um remédio pecuniário, mas chancelou judicialmente a existência de um </w:t>
      </w:r>
      <w:r>
        <w:rPr>
          <w:rFonts w:ascii="Arial" w:eastAsia="Times New Roman" w:hAnsi="Arial" w:cs="Times New Roman"/>
          <w:color w:val="0A0A0A"/>
          <w:sz w:val="24"/>
          <w:szCs w:val="24"/>
        </w:rPr>
        <w:lastRenderedPageBreak/>
        <w:t xml:space="preserve">colapso civilizatório no sistema. Todavia, emerge desse cenário um paradoxo econômico e jurídico flagrante: o Estado brasileiro despende recursos vultosos na manutenção de uma máquina de encarceramento em massa e, simultaneamente, é condenado a pagar indenizações pelo modo como essa mesma máquina opera. Essa retroalimentação financeira revela que a gestão da 'vida nua' no cárcere não é apenas uma falha orçamentária pontual, mas um projeto político de exclusão que ignora deliberadamente o caráter de </w:t>
      </w:r>
      <w:r>
        <w:rPr>
          <w:rFonts w:ascii="Arial" w:eastAsia="Times New Roman" w:hAnsi="Arial" w:cs="Times New Roman"/>
          <w:i/>
          <w:iCs/>
          <w:color w:val="0A0A0A"/>
          <w:sz w:val="24"/>
          <w:szCs w:val="24"/>
        </w:rPr>
        <w:t>ultima ratio</w:t>
      </w:r>
      <w:r>
        <w:rPr>
          <w:rFonts w:ascii="Arial" w:eastAsia="Times New Roman" w:hAnsi="Arial" w:cs="Times New Roman"/>
          <w:color w:val="0A0A0A"/>
          <w:sz w:val="24"/>
          <w:szCs w:val="24"/>
        </w:rPr>
        <w:t xml:space="preserve"> do Direito Penal.</w:t>
      </w:r>
    </w:p>
    <w:p w:rsidR="009D60B7" w:rsidRDefault="00425C09">
      <w:pPr>
        <w:shd w:val="clear" w:color="auto" w:fill="FFFFFF"/>
        <w:spacing w:line="360" w:lineRule="auto"/>
        <w:ind w:left="-283" w:right="100" w:firstLine="849"/>
        <w:jc w:val="both"/>
        <w:rPr>
          <w:rFonts w:ascii="Arial" w:hAnsi="Arial"/>
          <w:sz w:val="24"/>
          <w:szCs w:val="24"/>
        </w:rPr>
      </w:pPr>
      <w:r>
        <w:rPr>
          <w:rFonts w:ascii="Arial" w:eastAsia="Times New Roman" w:hAnsi="Arial" w:cs="Times New Roman"/>
          <w:color w:val="0A0A0A"/>
          <w:sz w:val="24"/>
          <w:szCs w:val="24"/>
        </w:rPr>
        <w:t>Somada a essa responsabilidade indenizatória, o reconhecimento do 'Estado de Coisas Inconstitucional' do sistema penitenciário nacional (ADPF 347) representou um marco na dogmática jurídica ao admitir que as prisões brasileiras são cenários de violação massiva, persistente e estrutural de direitos fundamentais. A decisão do STF retirou o véu de invisibilidade que encobre o cárcere, admitindo que o cumprimento da pena no Brasil transbordou os limites legais da privação de liberdade para atingir a própria integridade física e psíquica do apenado, convertendo a sentença em uma punição corporal velada. Entretanto, sob a ótica da Criminologia Crítica, esse reconhecimento judicial ainda esbarra na sólida cultura do 'Direito Penal do Inimigo' que permeia o sistema de justiça criminal. Enquanto a Suprema Corte declara a inconstitucionalidade do sistema, a prática forense cotidiana continua a operar mediante a presunção de periculosidade e a banalização da prisão provisória como regra de controle social. Portanto, a coexistência entre o discurso garantista da cúpula do Judiciário e a realidade de exceção das galerias prisionais demonstra que a cidadania do detento é uma promessa suspensa, onde o indivíduo é despojado de sua subjetividade jurídica para tornar-se um mero objeto de neutralização estatal, destituído de voz e dignidade perante o poder punitivo.</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A materialização do Direito Penal do Inimigo encontra sua face mais cruel nas condições de insalubridade e isolamento relatadas em inspeções no sistema prisional, como as descritas por Reis (2019) acerca das unidades de Goiás. O Reis</w:t>
      </w:r>
      <w:r>
        <w:rPr>
          <w:rFonts w:ascii="Arial" w:eastAsia="Times New Roman" w:hAnsi="Arial" w:cs="Times New Roman"/>
          <w:b/>
          <w:bCs/>
          <w:color w:val="0A0A0A"/>
          <w:sz w:val="24"/>
          <w:szCs w:val="24"/>
        </w:rPr>
        <w:t xml:space="preserve"> </w:t>
      </w:r>
      <w:r>
        <w:rPr>
          <w:rFonts w:ascii="Arial" w:eastAsia="Times New Roman" w:hAnsi="Arial" w:cs="Times New Roman"/>
          <w:color w:val="0A0A0A"/>
          <w:sz w:val="24"/>
          <w:szCs w:val="24"/>
        </w:rPr>
        <w:t>(2019)</w:t>
      </w:r>
      <w:r>
        <w:rPr>
          <w:rFonts w:ascii="Arial" w:eastAsia="Times New Roman" w:hAnsi="Arial" w:cs="Times New Roman"/>
          <w:b/>
          <w:bCs/>
          <w:color w:val="0A0A0A"/>
          <w:sz w:val="24"/>
          <w:szCs w:val="24"/>
        </w:rPr>
        <w:t xml:space="preserve"> </w:t>
      </w:r>
      <w:r>
        <w:rPr>
          <w:rFonts w:ascii="Arial" w:eastAsia="Times New Roman" w:hAnsi="Arial" w:cs="Times New Roman"/>
          <w:color w:val="0A0A0A"/>
          <w:sz w:val="24"/>
          <w:szCs w:val="24"/>
        </w:rPr>
        <w:t>destaca a existência de espaços como o "corró" e celas de triagem onde o detento é submetido àquilo que Giorgio Agamben denomina "vida nua": uma existência desprovida de qualquer proteção jurídica. Nesses locais, marcados pela ausência de ventilação, privação de luz solar e falta de água potável — muitas vezes relacionada a poucos minutos por dia —, o preso é reduzido a um corpo biológico a ser estocado. A negação do básico, como alimentação adequada e higiene, funciona como uma técnica de tortura institucionalizada que reforça a desumanização do custodiado, tratando-o como um ente biológico perigoso que não faz jus à dignidade humana básica.</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lastRenderedPageBreak/>
        <w:t>Sob a égide do Direito Penal do Inimigo, o discurso da ressocialização — previsto na Lei de Execução Penal (LEP, 1984) — torna-se meramente retórico. Se o sistema opera para neutralizar um "perigo" e não para reintegrar um cidadão, a prisão deixa de ser um meio e passa a ser um fim em si mesma. A ausência de políticas efetivas de educação e trabalho no cárcere, somada ao estigma do egresso, garante que o indivíduo permaneça vinculado à criminalidade. Como aponta a Criminologia Crítica, o sistema não falha ao não ressocializar; ele triunfa ao excluir permanentemente os indesejáveis do corpo social, consolidando a prisão como um depósito de seres humanos desprovidos de expectativas de cidadania.</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A adoção de regimes de exceção, como o Regime Disciplinar Diferenciado (RDD), exemplifica a aplicação dogmática das idéias de Günther Jakobs. Para o autor, o Direito Penal do Inimigo possui características bem definidas: “O Direito Penal do inimigo caracteriza-se por uma ampla antecipação da punibilidade e por uma redução das garantias processuais, tratando o indivíduo não como pessoa, mas como uma fonte de perigo que deve ser isolada”. (Jakobs; Meliá, 2007, p. 35).</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sz w:val="24"/>
          <w:szCs w:val="24"/>
        </w:rPr>
        <w:t>No entanto, sob a ótica da Criminologia Crítica, essa exclusão da cidadania produz o efeito inverso ao pretendido: ao retirar do preso suas garantias fundamentais e sua face humana, o Estado o empurra definitivamente para a rede de proteção das organizações criminosas. Onde a cidadania é negada pelo Estado, a solidariedade das facções discutida no capítulo anterior ocupa o vácuo, consolidando o ciclo de violência e encarceramento que marca a tragédia do sistema punitivo brasileiro. (Wacquant, 2001, Zaffaroni, 2007).</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 xml:space="preserve">Além da violência direta, o Estado impõe ao preso uma vulnerabilidade extrema ao falhar no fornecimento de itens básicos de subsistência. Conforme aponta Reis (2019), a precariedade da alimentação e a insuficiência de materiais de higiene pessoal forçam o detento a depender exclusivamente do auxílio externo (a "cobal") ou da rede de assistência provida pelas facções. </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 xml:space="preserve">Quando o Estado retira o sustento e a dignidade, ele empurra o indivíduo para os braços das organizações criminosas, que passam a ser vistas como as únicas provedoras de amparo. Portanto, a gestão da miséria no cárcere atua como o principal combustível para a lealdade dos membros às facções, demonstrando que o endurecimento punitivo, sem a garantia de direitos mínimos, apenas cristaliza o poder paralelo dentro e fora das grades. </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sz w:val="24"/>
          <w:szCs w:val="24"/>
        </w:rPr>
        <w:t xml:space="preserve">No cenário da prisão provisória, as audiências de custódia surgiram como uma tentativa de frear o encarceramento desnecessário, garantindo o contato imediato do preso </w:t>
      </w:r>
      <w:r>
        <w:rPr>
          <w:rFonts w:ascii="Arial" w:eastAsia="Times New Roman" w:hAnsi="Arial" w:cs="Times New Roman"/>
          <w:sz w:val="24"/>
          <w:szCs w:val="24"/>
        </w:rPr>
        <w:lastRenderedPageBreak/>
        <w:t>com o magistrado. Contudo, a prática forense revela que esse rito muitas vezes torna-se meramente formalista, onde a palavra do agente policial goza de uma "presunção de verdade" quase absoluta em detrimento das garantias do réu. (Lopes Jr., 2020; Prado, 2019).</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 xml:space="preserve"> A manutenção da prisão preventiva baseada em conceitos abstratos, como a "garantia da ordem pública", acaba servindo como uma antecipação de pena para indivíduos que ainda não foram julgados. Essa prática reforça a transição para um modelo penal de exceção, onde a periculosidade presumida do sujeito — ditada por seu perfil social e geográfico, e não pelo fato concreto — prevalece sobre o princípio da presunção de inocência, pilar fundamental do Estado Democrático de Direito.</w:t>
      </w:r>
    </w:p>
    <w:p w:rsidR="009D60B7" w:rsidRDefault="00425C09">
      <w:pPr>
        <w:shd w:val="clear" w:color="auto" w:fill="FFFFFF"/>
        <w:spacing w:line="360" w:lineRule="auto"/>
        <w:ind w:left="-283" w:right="100"/>
        <w:jc w:val="both"/>
        <w:rPr>
          <w:rFonts w:ascii="Arial" w:hAnsi="Arial"/>
          <w:sz w:val="24"/>
          <w:szCs w:val="24"/>
        </w:rPr>
      </w:pPr>
      <w:r>
        <w:rPr>
          <w:rFonts w:ascii="Arial" w:eastAsia="Times New Roman" w:hAnsi="Arial" w:cs="Times New Roman"/>
          <w:sz w:val="24"/>
          <w:szCs w:val="24"/>
        </w:rPr>
        <w:t xml:space="preserve">            Além disso, a adoção de medidas alternativas à prisão mostra-se essencial para a redução dos danos causados pelo encarceramento em massa. Nesse sentido, políticas de desencarceramento, aliadas ao fortalecimento de direitos sociais básicos, podem contribuir para a diminuição da reincidência criminal. Segundo o Fórum Brasileiro de Segurança Pública (2023), experiências que priorizam penas alternativas apresentam resultados mais eficazes na promoção da segurança pública.</w:t>
      </w:r>
    </w:p>
    <w:p w:rsidR="009D60B7" w:rsidRDefault="00425C09">
      <w:pPr>
        <w:shd w:val="clear" w:color="auto" w:fill="FFFFFF"/>
        <w:spacing w:line="360" w:lineRule="auto"/>
        <w:ind w:left="-283" w:right="100"/>
        <w:jc w:val="both"/>
        <w:rPr>
          <w:rFonts w:ascii="Arial" w:hAnsi="Arial"/>
          <w:sz w:val="24"/>
          <w:szCs w:val="24"/>
        </w:rPr>
      </w:pPr>
      <w:r>
        <w:rPr>
          <w:rFonts w:ascii="Arial" w:eastAsia="Times New Roman" w:hAnsi="Arial" w:cs="Times New Roman"/>
          <w:sz w:val="24"/>
          <w:szCs w:val="24"/>
        </w:rPr>
        <w:t xml:space="preserve">            A persistência desse modelo punitivo evidencia a necessidade de repensar a política criminal brasileira sob uma perspectiva garantista e orientada pelos direitos humanos. A expansão do encarceramento, especialmente no contexto da política de drogas, demonstra que o sistema penal tem sido utilizado como instrumento simbólico de resposta à insegurança social, sem enfrentar suas causas estruturais. Conforme destaca Boiteux (2010), a criminalização excessiva de condutas relacionadas às drogas atinge de forma desproporcional indivíduos em situação de vulnerabilidade, sem impactar significativamente os grandes fluxos do tráfico.</w:t>
      </w:r>
    </w:p>
    <w:p w:rsidR="009D60B7" w:rsidRDefault="009D60B7">
      <w:pPr>
        <w:shd w:val="clear" w:color="auto" w:fill="FFFFFF"/>
        <w:spacing w:line="360" w:lineRule="auto"/>
        <w:ind w:left="-283" w:right="100" w:firstLine="850"/>
        <w:jc w:val="both"/>
        <w:rPr>
          <w:rFonts w:ascii="Arial" w:eastAsia="Times New Roman" w:hAnsi="Arial" w:cs="Times New Roman"/>
          <w:color w:val="0A0A0A"/>
          <w:sz w:val="24"/>
          <w:szCs w:val="24"/>
        </w:rPr>
      </w:pPr>
    </w:p>
    <w:p w:rsidR="009D60B7" w:rsidRPr="00D36C44" w:rsidRDefault="00425C09" w:rsidP="00D36C44">
      <w:pPr>
        <w:shd w:val="clear" w:color="auto" w:fill="FFFFFF"/>
        <w:spacing w:line="360" w:lineRule="auto"/>
        <w:ind w:left="-283" w:right="100"/>
        <w:jc w:val="both"/>
        <w:rPr>
          <w:rFonts w:ascii="Arial" w:hAnsi="Arial"/>
          <w:sz w:val="24"/>
          <w:szCs w:val="24"/>
        </w:rPr>
      </w:pPr>
      <w:r w:rsidRPr="00D36C44">
        <w:rPr>
          <w:rFonts w:ascii="Arial" w:eastAsia="Times New Roman" w:hAnsi="Arial" w:cs="Times New Roman"/>
          <w:bCs/>
          <w:color w:val="0A0A0A"/>
          <w:sz w:val="24"/>
          <w:szCs w:val="24"/>
        </w:rPr>
        <w:t>CONCLUSÃO</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A análise desenvolvida ao longo deste estudo permite concluir que o sistema prisional brasileiro não opera como um mecanismo neutro de controle da criminalidade, mas como um sofisticado instrumento de reprodução de desigualdades estruturais. A seletividade penal, discutida no limiar desta pesquisa, evidencia que o Estado direciona seu braço punitivo de forma desproporcional sobre as classes subalternas. O encarceramento em massa, sob essa ótica, deixa de ser uma resposta à insegurança pública para consolidar-se como uma estratégia biopolítica de gestão da pobreza e de neutralização de populações historicamente invisibilizadas pelo contrato social.</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lastRenderedPageBreak/>
        <w:t>Demonstrou-se que a gênese e a consolidação das organizações criminosas no Brasil — notadamente o Comando Vermelho (CV) e o Primeiro Comando da Capital (PCC) — não são fenômenos externos ao Estado, mas subprodutos de suas próprias omissões e violências. Onde o poder público se manifesta exclusivamente pelo viés repressivo e pela negação do mínimo existencial, as facções emergem para ocupar o vácuo institucional através de uma "soberania por consenso". Essa ordem normativa paralela oferece ao detento a proteção, a assistência familiar e a estrutura de sobrevivência que o sistema oficial lhe subtraiu, transformando o cárcere em um terreno fértil para o recrutamento e o fortalecimento do crime organizado sob a égide da lealdade e da necessidade.</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Nesse cenário de degradação, a aplicação prática do Direito Penal do Inimigo agrava o colapso civilizatório do sistema. Ao despojar o custodiado de sua condição de cidadão para tratá-lo como um "objeto de periculosidade", o Estado brasileiro legitima o que o Supremo Tribunal Federal reconheceu como um “Estado de Coisas Inconstitucional”. Essa lógica de guerra, fundamentada na antecipação da punibilidade e na flexibilização de garantias processuais, produz o efeito inverso ao pretendido: em vez de pacificar, ela radicaliza o sujeito e é válida a narrativa das facções de que o sistema penal é um inimigo comum a ser combatido. A prisão, portanto, abdica de sua função ressocializadora para tornar-se uma máquina de exclusão definitiva e de produção de "vida nua" — corpos biológicos desprovidos de proteção jurídica.</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Essa desumanização institucionalizada encontra eco na jurisprudência do Supremo Tribunal Federal, especificamente no julgamento do RE 580.252. Ao fixar a tese da responsabilidade civil objetiva do Estado por danos morais decorrentes de prisões em condições degradantes, a Corte não apenas reconheceu o dever de indenizar, mas chancelou judicialmente a existência de um colapso na dignidade carcerária. O STF, ao enfrentar a superlotação e a insalubridade, confirmou que o detento, embora privado de liberdade, não pode ser despojado de sua humanidade, sob pena de o Estado converter-se no principal agente violador da própria legalidade que deveria proteger.</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 xml:space="preserve">Todavia, a resposta indenizatória estabelecida pelo Judiciário, embora necessária, ataca apenas o sintoma e não a patologia do sistema. A manutenção de uma estrutura que prioriza o encarceramento em massa em detrimento de políticas de assistência básica cria um paradoxo econômico e jurídico: o Estado gasta para punir e, posteriormente, é condenado a pagar pelo modo como pune. Essa retroalimentação evidencia que a gestão da 'vida nua' no cárcere não é apenas uma falha administrativa, mas um projeto político </w:t>
      </w:r>
      <w:r>
        <w:rPr>
          <w:rFonts w:ascii="Arial" w:eastAsia="Times New Roman" w:hAnsi="Arial" w:cs="Times New Roman"/>
          <w:color w:val="0A0A0A"/>
          <w:sz w:val="24"/>
          <w:szCs w:val="24"/>
        </w:rPr>
        <w:lastRenderedPageBreak/>
        <w:t xml:space="preserve">de exclusão que ignora o caráter de </w:t>
      </w:r>
      <w:r>
        <w:rPr>
          <w:rFonts w:ascii="Arial" w:eastAsia="Times New Roman" w:hAnsi="Arial" w:cs="Times New Roman"/>
          <w:i/>
          <w:iCs/>
          <w:color w:val="0A0A0A"/>
          <w:sz w:val="24"/>
          <w:szCs w:val="24"/>
        </w:rPr>
        <w:t>ultima ratio</w:t>
      </w:r>
      <w:r>
        <w:rPr>
          <w:rFonts w:ascii="Arial" w:eastAsia="Times New Roman" w:hAnsi="Arial" w:cs="Times New Roman"/>
          <w:color w:val="0A0A0A"/>
          <w:sz w:val="24"/>
          <w:szCs w:val="24"/>
        </w:rPr>
        <w:t xml:space="preserve"> do Direito Penal.</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Em última análise, a manutenção dessa estrutura punitivista gera um custo social, econômico e humano insustentável. O Estado brasileiro despende recursos vultosos para manter um aparato que, comprovadamente, retroalimenta a reincidência e a violência urbana. A superação dessa crise exige uma ruptura com o paradigma do inimigo e a retomada de uma política criminal pautada na Dignidade da Pessoa Humana e no cumprimento rigoroso da Lei de Execução Penal.</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Conclui-se, portanto, que enquanto o Direito Penal for utilizado como o principal substituto de políticas sociais e econômicas, o sistema carcerário continuará sendo o "escritório central" das facções e o túmulo da cidadania. A verdadeira segurança pública não se constrói com o isolamento do "outro", mas com o fortalecimento das garantias constitucionais, rompendo de uma vez por todas com a lógica seletiva que insiste em enxergar no vulnerável o inimigo a ser eliminado, e não o cidadão a ser reintegrado.</w:t>
      </w:r>
    </w:p>
    <w:p w:rsidR="009D60B7" w:rsidRDefault="00425C09">
      <w:pPr>
        <w:shd w:val="clear" w:color="auto" w:fill="FFFFFF"/>
        <w:spacing w:line="360" w:lineRule="auto"/>
        <w:ind w:left="-283" w:right="100" w:firstLine="850"/>
        <w:jc w:val="both"/>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A superação do cenário exposto demanda, obrigatoriamente, uma política séria de desencarceramento e a aplicação efetiva de medidas cautelares diversas da prisão. O uso da segregação como </w:t>
      </w:r>
      <w:r>
        <w:rPr>
          <w:rFonts w:ascii="Arial" w:eastAsia="Times New Roman" w:hAnsi="Arial" w:cs="Times New Roman"/>
          <w:i/>
          <w:iCs/>
          <w:color w:val="0A0A0A"/>
          <w:sz w:val="24"/>
          <w:szCs w:val="24"/>
        </w:rPr>
        <w:t>ultima ratio</w:t>
      </w:r>
      <w:r>
        <w:rPr>
          <w:rFonts w:ascii="Arial" w:eastAsia="Times New Roman" w:hAnsi="Arial" w:cs="Times New Roman"/>
          <w:color w:val="0A0A0A"/>
          <w:sz w:val="24"/>
          <w:szCs w:val="24"/>
        </w:rPr>
        <w:t xml:space="preserve"> (última razão) do Direito Penal foi substituído, na prática brasileira, pela prisão como regra, especialmente no combate ao tráfico de drogas. </w:t>
      </w:r>
    </w:p>
    <w:p w:rsidR="009D60B7" w:rsidRDefault="00425C09">
      <w:pPr>
        <w:shd w:val="clear" w:color="auto" w:fill="FFFFFF"/>
        <w:spacing w:line="360" w:lineRule="auto"/>
        <w:ind w:left="-283" w:right="100" w:firstLine="850"/>
        <w:jc w:val="both"/>
        <w:rPr>
          <w:rFonts w:ascii="Arial" w:hAnsi="Arial"/>
          <w:sz w:val="24"/>
          <w:szCs w:val="24"/>
        </w:rPr>
      </w:pPr>
      <w:r>
        <w:rPr>
          <w:rFonts w:ascii="Arial" w:eastAsia="Times New Roman" w:hAnsi="Arial" w:cs="Times New Roman"/>
          <w:color w:val="0A0A0A"/>
          <w:sz w:val="24"/>
          <w:szCs w:val="24"/>
        </w:rPr>
        <w:t>É necessário fomentar o debate sobre a descriminalização de certas condutas e o fortalecimento das audiências de custódia, para que estas deixem de ser meros ritos formais de homologação de flagrantes. Sem uma reforma que enfrente a seletividade na sua origem e que reduza a massa carcerária, o Estado continuará alimentando as fileiras das facções criminosas e perpetuando um sistema de moagem humana que fere os compromissos internacionais de direitos humanos assumidos pelo Brasil.</w:t>
      </w:r>
    </w:p>
    <w:p w:rsidR="009D60B7" w:rsidRDefault="009D60B7">
      <w:pPr>
        <w:shd w:val="clear" w:color="auto" w:fill="FFFFFF"/>
        <w:spacing w:line="360" w:lineRule="auto"/>
        <w:ind w:left="-283" w:right="100"/>
        <w:jc w:val="both"/>
        <w:rPr>
          <w:rFonts w:ascii="Arial" w:eastAsia="Times New Roman" w:hAnsi="Arial" w:cs="Times New Roman"/>
          <w:color w:val="0A0A0A"/>
          <w:sz w:val="20"/>
          <w:szCs w:val="20"/>
        </w:rPr>
      </w:pPr>
    </w:p>
    <w:p w:rsidR="009D60B7" w:rsidRPr="00D36C44" w:rsidRDefault="00425C09" w:rsidP="00D36C44">
      <w:pPr>
        <w:shd w:val="clear" w:color="auto" w:fill="FFFFFF"/>
        <w:spacing w:line="360" w:lineRule="auto"/>
        <w:ind w:left="-283" w:right="100"/>
        <w:jc w:val="both"/>
        <w:rPr>
          <w:rFonts w:ascii="Arial" w:hAnsi="Arial"/>
          <w:sz w:val="24"/>
          <w:szCs w:val="24"/>
        </w:rPr>
      </w:pPr>
      <w:r w:rsidRPr="00D36C44">
        <w:rPr>
          <w:rFonts w:ascii="Arial" w:eastAsia="Times New Roman" w:hAnsi="Arial" w:cs="Times New Roman"/>
          <w:bCs/>
          <w:color w:val="0A0A0A"/>
          <w:sz w:val="24"/>
          <w:szCs w:val="24"/>
        </w:rPr>
        <w:t xml:space="preserve">REFERÊNCIAS </w:t>
      </w: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AGAMBEN, Giorgio. </w:t>
      </w:r>
      <w:r>
        <w:rPr>
          <w:rFonts w:ascii="Arial" w:eastAsia="Times New Roman" w:hAnsi="Arial" w:cs="Times New Roman"/>
          <w:b/>
          <w:bCs/>
          <w:color w:val="0A0A0A"/>
          <w:sz w:val="24"/>
          <w:szCs w:val="24"/>
        </w:rPr>
        <w:t>Homo Sacer</w:t>
      </w:r>
      <w:r>
        <w:rPr>
          <w:rFonts w:ascii="Arial" w:eastAsia="Times New Roman" w:hAnsi="Arial" w:cs="Times New Roman"/>
          <w:color w:val="0A0A0A"/>
          <w:sz w:val="24"/>
          <w:szCs w:val="24"/>
        </w:rPr>
        <w:t>: o poder soberano e a vida nua I. Tradução de Henrique Burigo. Belo Horizonte: UFMG, 2002.</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AZEVEDO, Rodrigo Ghiringhelli de. </w:t>
      </w:r>
      <w:r>
        <w:rPr>
          <w:rFonts w:ascii="Arial" w:eastAsia="Times New Roman" w:hAnsi="Arial" w:cs="Times New Roman"/>
          <w:b/>
          <w:bCs/>
          <w:color w:val="0A0A0A"/>
          <w:sz w:val="24"/>
          <w:szCs w:val="24"/>
        </w:rPr>
        <w:t>Sistema penal e seletividade</w:t>
      </w:r>
      <w:r>
        <w:rPr>
          <w:rFonts w:ascii="Arial" w:eastAsia="Times New Roman" w:hAnsi="Arial" w:cs="Times New Roman"/>
          <w:color w:val="0A0A0A"/>
          <w:sz w:val="24"/>
          <w:szCs w:val="24"/>
        </w:rPr>
        <w:t>: o papel da justiça criminal na reprodução da desigualdade. Porto Alegre: EDIPUCRS, 2010.</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BARATTA, Alessandro. </w:t>
      </w:r>
      <w:r>
        <w:rPr>
          <w:rFonts w:ascii="Arial" w:eastAsia="Times New Roman" w:hAnsi="Arial" w:cs="Times New Roman"/>
          <w:b/>
          <w:bCs/>
          <w:color w:val="0A0A0A"/>
          <w:sz w:val="24"/>
          <w:szCs w:val="24"/>
        </w:rPr>
        <w:t>Criminologia Crítica e Crítica do Direito Penal</w:t>
      </w:r>
      <w:r>
        <w:rPr>
          <w:rFonts w:ascii="Arial" w:eastAsia="Times New Roman" w:hAnsi="Arial" w:cs="Times New Roman"/>
          <w:color w:val="0A0A0A"/>
          <w:sz w:val="24"/>
          <w:szCs w:val="24"/>
        </w:rPr>
        <w:t>: introdução à sociologia do direito penal. Tradução de Juarez Cirino dos Santos. 3. ed. Rio de Janeiro: Revan, 1999.</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BATISTA, Vera Malaguti. </w:t>
      </w:r>
      <w:r>
        <w:rPr>
          <w:rFonts w:ascii="Arial" w:eastAsia="Times New Roman" w:hAnsi="Arial" w:cs="Times New Roman"/>
          <w:b/>
          <w:bCs/>
          <w:color w:val="0A0A0A"/>
          <w:sz w:val="24"/>
          <w:szCs w:val="24"/>
        </w:rPr>
        <w:t>Introdução crítica ao direito penal brasileiro</w:t>
      </w:r>
      <w:r>
        <w:rPr>
          <w:rFonts w:ascii="Arial" w:eastAsia="Times New Roman" w:hAnsi="Arial" w:cs="Times New Roman"/>
          <w:color w:val="0A0A0A"/>
          <w:sz w:val="24"/>
          <w:szCs w:val="24"/>
        </w:rPr>
        <w:t>. 2. ed. Rio de Janeiro: Revan, 2011.</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BOITEUX, Luciana. </w:t>
      </w:r>
      <w:r>
        <w:rPr>
          <w:rFonts w:ascii="Arial" w:eastAsia="Times New Roman" w:hAnsi="Arial" w:cs="Times New Roman"/>
          <w:b/>
          <w:bCs/>
          <w:color w:val="0A0A0A"/>
          <w:sz w:val="24"/>
          <w:szCs w:val="24"/>
        </w:rPr>
        <w:t>Tráfico e Constituição</w:t>
      </w:r>
      <w:r>
        <w:rPr>
          <w:rFonts w:ascii="Arial" w:eastAsia="Times New Roman" w:hAnsi="Arial" w:cs="Times New Roman"/>
          <w:color w:val="0A0A0A"/>
          <w:sz w:val="24"/>
          <w:szCs w:val="24"/>
        </w:rPr>
        <w:t xml:space="preserve">: um estudo sobre a atuação do STF. Rio de </w:t>
      </w:r>
      <w:r>
        <w:rPr>
          <w:rFonts w:ascii="Arial" w:eastAsia="Times New Roman" w:hAnsi="Arial" w:cs="Times New Roman"/>
          <w:color w:val="0A0A0A"/>
          <w:sz w:val="24"/>
          <w:szCs w:val="24"/>
        </w:rPr>
        <w:lastRenderedPageBreak/>
        <w:t>Janeiro: Lumen Juris, 2010.</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BRASIL. </w:t>
      </w:r>
      <w:r>
        <w:rPr>
          <w:rFonts w:ascii="Arial" w:eastAsia="Times New Roman" w:hAnsi="Arial" w:cs="Times New Roman"/>
          <w:b/>
          <w:bCs/>
          <w:color w:val="0A0A0A"/>
          <w:sz w:val="24"/>
          <w:szCs w:val="24"/>
        </w:rPr>
        <w:t>Lei nº 7.210, de 11 de julho de 1984</w:t>
      </w:r>
      <w:r>
        <w:rPr>
          <w:rFonts w:ascii="Arial" w:eastAsia="Times New Roman" w:hAnsi="Arial" w:cs="Times New Roman"/>
          <w:color w:val="0A0A0A"/>
          <w:sz w:val="24"/>
          <w:szCs w:val="24"/>
        </w:rPr>
        <w:t>. Institui a Lei de Execução Penal. Brasília, DF: Presidência da República, 1984.</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BRASIL. </w:t>
      </w:r>
      <w:r>
        <w:rPr>
          <w:rFonts w:ascii="Arial" w:eastAsia="Times New Roman" w:hAnsi="Arial" w:cs="Times New Roman"/>
          <w:b/>
          <w:bCs/>
          <w:color w:val="0A0A0A"/>
          <w:sz w:val="24"/>
          <w:szCs w:val="24"/>
        </w:rPr>
        <w:t>Lei nº 11.343, de 23 de agosto de 2006</w:t>
      </w:r>
      <w:r>
        <w:rPr>
          <w:rFonts w:ascii="Arial" w:eastAsia="Times New Roman" w:hAnsi="Arial" w:cs="Times New Roman"/>
          <w:color w:val="0A0A0A"/>
          <w:sz w:val="24"/>
          <w:szCs w:val="24"/>
        </w:rPr>
        <w:t>. Institui o Sistema Nacional de Políticas Públicas sobre Drogas - Sisnad. Brasília, DF: Presidência da República, 2006.</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BRASIL. Supremo Tribunal Federal. </w:t>
      </w:r>
      <w:r>
        <w:rPr>
          <w:rFonts w:ascii="Arial" w:eastAsia="Times New Roman" w:hAnsi="Arial" w:cs="Times New Roman"/>
          <w:b/>
          <w:bCs/>
          <w:color w:val="0A0A0A"/>
          <w:sz w:val="24"/>
          <w:szCs w:val="24"/>
        </w:rPr>
        <w:t>Arguição de Descumprimento de Preceito Fundamental (ADPF) 347</w:t>
      </w:r>
      <w:r>
        <w:rPr>
          <w:rFonts w:ascii="Arial" w:eastAsia="Times New Roman" w:hAnsi="Arial" w:cs="Times New Roman"/>
          <w:color w:val="0A0A0A"/>
          <w:sz w:val="24"/>
          <w:szCs w:val="24"/>
        </w:rPr>
        <w:t>. Relator: Min. Marco Aurélio. Brasília, DF, 9 de setembro de 2015. Disponível em: https://portal.stf.jus.br. Acesso em: 23 mar. 2026.</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BRASIL. Supremo Tribunal Federal (Plenário). </w:t>
      </w:r>
      <w:r>
        <w:rPr>
          <w:rFonts w:ascii="Arial" w:eastAsia="Times New Roman" w:hAnsi="Arial" w:cs="Times New Roman"/>
          <w:b/>
          <w:bCs/>
          <w:color w:val="0A0A0A"/>
          <w:sz w:val="24"/>
          <w:szCs w:val="24"/>
        </w:rPr>
        <w:t>Recurso Extraordinário nº 580.252/MS</w:t>
      </w:r>
      <w:r>
        <w:rPr>
          <w:rFonts w:ascii="Arial" w:eastAsia="Times New Roman" w:hAnsi="Arial" w:cs="Times New Roman"/>
          <w:color w:val="0A0A0A"/>
          <w:sz w:val="24"/>
          <w:szCs w:val="24"/>
        </w:rPr>
        <w:t>. Relator: Min. Teori Zavascki. Redator para o acórdão: Min. Gilmar Mendes. Brasília, DF, 16 de fevereiro de 2017. Disponível em: https://portal.stf.jus.br. Acesso em: 23 mar. 2026.</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FELTRAN, Gabriel. </w:t>
      </w:r>
      <w:r>
        <w:rPr>
          <w:rFonts w:ascii="Arial" w:eastAsia="Times New Roman" w:hAnsi="Arial" w:cs="Times New Roman"/>
          <w:b/>
          <w:bCs/>
          <w:color w:val="0A0A0A"/>
          <w:sz w:val="24"/>
          <w:szCs w:val="24"/>
        </w:rPr>
        <w:t>Irmandade</w:t>
      </w:r>
      <w:r>
        <w:rPr>
          <w:rFonts w:ascii="Arial" w:eastAsia="Times New Roman" w:hAnsi="Arial" w:cs="Times New Roman"/>
          <w:color w:val="0A0A0A"/>
          <w:sz w:val="24"/>
          <w:szCs w:val="24"/>
        </w:rPr>
        <w:t>: PCC, política e metade do mundo. Rio de Janeiro: Todavia, 2018.</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FÓRUM BRASILEIRO DE SEGURANÇA PÚBLICA. </w:t>
      </w:r>
      <w:r>
        <w:rPr>
          <w:rFonts w:ascii="Arial" w:eastAsia="Times New Roman" w:hAnsi="Arial" w:cs="Times New Roman"/>
          <w:b/>
          <w:bCs/>
          <w:color w:val="0A0A0A"/>
          <w:sz w:val="24"/>
          <w:szCs w:val="24"/>
        </w:rPr>
        <w:t>Anuário Brasileiro de Segurança Pública 2023</w:t>
      </w:r>
      <w:r>
        <w:rPr>
          <w:rFonts w:ascii="Arial" w:eastAsia="Times New Roman" w:hAnsi="Arial" w:cs="Times New Roman"/>
          <w:color w:val="0A0A0A"/>
          <w:sz w:val="24"/>
          <w:szCs w:val="24"/>
        </w:rPr>
        <w:t>. São Paulo: FBSP, 2023. Disponível em: https://forumseguranca.org.br. Acesso em: 23 mar. 2026.</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FOUCAULT, Michel. </w:t>
      </w:r>
      <w:r>
        <w:rPr>
          <w:rFonts w:ascii="Arial" w:eastAsia="Times New Roman" w:hAnsi="Arial" w:cs="Times New Roman"/>
          <w:b/>
          <w:bCs/>
          <w:color w:val="0A0A0A"/>
          <w:sz w:val="24"/>
          <w:szCs w:val="24"/>
        </w:rPr>
        <w:t>Vigiar e punir</w:t>
      </w:r>
      <w:r>
        <w:rPr>
          <w:rFonts w:ascii="Arial" w:eastAsia="Times New Roman" w:hAnsi="Arial" w:cs="Times New Roman"/>
          <w:color w:val="0A0A0A"/>
          <w:sz w:val="24"/>
          <w:szCs w:val="24"/>
        </w:rPr>
        <w:t>: nascimento da prisão. Tradução de Raquel Ramalhete. Petrópolis: Vozes, 1987.</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GARLAND, David. </w:t>
      </w:r>
      <w:r>
        <w:rPr>
          <w:rFonts w:ascii="Arial" w:eastAsia="Times New Roman" w:hAnsi="Arial" w:cs="Times New Roman"/>
          <w:b/>
          <w:bCs/>
          <w:color w:val="0A0A0A"/>
          <w:sz w:val="24"/>
          <w:szCs w:val="24"/>
        </w:rPr>
        <w:t>A cultura do controle</w:t>
      </w:r>
      <w:r>
        <w:rPr>
          <w:rFonts w:ascii="Arial" w:eastAsia="Times New Roman" w:hAnsi="Arial" w:cs="Times New Roman"/>
          <w:color w:val="0A0A0A"/>
          <w:sz w:val="24"/>
          <w:szCs w:val="24"/>
        </w:rPr>
        <w:t>: crime e ordem social na sociedade contemporânea. Tradução de André Nascimento e Maria Luiza Süssekind. Rio de Janeiro: Revan, 2008.</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JAKOBS, Günther; CANCIO MELIÁ, Manuel. </w:t>
      </w:r>
      <w:r>
        <w:rPr>
          <w:rFonts w:ascii="Arial" w:eastAsia="Times New Roman" w:hAnsi="Arial" w:cs="Times New Roman"/>
          <w:b/>
          <w:bCs/>
          <w:color w:val="0A0A0A"/>
          <w:sz w:val="24"/>
          <w:szCs w:val="24"/>
        </w:rPr>
        <w:t>Direito penal do inimigo</w:t>
      </w:r>
      <w:r>
        <w:rPr>
          <w:rFonts w:ascii="Arial" w:eastAsia="Times New Roman" w:hAnsi="Arial" w:cs="Times New Roman"/>
          <w:color w:val="0A0A0A"/>
          <w:sz w:val="24"/>
          <w:szCs w:val="24"/>
        </w:rPr>
        <w:t xml:space="preserve">: noções e críticas. </w:t>
      </w: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Tradução de André Luís Callegari e Nereu José Giacomolli. 2. ed. Porto Alegre: Livraria do Advogado, 2007.</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LOPES JR., Aury. </w:t>
      </w:r>
      <w:r>
        <w:rPr>
          <w:rFonts w:ascii="Arial" w:eastAsia="Times New Roman" w:hAnsi="Arial" w:cs="Times New Roman"/>
          <w:b/>
          <w:bCs/>
          <w:color w:val="0A0A0A"/>
          <w:sz w:val="24"/>
          <w:szCs w:val="24"/>
        </w:rPr>
        <w:t>Direito processual penal</w:t>
      </w:r>
      <w:r>
        <w:rPr>
          <w:rFonts w:ascii="Arial" w:eastAsia="Times New Roman" w:hAnsi="Arial" w:cs="Times New Roman"/>
          <w:color w:val="0A0A0A"/>
          <w:sz w:val="24"/>
          <w:szCs w:val="24"/>
        </w:rPr>
        <w:t>. 17. ed. São Paulo: Saraiva, 2020.</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MISSE, Michel. </w:t>
      </w:r>
      <w:r>
        <w:rPr>
          <w:rFonts w:ascii="Arial" w:eastAsia="Times New Roman" w:hAnsi="Arial" w:cs="Times New Roman"/>
          <w:b/>
          <w:bCs/>
          <w:color w:val="0A0A0A"/>
          <w:sz w:val="24"/>
          <w:szCs w:val="24"/>
        </w:rPr>
        <w:t>Crime e violência no Brasil contemporâneo</w:t>
      </w:r>
      <w:r>
        <w:rPr>
          <w:rFonts w:ascii="Arial" w:eastAsia="Times New Roman" w:hAnsi="Arial" w:cs="Times New Roman"/>
          <w:color w:val="0A0A0A"/>
          <w:sz w:val="24"/>
          <w:szCs w:val="24"/>
        </w:rPr>
        <w:t>: estudos de sociologia do crime e da justiça criminal. Rio de Janeiro: Lumen Juris, 2011.</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PRADO, Geraldo. </w:t>
      </w:r>
      <w:r>
        <w:rPr>
          <w:rFonts w:ascii="Arial" w:eastAsia="Times New Roman" w:hAnsi="Arial" w:cs="Times New Roman"/>
          <w:b/>
          <w:bCs/>
          <w:color w:val="0A0A0A"/>
          <w:sz w:val="24"/>
          <w:szCs w:val="24"/>
        </w:rPr>
        <w:t>Prova penal e sistema contraditório</w:t>
      </w:r>
      <w:r>
        <w:rPr>
          <w:rFonts w:ascii="Arial" w:eastAsia="Times New Roman" w:hAnsi="Arial" w:cs="Times New Roman"/>
          <w:color w:val="0A0A0A"/>
          <w:sz w:val="24"/>
          <w:szCs w:val="24"/>
        </w:rPr>
        <w:t>. 4. ed. São Paulo: Marcial Pons, 2019.</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REIS, Gabriel de Castro Borges. </w:t>
      </w:r>
      <w:r>
        <w:rPr>
          <w:rFonts w:ascii="Arial" w:eastAsia="Times New Roman" w:hAnsi="Arial" w:cs="Times New Roman"/>
          <w:b/>
          <w:bCs/>
          <w:color w:val="0A0A0A"/>
          <w:sz w:val="24"/>
          <w:szCs w:val="24"/>
        </w:rPr>
        <w:t>Estado e população carcerária</w:t>
      </w:r>
      <w:r>
        <w:rPr>
          <w:rFonts w:ascii="Arial" w:eastAsia="Times New Roman" w:hAnsi="Arial" w:cs="Times New Roman"/>
          <w:color w:val="0A0A0A"/>
          <w:sz w:val="24"/>
          <w:szCs w:val="24"/>
        </w:rPr>
        <w:t>: conflito em torno de uma soberania precária. 2019. 131 f. Dissertação (Mestrado em Direitos Humanos) - Universidade Federal de Goiás, Goiânia, 2019.</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SALLA, Fernando. </w:t>
      </w:r>
      <w:r>
        <w:rPr>
          <w:rFonts w:ascii="Arial" w:eastAsia="Times New Roman" w:hAnsi="Arial" w:cs="Times New Roman"/>
          <w:b/>
          <w:bCs/>
          <w:color w:val="0A0A0A"/>
          <w:sz w:val="24"/>
          <w:szCs w:val="24"/>
        </w:rPr>
        <w:t>As prisões em São Paulo</w:t>
      </w:r>
      <w:r>
        <w:rPr>
          <w:rFonts w:ascii="Arial" w:eastAsia="Times New Roman" w:hAnsi="Arial" w:cs="Times New Roman"/>
          <w:color w:val="0A0A0A"/>
          <w:sz w:val="24"/>
          <w:szCs w:val="24"/>
        </w:rPr>
        <w:t>: 1822-1940. 2. ed. São Paulo: Annablume, 2007.</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SANTOS, Juarez Cirino dos. </w:t>
      </w:r>
      <w:r>
        <w:rPr>
          <w:rFonts w:ascii="Arial" w:eastAsia="Times New Roman" w:hAnsi="Arial" w:cs="Times New Roman"/>
          <w:b/>
          <w:bCs/>
          <w:color w:val="0A0A0A"/>
          <w:sz w:val="24"/>
          <w:szCs w:val="24"/>
        </w:rPr>
        <w:t>A criminologia radical</w:t>
      </w:r>
      <w:r>
        <w:rPr>
          <w:rFonts w:ascii="Arial" w:eastAsia="Times New Roman" w:hAnsi="Arial" w:cs="Times New Roman"/>
          <w:color w:val="0A0A0A"/>
          <w:sz w:val="24"/>
          <w:szCs w:val="24"/>
        </w:rPr>
        <w:t>. 3. ed. Rio de Janeiro: Revan, 2008.</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lastRenderedPageBreak/>
        <w:t xml:space="preserve">WACQUANT, Loïc. </w:t>
      </w:r>
      <w:r>
        <w:rPr>
          <w:rFonts w:ascii="Arial" w:eastAsia="Times New Roman" w:hAnsi="Arial" w:cs="Times New Roman"/>
          <w:b/>
          <w:bCs/>
          <w:color w:val="0A0A0A"/>
          <w:sz w:val="24"/>
          <w:szCs w:val="24"/>
        </w:rPr>
        <w:t>As prisões da miséria</w:t>
      </w:r>
      <w:r>
        <w:rPr>
          <w:rFonts w:ascii="Arial" w:eastAsia="Times New Roman" w:hAnsi="Arial" w:cs="Times New Roman"/>
          <w:color w:val="0A0A0A"/>
          <w:sz w:val="24"/>
          <w:szCs w:val="24"/>
        </w:rPr>
        <w:t>. Tradução de André Telles. Rio de Janeiro: Jorge Zahar, 2001.</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eastAsia="Times New Roman" w:hAnsi="Arial" w:cs="Times New Roman"/>
          <w:color w:val="0A0A0A"/>
          <w:sz w:val="24"/>
          <w:szCs w:val="24"/>
        </w:rPr>
      </w:pPr>
      <w:r>
        <w:rPr>
          <w:rFonts w:ascii="Arial" w:eastAsia="Times New Roman" w:hAnsi="Arial" w:cs="Times New Roman"/>
          <w:color w:val="0A0A0A"/>
          <w:sz w:val="24"/>
          <w:szCs w:val="24"/>
        </w:rPr>
        <w:t xml:space="preserve">WACQUANT, Loïc. </w:t>
      </w:r>
      <w:r>
        <w:rPr>
          <w:rFonts w:ascii="Arial" w:eastAsia="Times New Roman" w:hAnsi="Arial" w:cs="Times New Roman"/>
          <w:b/>
          <w:bCs/>
          <w:color w:val="0A0A0A"/>
          <w:sz w:val="24"/>
          <w:szCs w:val="24"/>
        </w:rPr>
        <w:t>Punir os pobres</w:t>
      </w:r>
      <w:r>
        <w:rPr>
          <w:rFonts w:ascii="Arial" w:eastAsia="Times New Roman" w:hAnsi="Arial" w:cs="Times New Roman"/>
          <w:color w:val="0A0A0A"/>
          <w:sz w:val="24"/>
          <w:szCs w:val="24"/>
        </w:rPr>
        <w:t>: a nova gestão da miséria nos Estados Unidos. Tradução de Sergio Lamarão. 3. ed. Rio de Janeiro: Revan, 2007.</w:t>
      </w:r>
    </w:p>
    <w:p w:rsidR="009D60B7" w:rsidRDefault="009D60B7">
      <w:pPr>
        <w:shd w:val="clear" w:color="auto" w:fill="FFFFFF"/>
        <w:ind w:left="-288"/>
        <w:rPr>
          <w:rFonts w:ascii="Arial" w:eastAsia="Times New Roman" w:hAnsi="Arial" w:cs="Times New Roman"/>
          <w:color w:val="0A0A0A"/>
          <w:sz w:val="24"/>
          <w:szCs w:val="24"/>
        </w:rPr>
      </w:pPr>
    </w:p>
    <w:p w:rsidR="009D60B7" w:rsidRDefault="00425C09">
      <w:pPr>
        <w:shd w:val="clear" w:color="auto" w:fill="FFFFFF"/>
        <w:ind w:left="-288"/>
        <w:rPr>
          <w:rFonts w:ascii="Arial" w:hAnsi="Arial"/>
          <w:sz w:val="24"/>
          <w:szCs w:val="24"/>
        </w:rPr>
      </w:pPr>
      <w:r>
        <w:rPr>
          <w:rFonts w:ascii="Arial" w:eastAsia="Times New Roman" w:hAnsi="Arial" w:cs="Times New Roman"/>
          <w:color w:val="0A0A0A"/>
          <w:sz w:val="24"/>
          <w:szCs w:val="24"/>
        </w:rPr>
        <w:t xml:space="preserve">ZAFFARONI, Eugenio Raúl. </w:t>
      </w:r>
      <w:r>
        <w:rPr>
          <w:rFonts w:ascii="Arial" w:eastAsia="Times New Roman" w:hAnsi="Arial" w:cs="Times New Roman"/>
          <w:b/>
          <w:bCs/>
          <w:color w:val="0A0A0A"/>
          <w:sz w:val="24"/>
          <w:szCs w:val="24"/>
        </w:rPr>
        <w:t>O inimigo no direito penal</w:t>
      </w:r>
      <w:r>
        <w:rPr>
          <w:rFonts w:ascii="Arial" w:eastAsia="Times New Roman" w:hAnsi="Arial" w:cs="Times New Roman"/>
          <w:color w:val="0A0A0A"/>
          <w:sz w:val="24"/>
          <w:szCs w:val="24"/>
        </w:rPr>
        <w:t>. Tradução de Sérgio Lamarão. 2. ed. Rio de Janeiro: Revan, 2007.</w:t>
      </w:r>
    </w:p>
    <w:p w:rsidR="009D60B7" w:rsidRDefault="009D60B7">
      <w:pPr>
        <w:shd w:val="clear" w:color="auto" w:fill="FFFFFF"/>
        <w:spacing w:before="180" w:after="420" w:line="360" w:lineRule="auto"/>
        <w:ind w:left="-283"/>
        <w:jc w:val="both"/>
        <w:rPr>
          <w:rFonts w:ascii="Arial" w:hAnsi="Arial"/>
          <w:sz w:val="20"/>
          <w:szCs w:val="20"/>
        </w:rPr>
      </w:pPr>
    </w:p>
    <w:p w:rsidR="009D60B7" w:rsidRDefault="009D60B7">
      <w:pPr>
        <w:shd w:val="clear" w:color="auto" w:fill="FFFFFF"/>
        <w:spacing w:before="180" w:after="420" w:line="360" w:lineRule="auto"/>
        <w:ind w:left="-283"/>
        <w:jc w:val="both"/>
        <w:rPr>
          <w:rFonts w:ascii="Arial" w:hAnsi="Arial"/>
          <w:sz w:val="20"/>
          <w:szCs w:val="20"/>
        </w:rPr>
      </w:pPr>
    </w:p>
    <w:p w:rsidR="009D60B7" w:rsidRDefault="009D60B7">
      <w:pPr>
        <w:shd w:val="clear" w:color="auto" w:fill="FFFFFF"/>
        <w:spacing w:before="180" w:after="420" w:line="360" w:lineRule="auto"/>
        <w:ind w:left="-283"/>
        <w:jc w:val="both"/>
        <w:rPr>
          <w:rFonts w:ascii="Arial" w:hAnsi="Arial"/>
          <w:sz w:val="20"/>
          <w:szCs w:val="20"/>
        </w:rPr>
      </w:pPr>
    </w:p>
    <w:p w:rsidR="009D60B7" w:rsidRDefault="009D60B7">
      <w:pPr>
        <w:shd w:val="clear" w:color="auto" w:fill="FFFFFF"/>
        <w:spacing w:before="180" w:after="420" w:line="360" w:lineRule="auto"/>
        <w:ind w:left="-283"/>
        <w:jc w:val="both"/>
        <w:rPr>
          <w:rFonts w:ascii="Arial" w:hAnsi="Arial"/>
          <w:sz w:val="20"/>
          <w:szCs w:val="20"/>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6D654C" w:rsidRDefault="006D654C">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Corpodetexto"/>
        <w:rPr>
          <w:rFonts w:ascii="Arial" w:hAnsi="Arial" w:cs="Times New Roman"/>
          <w:spacing w:val="-2"/>
        </w:rPr>
      </w:pPr>
    </w:p>
    <w:p w:rsidR="009D60B7" w:rsidRDefault="009D60B7">
      <w:pPr>
        <w:pStyle w:val="PargrafodaLista"/>
        <w:tabs>
          <w:tab w:val="left" w:pos="432"/>
        </w:tabs>
        <w:ind w:right="88"/>
        <w:rPr>
          <w:rFonts w:ascii="Arial" w:hAnsi="Arial"/>
          <w:b/>
          <w:bCs/>
          <w:sz w:val="20"/>
          <w:szCs w:val="20"/>
        </w:rPr>
      </w:pPr>
      <w:bookmarkStart w:id="43" w:name="_GoBack_Copia_21"/>
      <w:bookmarkStart w:id="44" w:name="_GoBack_Copia_22"/>
      <w:bookmarkStart w:id="45" w:name="_heading=h.dj7jrfepa6ft"/>
      <w:bookmarkEnd w:id="43"/>
      <w:bookmarkEnd w:id="44"/>
      <w:bookmarkEnd w:id="45"/>
    </w:p>
    <w:p w:rsidR="009D60B7" w:rsidRPr="006D654C" w:rsidRDefault="00425C09" w:rsidP="006D654C">
      <w:pPr>
        <w:pStyle w:val="Corpodetexto"/>
        <w:ind w:left="-57"/>
        <w:jc w:val="center"/>
        <w:rPr>
          <w:rFonts w:ascii="Arial" w:hAnsi="Arial"/>
          <w:sz w:val="28"/>
          <w:szCs w:val="28"/>
        </w:rPr>
      </w:pPr>
      <w:r w:rsidRPr="006D654C">
        <w:rPr>
          <w:rFonts w:ascii="Arial" w:hAnsi="Arial"/>
          <w:b/>
          <w:bCs/>
          <w:sz w:val="28"/>
          <w:szCs w:val="28"/>
        </w:rPr>
        <w:lastRenderedPageBreak/>
        <w:t xml:space="preserve">XENOFOBIA CONTRA ASIÁTICOS NO BRASIL: </w:t>
      </w:r>
    </w:p>
    <w:p w:rsidR="009D60B7" w:rsidRPr="006D654C" w:rsidRDefault="00425C09" w:rsidP="006D654C">
      <w:pPr>
        <w:pStyle w:val="Corpodetexto"/>
        <w:ind w:left="-57"/>
        <w:jc w:val="center"/>
        <w:rPr>
          <w:rFonts w:ascii="Arial" w:hAnsi="Arial"/>
          <w:sz w:val="28"/>
          <w:szCs w:val="28"/>
        </w:rPr>
      </w:pPr>
      <w:r w:rsidRPr="006D654C">
        <w:rPr>
          <w:rFonts w:ascii="Arial" w:hAnsi="Arial"/>
          <w:b/>
          <w:bCs/>
          <w:sz w:val="28"/>
          <w:szCs w:val="28"/>
        </w:rPr>
        <w:t>AUSÊNCIA DE PRECEDENTES JUDICIAIS E DESAFIOS PARA O RECONHECIMENTO JURÍDICO</w:t>
      </w:r>
    </w:p>
    <w:p w:rsidR="009D60B7" w:rsidRDefault="009D60B7">
      <w:pPr>
        <w:pStyle w:val="Ttulo1"/>
        <w:spacing w:before="44" w:line="360" w:lineRule="auto"/>
        <w:ind w:left="0" w:right="714"/>
        <w:jc w:val="both"/>
        <w:rPr>
          <w:rFonts w:ascii="Arial" w:hAnsi="Arial" w:cs="Arial"/>
          <w:sz w:val="24"/>
          <w:szCs w:val="24"/>
        </w:rPr>
      </w:pPr>
    </w:p>
    <w:p w:rsidR="006D654C" w:rsidRDefault="006D654C">
      <w:pPr>
        <w:pStyle w:val="Ttulo1"/>
        <w:spacing w:before="44" w:line="360" w:lineRule="auto"/>
        <w:ind w:left="0" w:right="714"/>
        <w:jc w:val="both"/>
        <w:rPr>
          <w:rFonts w:ascii="Arial" w:hAnsi="Arial" w:cs="Arial"/>
          <w:sz w:val="24"/>
          <w:szCs w:val="24"/>
        </w:rPr>
      </w:pPr>
    </w:p>
    <w:p w:rsidR="009D60B7" w:rsidRPr="00731DD4" w:rsidRDefault="00425C09" w:rsidP="006D654C">
      <w:pPr>
        <w:pStyle w:val="Corpodetexto"/>
        <w:jc w:val="center"/>
        <w:rPr>
          <w:rFonts w:ascii="Arial" w:hAnsi="Arial" w:cs="Arial"/>
          <w:sz w:val="24"/>
          <w:szCs w:val="24"/>
        </w:rPr>
      </w:pPr>
      <w:r w:rsidRPr="00731DD4">
        <w:rPr>
          <w:rStyle w:val="Caracteresdenotaderodapuser"/>
          <w:rFonts w:ascii="Arial" w:hAnsi="Arial" w:cs="Arial"/>
          <w:sz w:val="24"/>
          <w:szCs w:val="24"/>
          <w:vertAlign w:val="baseline"/>
        </w:rPr>
        <w:t>Sayonara Carneiro Kanaiama</w:t>
      </w:r>
      <w:r w:rsidRPr="00731DD4">
        <w:rPr>
          <w:rStyle w:val="Refdenotaderodap"/>
          <w:rFonts w:ascii="Arial" w:hAnsi="Arial" w:cs="Arial"/>
          <w:sz w:val="24"/>
          <w:szCs w:val="24"/>
        </w:rPr>
        <w:footnoteReference w:id="57"/>
      </w:r>
      <w:r w:rsidRPr="00731DD4">
        <w:rPr>
          <w:rStyle w:val="Caracteresdenotaderodapuser"/>
          <w:rFonts w:ascii="Arial" w:hAnsi="Arial" w:cs="Arial"/>
          <w:sz w:val="24"/>
          <w:szCs w:val="24"/>
          <w:vertAlign w:val="baseline"/>
        </w:rPr>
        <w:br/>
        <w:t>Maxilene Soares Corrêa</w:t>
      </w:r>
      <w:r w:rsidRPr="00B46FFA">
        <w:rPr>
          <w:rStyle w:val="Refdenotaderodap"/>
          <w:rFonts w:ascii="Arial" w:hAnsi="Arial" w:cs="Arial"/>
          <w:sz w:val="24"/>
          <w:szCs w:val="24"/>
        </w:rPr>
        <w:footnoteReference w:id="58"/>
      </w:r>
      <w:r w:rsidRPr="00731DD4">
        <w:rPr>
          <w:rStyle w:val="Caracteresdenotaderodapuser"/>
          <w:rFonts w:ascii="Arial" w:hAnsi="Arial" w:cs="Arial"/>
          <w:sz w:val="24"/>
          <w:szCs w:val="24"/>
          <w:vertAlign w:val="baseline"/>
        </w:rPr>
        <w:br/>
        <w:t>Mylena Seabra Toschi</w:t>
      </w:r>
      <w:r w:rsidRPr="00B46FFA">
        <w:rPr>
          <w:rStyle w:val="Refdenotaderodap"/>
          <w:rFonts w:ascii="Arial" w:hAnsi="Arial" w:cs="Arial"/>
          <w:sz w:val="24"/>
          <w:szCs w:val="24"/>
        </w:rPr>
        <w:footnoteReference w:id="59"/>
      </w:r>
    </w:p>
    <w:p w:rsidR="009D60B7" w:rsidRDefault="009D60B7">
      <w:pPr>
        <w:spacing w:line="360" w:lineRule="auto"/>
        <w:ind w:left="-57"/>
        <w:jc w:val="both"/>
        <w:rPr>
          <w:rFonts w:ascii="Arial" w:hAnsi="Arial"/>
          <w:sz w:val="24"/>
          <w:szCs w:val="24"/>
        </w:rPr>
      </w:pPr>
    </w:p>
    <w:p w:rsidR="009D60B7" w:rsidRDefault="009D60B7">
      <w:pPr>
        <w:pStyle w:val="Corpodetexto"/>
        <w:spacing w:line="360" w:lineRule="auto"/>
        <w:ind w:left="-57"/>
        <w:rPr>
          <w:rFonts w:ascii="Arial" w:hAnsi="Arial" w:cs="Arial"/>
          <w:sz w:val="24"/>
          <w:szCs w:val="24"/>
        </w:rPr>
      </w:pPr>
    </w:p>
    <w:p w:rsidR="009D60B7" w:rsidRDefault="00425C09">
      <w:pPr>
        <w:spacing w:line="360" w:lineRule="auto"/>
        <w:ind w:left="-57"/>
        <w:jc w:val="center"/>
        <w:rPr>
          <w:rFonts w:ascii="Arial" w:hAnsi="Arial"/>
          <w:b/>
          <w:sz w:val="20"/>
          <w:szCs w:val="20"/>
        </w:rPr>
      </w:pPr>
      <w:r>
        <w:rPr>
          <w:rFonts w:ascii="Arial" w:hAnsi="Arial"/>
          <w:b/>
          <w:sz w:val="24"/>
          <w:szCs w:val="24"/>
        </w:rPr>
        <w:t>RESUMO</w:t>
      </w:r>
    </w:p>
    <w:p w:rsidR="009D60B7" w:rsidRDefault="00425C09">
      <w:pPr>
        <w:pStyle w:val="Corpodetexto"/>
        <w:jc w:val="both"/>
        <w:rPr>
          <w:rFonts w:ascii="Arial" w:hAnsi="Arial"/>
        </w:rPr>
      </w:pPr>
      <w:r>
        <w:rPr>
          <w:rFonts w:ascii="Arial" w:hAnsi="Arial"/>
        </w:rPr>
        <w:t>O presente trabalho analisa a xenofobia direcionada a pessoas de origem asiática no Brasil, com enfoque na ausência de precedentes judiciais es</w:t>
      </w:r>
      <w:bookmarkStart w:id="46" w:name="_GoBack_Copia_14"/>
      <w:bookmarkEnd w:id="46"/>
      <w:r>
        <w:rPr>
          <w:rFonts w:ascii="Arial" w:hAnsi="Arial"/>
        </w:rPr>
        <w:t>pecíficos sobre o tema no período recente. A pesquisa busca compreender como esse fenômeno se manifesta no contexto social e jurídico brasileiro, bem como examinar os limites do ordenamento jurídico nacional na identificação e repressão de práticas discriminatórias direcionadas a esse grupo. Nesse contexto, formula-se a seguinte problemática: quais são as consequências jurídicas da ausência de precedentes judiciais específicos sobre xenofobia contra asiáticos no Brasil? O objetivo geral consiste em investigar de que forma o sistema jurídico brasileiro tem tratado manifestações de discriminação que podem ser classificadas como xenofobia contra asiáticos, além de analisar os impactos decorrentes da escassez de decisões judiciais sobre o tema. Entre os objetivos específicos estão a análise do conceito de xenofobia e suas distinções em relação ao racismo e à discriminação, o exame da aplicação da legislação antidiscriminatórias no Brasil e a verificação da existência ou ausência de precedentes judiciais relacionados ao tema. A metodologia adotada baseia-se em pesquisa bibliográfica, legislativa e jurisprudencial, com análise de doutrina especializada, da legislação constitucional e infraconstitucional e de decisões judiciais disponíveis nos bancos de dados do Supremo Tribunal Federal e do Superior Tribunal de Justiça entre 2019 e a atualidade. Os resultados indicam que, embora existam instrumentos normativos voltados ao combate à discriminação, ainda há lacunas na identificação e no reconhecimento jurídico da xenofobia contra asiáticos no país.</w:t>
      </w:r>
    </w:p>
    <w:p w:rsidR="009D60B7" w:rsidRDefault="009D60B7">
      <w:pPr>
        <w:pStyle w:val="Corpodetexto"/>
        <w:spacing w:line="360" w:lineRule="auto"/>
        <w:jc w:val="both"/>
        <w:rPr>
          <w:rFonts w:ascii="Arial" w:hAnsi="Arial"/>
        </w:rPr>
      </w:pPr>
    </w:p>
    <w:p w:rsidR="009D60B7" w:rsidRDefault="00641807">
      <w:pPr>
        <w:spacing w:line="360" w:lineRule="auto"/>
        <w:jc w:val="both"/>
        <w:rPr>
          <w:rFonts w:ascii="Arial" w:hAnsi="Arial"/>
          <w:sz w:val="20"/>
          <w:szCs w:val="20"/>
        </w:rPr>
      </w:pPr>
      <w:r>
        <w:rPr>
          <w:rFonts w:ascii="Arial" w:hAnsi="Arial"/>
          <w:b/>
          <w:spacing w:val="-2"/>
          <w:sz w:val="20"/>
          <w:szCs w:val="20"/>
        </w:rPr>
        <w:t>PALAVRAS-CHAVE</w:t>
      </w:r>
      <w:r w:rsidR="00425C09">
        <w:rPr>
          <w:rFonts w:ascii="Arial" w:hAnsi="Arial"/>
          <w:b/>
          <w:spacing w:val="-2"/>
          <w:sz w:val="20"/>
          <w:szCs w:val="20"/>
        </w:rPr>
        <w:t>:</w:t>
      </w:r>
      <w:r w:rsidR="00425C09">
        <w:rPr>
          <w:rFonts w:ascii="Arial" w:hAnsi="Arial"/>
          <w:b/>
          <w:spacing w:val="-1"/>
          <w:sz w:val="20"/>
          <w:szCs w:val="20"/>
        </w:rPr>
        <w:t xml:space="preserve"> </w:t>
      </w:r>
      <w:r w:rsidR="00425C09">
        <w:rPr>
          <w:rFonts w:ascii="Arial" w:hAnsi="Arial"/>
          <w:spacing w:val="-2"/>
          <w:sz w:val="20"/>
          <w:szCs w:val="20"/>
        </w:rPr>
        <w:t>Xenofobia. Discriminação. Asiáticos. Jurisprudência. Direito brasileiro.</w:t>
      </w:r>
    </w:p>
    <w:p w:rsidR="009D60B7" w:rsidRDefault="009D60B7">
      <w:pPr>
        <w:pStyle w:val="Corpodetexto"/>
        <w:spacing w:line="360" w:lineRule="auto"/>
        <w:jc w:val="both"/>
        <w:rPr>
          <w:rFonts w:ascii="Arial" w:hAnsi="Arial" w:cs="Arial"/>
        </w:rPr>
      </w:pPr>
    </w:p>
    <w:p w:rsidR="009D60B7" w:rsidRDefault="00425C09">
      <w:pPr>
        <w:pStyle w:val="Ttulo2"/>
        <w:spacing w:line="360" w:lineRule="auto"/>
        <w:ind w:left="0"/>
        <w:jc w:val="both"/>
        <w:rPr>
          <w:rFonts w:ascii="Arial" w:hAnsi="Arial" w:cs="Arial"/>
          <w:b/>
          <w:sz w:val="24"/>
          <w:szCs w:val="24"/>
        </w:rPr>
      </w:pPr>
      <w:bookmarkStart w:id="47" w:name="INTRODUÇÃO___Copia_1"/>
      <w:bookmarkEnd w:id="47"/>
      <w:r>
        <w:rPr>
          <w:rFonts w:ascii="Arial" w:hAnsi="Arial"/>
          <w:spacing w:val="-2"/>
          <w:sz w:val="24"/>
          <w:szCs w:val="24"/>
        </w:rPr>
        <w:t>INTRODUÇÃO</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A xenofobia constitui uma forma de discriminação caracterizada pela rejeição ou hostilidade direcionada a pessoas percebidas como estrangeiras ou pertencentes a grupos considerados externos à comunidade nacional. Embora frequentemente associada a contextos migratórios, esse fenômeno também pode se manifestar contra indivíduos que, mesmo plenamente integrados à sociedade, continuam sendo percebidos como estrangeiros em razão de sua origem étnica ou cultural (Guimarães, 1999).</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 xml:space="preserve">No contexto contemporâneo, a xenofobia tem sido objeto de crescente atenção nos debates acadêmicos e jurídicos, especialmente diante da ampliação de discursos </w:t>
      </w:r>
      <w:r>
        <w:rPr>
          <w:rFonts w:ascii="Arial" w:hAnsi="Arial"/>
          <w:sz w:val="24"/>
          <w:szCs w:val="24"/>
          <w:lang w:val="pt-BR"/>
        </w:rPr>
        <w:lastRenderedPageBreak/>
        <w:t>discriminatórios e manifestações de intolerância em diferentes partes do mundo. Entre os grupos que frequentemente enfrentam esse tipo de discriminação estão as pessoas de origem asiática, historicamente associadas a estereótipos sociais e representações culturais que reforçam a ideia de estrangeiridade permanente (Ribeiro, 2022).</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No Brasil, apesar da longa presença de comunidades asiáticas e de sua relevante contribuição para o desenvolvimento econômico, social e cultural do país, ainda podem ser observadas manifestações de preconceito e estigmatização direcionadas a indivíduos de ascendência asiática. Entretanto, quando se analisa o campo jurídico, percebe-se a existência de uma escassez de decisões judiciais que reconheçam explicitamente situações de xenofobia contra esse grupo, o que evidencia possíveis limites na forma como o ordenamento jurídico brasileiro identifica e enfrenta esse tipo específico de discriminação.</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Diante desse cenário, coloca-se a seguinte problemática: quais são as implicações jurídicas da ausência de precedentes judiciais que reconheçam explicitamente a xenofobia contra pessoas de origem asiática no Brasil? Busca-se compreender de que maneira o sistema jurídico brasileiro tem tratado práticas discriminatórias relacionadas à origem nacional ou étnica, bem como analisar os desafios interpretativos que decorrem da escassez de decisões judiciais voltadas especificamente ao reconhecimento da xenofobia direcionada a esse grupo.</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A metodologia adotada baseia-se em pesquisa bibliográfica, legislativa e jurisprudencial, com análise de doutrina especializada, normas constitucionais e infraconstitucionais e decisões judiciais disponíveis nos bancos de dados do Supremo Tribunal Federal e do Superior Tribunal de Justiça, referentes ao período compreendido entre 2019 e a atualidade.</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O trabalho está estruturado em três seções principais. A primeira aborda os fundamentos conceituais da xenofobia, distinguindo esse fenômeno de outras formas de discriminação e examinando sua manifestação no contexto social e jurídico brasileiro. A segunda seção apresenta uma análise da jurisprudência brasileira relacionada à discriminação racial e à aplicação da legislação antidiscriminatória. Por fim, a terceira seção discute a ausência de precedentes judiciais específicos sobre xenofobia contra asiáticos e as implicações jurídicas decorrentes dessa lacuna.</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 xml:space="preserve">A relevância da presente pesquisa reside na necessidade de ampliar o debate jurídico sobre formas de discriminação que permanecem pouco visíveis no campo jurisprudencial brasileiro. A identificação dessas lacunas contribui para o </w:t>
      </w:r>
      <w:r>
        <w:rPr>
          <w:rFonts w:ascii="Arial" w:hAnsi="Arial"/>
          <w:sz w:val="24"/>
          <w:szCs w:val="24"/>
          <w:lang w:val="pt-BR"/>
        </w:rPr>
        <w:lastRenderedPageBreak/>
        <w:t>desenvolvimento de interpretações jurídicas mais sensíveis às diversas manifestações de desigualdade presentes na sociedade contemporânea.</w:t>
      </w:r>
    </w:p>
    <w:p w:rsidR="009D60B7" w:rsidRDefault="00425C09">
      <w:pPr>
        <w:pStyle w:val="Corpodetexto"/>
        <w:spacing w:line="360" w:lineRule="auto"/>
        <w:ind w:firstLine="705"/>
        <w:jc w:val="both"/>
        <w:rPr>
          <w:rFonts w:ascii="Arial" w:hAnsi="Arial"/>
          <w:sz w:val="24"/>
          <w:szCs w:val="24"/>
          <w:lang w:val="pt-BR"/>
        </w:rPr>
      </w:pPr>
      <w:r>
        <w:rPr>
          <w:rFonts w:ascii="Arial" w:hAnsi="Arial"/>
          <w:sz w:val="24"/>
          <w:szCs w:val="24"/>
          <w:lang w:val="pt-BR"/>
        </w:rPr>
        <w:t xml:space="preserve">A discussão sobre xenofobia no contexto brasileiro torna-se particularmente relevante quando se considera a diversidade étnica e cultural que compõe a sociedade nacional. Embora o Brasil frequentemente seja representado como um país marcado pela convivência entre diferentes grupos culturais, estudos sociológicos demonstram que relações sociais desiguais e práticas discriminatórias continuam presentes em diferentes espaços sociais. </w:t>
      </w:r>
    </w:p>
    <w:p w:rsidR="009D60B7" w:rsidRDefault="00425C09">
      <w:pPr>
        <w:pStyle w:val="Corpodetexto"/>
        <w:spacing w:line="360" w:lineRule="auto"/>
        <w:ind w:firstLine="705"/>
        <w:jc w:val="both"/>
        <w:rPr>
          <w:rFonts w:ascii="Arial" w:hAnsi="Arial"/>
          <w:sz w:val="24"/>
          <w:szCs w:val="24"/>
        </w:rPr>
      </w:pPr>
      <w:r>
        <w:rPr>
          <w:rFonts w:ascii="Arial" w:hAnsi="Arial"/>
          <w:sz w:val="24"/>
          <w:szCs w:val="24"/>
          <w:lang w:val="pt-BR"/>
        </w:rPr>
        <w:t>Nesse cenário, a análise da xenofobia direcionada a pessoas de origem asiática permite problematizar a ideia de harmonia racial frequentemente associada à formação social brasileira, evidenciando como determinadas formas de discriminação podem permanecer invisibilizadas ou pouco debatidas no campo jurídico e acadêmico.</w:t>
      </w:r>
    </w:p>
    <w:p w:rsidR="009D60B7" w:rsidRDefault="009D60B7">
      <w:pPr>
        <w:pStyle w:val="Corpodetexto"/>
        <w:spacing w:line="360" w:lineRule="auto"/>
        <w:jc w:val="both"/>
        <w:rPr>
          <w:rFonts w:ascii="Arial" w:hAnsi="Arial" w:cs="Arial"/>
          <w:sz w:val="24"/>
          <w:szCs w:val="24"/>
        </w:rPr>
      </w:pPr>
    </w:p>
    <w:p w:rsidR="009D60B7" w:rsidRPr="00E05343" w:rsidRDefault="00425C09">
      <w:pPr>
        <w:pStyle w:val="Ttulo2"/>
        <w:tabs>
          <w:tab w:val="left" w:pos="284"/>
        </w:tabs>
        <w:spacing w:line="360" w:lineRule="auto"/>
        <w:ind w:left="0"/>
        <w:jc w:val="both"/>
        <w:rPr>
          <w:rFonts w:ascii="Arial" w:hAnsi="Arial"/>
          <w:sz w:val="24"/>
          <w:szCs w:val="24"/>
          <w:lang w:val="pt-BR"/>
        </w:rPr>
      </w:pPr>
      <w:r w:rsidRPr="00E05343">
        <w:rPr>
          <w:rFonts w:ascii="Arial" w:hAnsi="Arial"/>
          <w:bCs/>
          <w:sz w:val="24"/>
          <w:szCs w:val="24"/>
          <w:lang w:val="pt-BR"/>
        </w:rPr>
        <w:t xml:space="preserve">1 </w:t>
      </w:r>
      <w:r w:rsidRPr="00E05343">
        <w:rPr>
          <w:rFonts w:ascii="Arial" w:hAnsi="Arial"/>
          <w:bCs/>
          <w:sz w:val="24"/>
          <w:szCs w:val="24"/>
        </w:rPr>
        <w:t>XENOFOBIA: FUNDAMENTAÇÃO TEÓRICA E CONCEITUAL</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xenofobia pode ser compreendida como uma forma de discriminação caracterizada pela rejeição ou hostilidade direcionada a indivíduos percebidos como estrangeiros ou pertencentes a grupos considerados externos à identidade social predominante. Esse fenômeno manifesta-se por meio de práticas sociais, discursos e atitudes que reforçam processos de exclusão ou marginalização baseados na origem nacional, cultural ou étnica. Nesse sentido, a xenofobia relaciona-se à construção social da diferença, na qual determinados grupos são percebidos como estranhos ou ameaçadores à identidade coletiva dominante (Almeida, 2019; Munanga, 2003).</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xenofobia pode assumir diferentes formas de manifestação, variando desde atitudes explícitas de hostilidade até práticas mais sutis de exclusão social. Entre essas manifestações encontram-se comentários depreciativos relacionados à origem nacional, estereótipos culturais, discriminação no acesso a oportunidades e até mesmo episódios de violência simbólica ou física. Em muitos casos, tais práticas são naturalizadas no cotidiano social, o que dificulta sua identificação como formas de discriminação. Essa naturalização contribui para a reprodução de estruturas sociais que reforçam a diferenciação entre grupos considerados pertencentes à comunidade nacional e aqueles percebidos como externos a ela (Munanga, 2003).</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 xml:space="preserve">No campo das ciências sociais e jurídicas, a xenofobia frequentemente é analisada em diálogo com outras formas de discriminação, especialmente o racismo. Embora os conceitos possuam distinções teóricas, ambos estão relacionados a estruturas sociais </w:t>
      </w:r>
      <w:r>
        <w:rPr>
          <w:rFonts w:ascii="Arial" w:hAnsi="Arial"/>
          <w:sz w:val="24"/>
          <w:szCs w:val="24"/>
          <w:lang w:val="pt-BR"/>
        </w:rPr>
        <w:lastRenderedPageBreak/>
        <w:t>que produzem desigualdades entre grupos humanos. Nesse sentido, a análise da xenofobia exige a compreensão dos processos históricos e sociais que estruturam essas formas de hierarquização e exclusão, bem como das relações de poder que sustentam práticas discriminatórias em diferentes contextos sociais (Schwarcz, 2019).</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De acordo com Kabengele Munanga (2008), as categorias raciais e étnicas são construções sociais que se consolidaram historicamente como instrumentos de classificação e diferenciação entre grupos humanos. Essas classificações foram utilizadas ao longo do tempo para justificar relações desiguais de poder e legitimar práticas de exclusão. Nesse sentido, o autor observa que:</w:t>
      </w:r>
    </w:p>
    <w:p w:rsidR="009D60B7" w:rsidRDefault="009D60B7">
      <w:pPr>
        <w:pStyle w:val="Corpodetexto"/>
        <w:spacing w:line="360" w:lineRule="auto"/>
        <w:ind w:firstLine="567"/>
        <w:jc w:val="both"/>
        <w:rPr>
          <w:rFonts w:ascii="Arial" w:hAnsi="Arial"/>
          <w:lang w:val="pt-BR"/>
        </w:rPr>
      </w:pPr>
    </w:p>
    <w:p w:rsidR="009D60B7" w:rsidRDefault="00425C09">
      <w:pPr>
        <w:pStyle w:val="Corpodetexto"/>
        <w:ind w:left="2275"/>
        <w:jc w:val="both"/>
        <w:rPr>
          <w:rFonts w:ascii="Arial" w:hAnsi="Arial"/>
        </w:rPr>
      </w:pPr>
      <w:r>
        <w:rPr>
          <w:rFonts w:ascii="Arial" w:hAnsi="Arial"/>
          <w:lang w:val="pt-BR"/>
        </w:rPr>
        <w:t>As diferenças físicas ou culturais entre os grupos humanos foram historicamente transformadas em critérios de hierarquização social, servindo como justificativa para a construção de relações de dominação e exclusão. (Munanga, 2008, p. 45).</w:t>
      </w:r>
    </w:p>
    <w:p w:rsidR="009D60B7" w:rsidRDefault="009D60B7">
      <w:pPr>
        <w:pStyle w:val="Corpodetexto"/>
        <w:spacing w:line="360" w:lineRule="auto"/>
        <w:ind w:firstLine="567"/>
        <w:jc w:val="both"/>
        <w:rPr>
          <w:rFonts w:ascii="Arial" w:hAnsi="Arial"/>
          <w:lang w:val="pt-BR"/>
        </w:rPr>
      </w:pP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partir dessa perspectiva, torna-se possível compreender que práticas discriminatórias não se limitam a comportamentos individuais, mas também estão inseridas em estruturas sociais mais amplas. Conforme argumenta Silvio Almeida (2019), o racismo deve ser analisado como um fenômeno estrutural, presente nas instituições e nas dinâmicas sociais que organizam a distribuição de oportunidades e de reconhecimento social. Nesse sentido, o autor afirma que:</w:t>
      </w:r>
    </w:p>
    <w:p w:rsidR="009D60B7" w:rsidRDefault="009D60B7">
      <w:pPr>
        <w:pStyle w:val="Corpodetexto"/>
        <w:spacing w:line="360" w:lineRule="auto"/>
        <w:ind w:firstLine="567"/>
        <w:jc w:val="both"/>
        <w:rPr>
          <w:rFonts w:ascii="Arial" w:hAnsi="Arial"/>
          <w:lang w:val="pt-BR"/>
        </w:rPr>
      </w:pPr>
    </w:p>
    <w:p w:rsidR="009D60B7" w:rsidRDefault="00425C09">
      <w:pPr>
        <w:pStyle w:val="Corpodetexto"/>
        <w:ind w:left="2275"/>
        <w:jc w:val="both"/>
        <w:rPr>
          <w:rFonts w:ascii="Arial" w:hAnsi="Arial"/>
        </w:rPr>
      </w:pPr>
      <w:r>
        <w:rPr>
          <w:rFonts w:ascii="Arial" w:hAnsi="Arial"/>
          <w:lang w:val="pt-BR"/>
        </w:rPr>
        <w:t>O racismo é uma forma sistemática de discriminação que tem a raça como fundamento e que se manifesta por meio de práticas conscientes ou inconscientes que resultam em desvantagens ou privilégios para indivíduos a depender do grupo racial ao qual pertencem.</w:t>
      </w:r>
      <w:r>
        <w:rPr>
          <w:rFonts w:ascii="Arial" w:hAnsi="Arial"/>
          <w:lang w:val="pt-BR"/>
        </w:rPr>
        <w:br/>
        <w:t>(Almeida, 2019, p. 32).</w:t>
      </w:r>
    </w:p>
    <w:p w:rsidR="009D60B7" w:rsidRDefault="009D60B7">
      <w:pPr>
        <w:pStyle w:val="Corpodetexto"/>
        <w:spacing w:line="360" w:lineRule="auto"/>
        <w:ind w:firstLine="567"/>
        <w:jc w:val="both"/>
        <w:rPr>
          <w:rFonts w:ascii="Arial" w:hAnsi="Arial"/>
          <w:lang w:val="pt-BR"/>
        </w:rPr>
      </w:pP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Ainda que o conceito de racismo esteja frequentemente associado à discriminação racial propriamente dita, sua lógica estrutural também permite compreender outras formas de preconceito relacionadas à origem cultural ou nacional. A xenofobia, nesse contexto, pode ser entendida como manifestação de processos semelhantes de exclusão e de construção da alteridade.</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análise da sociedade brasileira também contribui para compreender como essas dinâmicas de classificação social se consolidaram historicamente. Segundo Lilia Moritz Schwarcz (2019), o pensamento racial desenvolvido no Brasil entre os séculos XIX e XX influenciou profundamente a construção de representações sociais acerca das diferenças entre grupos humanos. Conforme observa a autora:</w:t>
      </w:r>
    </w:p>
    <w:p w:rsidR="009D60B7" w:rsidRDefault="009D60B7">
      <w:pPr>
        <w:pStyle w:val="Corpodetexto"/>
        <w:spacing w:line="360" w:lineRule="auto"/>
        <w:ind w:firstLine="567"/>
        <w:jc w:val="both"/>
        <w:rPr>
          <w:rFonts w:ascii="Arial" w:hAnsi="Arial"/>
          <w:lang w:val="pt-BR"/>
        </w:rPr>
      </w:pPr>
    </w:p>
    <w:p w:rsidR="009D60B7" w:rsidRDefault="00425C09">
      <w:pPr>
        <w:pStyle w:val="Corpodetexto"/>
        <w:ind w:left="2275"/>
        <w:jc w:val="both"/>
        <w:rPr>
          <w:rFonts w:ascii="Arial" w:hAnsi="Arial"/>
        </w:rPr>
      </w:pPr>
      <w:r>
        <w:rPr>
          <w:rFonts w:ascii="Arial" w:hAnsi="Arial"/>
          <w:lang w:val="pt-BR"/>
        </w:rPr>
        <w:lastRenderedPageBreak/>
        <w:t>A elaboração de teorias raciais no Brasil esteve associada à tentativa de explicar as diferenças sociais por meio de argumentos biológicos e culturais, contribuindo para a consolidação de hierarquias entre os grupos que compunham a sociedade. (Schwarcz, 1993, p. 21).</w:t>
      </w:r>
    </w:p>
    <w:p w:rsidR="009D60B7" w:rsidRDefault="009D60B7">
      <w:pPr>
        <w:pStyle w:val="Corpodetexto"/>
        <w:spacing w:line="360" w:lineRule="auto"/>
        <w:ind w:firstLine="567"/>
        <w:jc w:val="both"/>
        <w:rPr>
          <w:rFonts w:ascii="Arial" w:hAnsi="Arial"/>
          <w:lang w:val="pt-BR"/>
        </w:rPr>
      </w:pP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No plano jurídico, o enfrentamento dessas práticas encontra fundamento nos princípios constitucionais da igualdade e da dignidade da pessoa humana, previstos na Constituição da República Federativa do Brasil de 1988. A Constituição estabelece que todos são iguais perante a lei, vedando qualquer forma de discriminação (Brasil, 1988, online).</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Além disso, o ordenamento jurídico brasileiro prevê instrumentos específicos para a repressão dessas condutas. Destaca-se a Lei nº 7.716 de 1989, que define os crimes resultantes de preconceito de raça, cor, etnia, religião ou procedência nacional, representando um importante mecanismo jurídico de combate às práticas discriminatórias (Brasil, 1989, online).</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compreensão conceitual da xenofobia, portanto, constitui etapa fundamental para a análise das formas pelas quais o direito brasileiro tem enfrentado práticas discriminatórias relacionadas à origem ou pertencimento cultural. Contudo, a análise desse fenômeno também exige considerar o papel da linguagem na produção e circulação de sentidos que sustentam processos de exclusão social. Nesse sentido, abordagens provenientes da Linguística Aplicada crítica contribuem para compreender como práticas discursivas participam da construção simbólica da alteridade e da legitimação de desigualdades.</w:t>
      </w:r>
    </w:p>
    <w:p w:rsidR="009D60B7" w:rsidRDefault="009D60B7">
      <w:pPr>
        <w:pStyle w:val="Corpodetexto"/>
        <w:spacing w:line="360" w:lineRule="auto"/>
        <w:jc w:val="both"/>
        <w:rPr>
          <w:rFonts w:ascii="Arial" w:hAnsi="Arial"/>
          <w:sz w:val="24"/>
          <w:szCs w:val="24"/>
          <w:lang w:val="pt-BR"/>
        </w:rPr>
      </w:pPr>
    </w:p>
    <w:p w:rsidR="009D60B7" w:rsidRDefault="00E05343">
      <w:pPr>
        <w:pStyle w:val="Corpodetexto"/>
        <w:spacing w:line="360" w:lineRule="auto"/>
        <w:jc w:val="both"/>
        <w:rPr>
          <w:rFonts w:ascii="Arial" w:hAnsi="Arial"/>
          <w:sz w:val="24"/>
          <w:szCs w:val="24"/>
          <w:lang w:val="pt-BR"/>
        </w:rPr>
      </w:pPr>
      <w:r>
        <w:rPr>
          <w:rFonts w:ascii="Arial" w:hAnsi="Arial"/>
          <w:sz w:val="24"/>
          <w:szCs w:val="24"/>
          <w:lang w:val="pt-BR"/>
        </w:rPr>
        <w:t>1</w:t>
      </w:r>
      <w:r w:rsidR="00425C09">
        <w:rPr>
          <w:rFonts w:ascii="Arial" w:hAnsi="Arial"/>
          <w:sz w:val="24"/>
          <w:szCs w:val="24"/>
          <w:lang w:val="pt-BR"/>
        </w:rPr>
        <w:t>.1 Linguagem, discurso e construção da Xenofobia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A Linguística Aplicada, especialmente em sua vertente crítica, compreende a linguagem para além de sua dimensão meramente estrutural. Nesse campo de estudos, a linguagem é entendida como prática social, implicada na produção de sentidos, identidades e relações de poder. Ao deslocar o foco da língua como sistema para a linguagem em uso, a área passa a se dedicar à análise de problemas socialmente relevantes, investigando de que maneira práticas discursivas participam da construção da realidade social.</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Nessa perspectiva, conforme observa Moita Lopes (2006), a linguagem não pode ser considerada um instrumento neutro de comunicação. Trata-se de uma dimensão constitutiva da vida social, na qual sentidos são produzidos, disputados e naturalizados. É nesse processo que se formam categorias de pertencimento e exclusão, influenciando </w:t>
      </w:r>
      <w:r>
        <w:rPr>
          <w:rFonts w:ascii="Arial" w:hAnsi="Arial"/>
          <w:sz w:val="24"/>
          <w:szCs w:val="24"/>
        </w:rPr>
        <w:lastRenderedPageBreak/>
        <w:t>diretamente as formas pelas quais determinados sujeitos são reconhecidos ou marginalizados no espaço social.</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A partir desse enquadramento, a xenofobia pode ser compreendida também como fenômeno discursivo e ideológico. Ela se manifesta por meio de práticas linguísticas situadas historicamente, que constroem determinadas representações sobre o estrangeiro. Mais do que uma atitude individual de rejeição, a xenofobia envolve um processo de produção simbólica no qual o “outro” é representado como ameaça, inadequação ou não pertencimento (Lopes, 2006).</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Nesse sentido, a linguagem não apenas expressa preconceitos previamente existentes, mas contribui para a própria formação das categorias sociais que sustentam a exclusão. A xenofobia, portanto, não se inicia apenas no ato discriminatório, mas na construção simbólica que delimita quem pode ou não ser reconhecido como parte legítima da coletividade </w:t>
      </w:r>
      <w:r>
        <w:rPr>
          <w:rFonts w:ascii="Arial" w:hAnsi="Arial"/>
          <w:sz w:val="24"/>
          <w:szCs w:val="24"/>
          <w:lang w:val="pt-BR"/>
        </w:rPr>
        <w:t>(Almeida, 2019).</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No contexto brasileiro, essa dinâmica relaciona-se ao conceito de estrangeiridade, entendido não apenas como condição jurídica ou geográfica, mas como posição discursiva atribuída a determinados sujeitos. A xenofobia, nesse sentido, não constitui fenômeno isolado ou recente. Trata-se de uma manifestação vinculada a formações discursivas historicamente construídas, que estabelecem fronteiras simbólicas de pertencimento. </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A presença do estrangeiro tensiona tanto a identidade nacional quanto os próprios mecanismos jurídicos de reconhecimento, evidenciando que a inclusão não depende exclusivamente da norma, mas também dos sentidos socialmente produzidos sobre quem pertence ou não à comunidade política. Nesse cenário, a relação com o estrangeiro oscila entre hospitalidade e hostilidade, muitas vezes encoberta pelo chamado mito da cordialidade brasileira, que, conforme aponta Ribeiro (2022), revela-se seletivo e condicionado por marcadores como raça, classe e origem geopolítica.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A xenofobia também se articula a estruturas de poder e à circulação de ideologias naturalizadas no discurso cotidiano. A partir de uma abordagem crítica, a Linguística Aplicada evidencia que práticas discursivas estabelecem fronteiras simbólicas entre “nós” e “eles”, legitimando hierarquias culturais e sociais. Essas estratégias podem aparecer de forma explícita, em discursos abertamente discriminatórios, ou assumir formas mais sutis, frequentemente apresentadas como argumentos técnicos, culturais ou relacionados à segurança. Nessas situações, a exclusão tende a ser apresentada como racionalidade ou proteção social, o que contribui para sua naturalização e dificulta </w:t>
      </w:r>
      <w:r>
        <w:rPr>
          <w:rFonts w:ascii="Arial" w:hAnsi="Arial"/>
          <w:sz w:val="24"/>
          <w:szCs w:val="24"/>
        </w:rPr>
        <w:lastRenderedPageBreak/>
        <w:t>sua problematização. A violência, portanto, não se restringe a atos concretos, mas também se manifesta nos processos simbólicos que estruturam o discurso social.</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No caso da xenofobia direcionada a pessoas de origem asiática no Brasil, observa-se que tais processos discursivos foram intensificados por discursos políticos e midiáticos recentes, que reativaram estereótipos historicamente presentes. A circulação de enunciados que associam sujeitos asiáticos a ameaças sanitárias, culturais ou econômicas evidencia como a diferença pode ser mobilizada discursivamente como critério de exclusão. Esse processo de estranhamento retira desses indivíduos um lugar de reconhecimento positivo no discurso social, expondo-os a práticas discriminatórias que, muitas vezes, são justificadas sob o argumento da liberdade de expressão. Conforme analisa Ribeiro (2022), tais manifestações reiteram um imaginário social que contribui para a desumanização do estrangeiro, revelando a persistência de estruturas simbólicas excludentes.</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Além disso, a xenofobia participa da própria constituição de identidades coletivas. A delimitação do “outro” contribui para reforçar a coesão interna de determinados grupos, evidenciando o caráter relacional das identidades sociais. Nesse processo, diferenças são continuamente produzidas e reafirmadas por meio da linguagem. A ideia de “brasilidade”, frequentemente associada ao acolhimento e à hospitalidade, revela, nesse contexto, certas contradições, ao conviver com práticas sociais que reproduzem exclusões. A análise da xenofobia a partir da Linguística Aplicada permite, portanto, compreender como práticas discursivas aparentemente neutras participam da manutenção de desigualdades e de fronteiras simbólicas de pertencimento (Munanga, 2003).</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Para o campo jurídico, essa perspectiva implica reconhecer que a xenofobia não pode ser tratada apenas como conduta individual sujeita à sanção penal ou civil. Trata-se também de um fenômeno que se constitui em práticas discursivas que produzem e legitimam desigualdades. Isso exige ampliar o olhar jurídico, considerando que a violência não se inicia apenas na ação concreta, mas na produção de sentidos que a antecede e a sustenta. </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A análise discursiva das práticas xenofóbicas permite compreender que a linguagem desempenha papel central na construção de percepções sociais sobre determinados grupos. Expressões aparentemente banais, piadas ou comentários cotidianos podem funcionar como mecanismos de reprodução de estereótipos e de reforço de fronteiras simbólicas entre diferentes coletividades. Nesse sentido, a </w:t>
      </w:r>
      <w:r>
        <w:rPr>
          <w:rFonts w:ascii="Arial" w:hAnsi="Arial"/>
          <w:sz w:val="24"/>
          <w:szCs w:val="24"/>
        </w:rPr>
        <w:lastRenderedPageBreak/>
        <w:t>linguagem não apenas reflete relações sociais existentes, mas também participa ativamente da produção e manutenção dessas relações. A investigação das práticas discursivas torna-se, portanto, fundamental para compreender como determinadas formas de preconceito se consolidam e se perpetuam no imaginário social (Munanga, 2003).</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Episódios de hostilidade direcionados a pessoas de origem asiática tornaram-se mais visíveis em diferentes contextos sociais durante o período da pandemia de Covid-19. Nesse cenário, discursos que associavam indivíduos asiáticos à disseminação do vírus passaram a circular com maior intensidade em redes sociais, meios de comunicação e interações cotidianas. Tais manifestações evidenciam como determinados imaginários sociais podem ser mobilizados discursivamente para reforçar processos de exclusão e estigmatização.</w:t>
      </w:r>
    </w:p>
    <w:p w:rsidR="009D60B7" w:rsidRDefault="00425C09">
      <w:pPr>
        <w:pStyle w:val="Corpodetexto"/>
        <w:spacing w:line="360" w:lineRule="auto"/>
        <w:ind w:firstLine="567"/>
        <w:jc w:val="both"/>
        <w:rPr>
          <w:rFonts w:ascii="Arial" w:hAnsi="Arial"/>
        </w:rPr>
      </w:pPr>
      <w:r>
        <w:rPr>
          <w:rFonts w:ascii="Arial" w:hAnsi="Arial"/>
          <w:sz w:val="24"/>
          <w:szCs w:val="24"/>
        </w:rPr>
        <w:t>Dessa forma, a análise das práticas discursivas permite compreender como determinadas formas de discriminação podem permanecer invisibilizadas no campo jurídico, o que contribui para explicar a escassez de precedentes judiciais sobre xenofobia contra asiáticos no Brasil.</w:t>
      </w:r>
    </w:p>
    <w:p w:rsidR="009D60B7" w:rsidRDefault="009D60B7">
      <w:pPr>
        <w:pStyle w:val="Corpodetexto"/>
        <w:spacing w:line="360" w:lineRule="auto"/>
        <w:jc w:val="both"/>
        <w:rPr>
          <w:rFonts w:ascii="Arial" w:hAnsi="Arial" w:cs="Arial"/>
        </w:rPr>
      </w:pPr>
    </w:p>
    <w:p w:rsidR="009D60B7" w:rsidRPr="00E05343" w:rsidRDefault="00425C09">
      <w:pPr>
        <w:pStyle w:val="Ttulo2"/>
        <w:tabs>
          <w:tab w:val="left" w:pos="284"/>
        </w:tabs>
        <w:spacing w:line="360" w:lineRule="auto"/>
        <w:ind w:left="0" w:right="161"/>
        <w:jc w:val="both"/>
        <w:rPr>
          <w:rFonts w:ascii="Arial" w:hAnsi="Arial"/>
          <w:sz w:val="24"/>
          <w:szCs w:val="24"/>
          <w:lang w:val="pt-BR"/>
        </w:rPr>
      </w:pPr>
      <w:r w:rsidRPr="00E05343">
        <w:rPr>
          <w:rFonts w:ascii="Arial" w:hAnsi="Arial"/>
          <w:bCs/>
          <w:sz w:val="20"/>
          <w:szCs w:val="20"/>
          <w:lang w:val="pt-BR"/>
        </w:rPr>
        <w:t>2</w:t>
      </w:r>
      <w:r w:rsidRPr="00E05343">
        <w:rPr>
          <w:rFonts w:ascii="Arial" w:hAnsi="Arial"/>
          <w:bCs/>
          <w:sz w:val="24"/>
          <w:szCs w:val="24"/>
          <w:lang w:val="pt-BR"/>
        </w:rPr>
        <w:t xml:space="preserve"> </w:t>
      </w:r>
      <w:r w:rsidRPr="00E05343">
        <w:rPr>
          <w:rFonts w:ascii="Arial" w:hAnsi="Arial"/>
          <w:bCs/>
          <w:sz w:val="24"/>
          <w:szCs w:val="24"/>
        </w:rPr>
        <w:t>ANÁLISE DA JURISPRUDÊNCIA BRASILEIRA SOBRE DISCRIMINAÇÃO (2019–ATUAL)</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análise da jurisprudência brasileira constitui instrumento relevante para compreender de que forma o Poder Judiciário tem interpretado e aplicado os dispositivos jurídicos destinados à proteção da igualdade e ao combate às práticas discriminatórias. Nos últimos anos, observa-se um aumento do debate jurídico acerca da necessidade de fortalecimento dos mecanismos institucionais de enfrentamento ao preconceito.</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No ordenamento jurídico brasileiro, a proteção contra práticas discriminatórias encontra fundamento, inicialmente, na Constituição da República Federativa do Brasil de 1988, que consagra a igualdade como princípio fundamental do Estado Democrático de Direito. O texto constitucional estabelece que todos são iguais perante a lei, sem distinção de qualquer natureza, além de reconhecer o racismo como crime inafiançável e imprescritível (Brasil, 1988, online).</w:t>
      </w:r>
    </w:p>
    <w:p w:rsidR="009D60B7" w:rsidRDefault="00425C09">
      <w:pPr>
        <w:pStyle w:val="Corpodetexto"/>
        <w:spacing w:line="360" w:lineRule="auto"/>
        <w:ind w:firstLine="567"/>
        <w:jc w:val="both"/>
        <w:rPr>
          <w:rFonts w:ascii="Arial" w:hAnsi="Arial"/>
        </w:rPr>
      </w:pPr>
      <w:r>
        <w:rPr>
          <w:rFonts w:ascii="Arial" w:hAnsi="Arial"/>
          <w:sz w:val="24"/>
          <w:szCs w:val="24"/>
          <w:lang w:val="pt-BR"/>
        </w:rPr>
        <w:t>Nesse sentido, destaca Joaquim Barbosa (2001) que o princípio constitucional da igualdade não deve ser compreendido apenas como igualdade formal, mas também como instrumento destinado à promoção da igualdade material entre os indivíduos.Segundo o autor:</w:t>
      </w:r>
    </w:p>
    <w:p w:rsidR="009D60B7" w:rsidRDefault="009D60B7">
      <w:pPr>
        <w:pStyle w:val="Corpodetexto"/>
        <w:spacing w:line="360" w:lineRule="auto"/>
        <w:ind w:firstLine="567"/>
        <w:jc w:val="both"/>
        <w:rPr>
          <w:rFonts w:ascii="Arial" w:hAnsi="Arial"/>
          <w:lang w:val="pt-BR"/>
        </w:rPr>
      </w:pPr>
    </w:p>
    <w:p w:rsidR="009D60B7" w:rsidRDefault="00425C09">
      <w:pPr>
        <w:pStyle w:val="Corpodetexto"/>
        <w:ind w:left="2275"/>
        <w:jc w:val="both"/>
        <w:rPr>
          <w:rFonts w:ascii="Arial" w:hAnsi="Arial"/>
        </w:rPr>
      </w:pPr>
      <w:r>
        <w:rPr>
          <w:rFonts w:ascii="Arial" w:hAnsi="Arial"/>
          <w:lang w:val="pt-BR"/>
        </w:rPr>
        <w:lastRenderedPageBreak/>
        <w:t>O princípio constitucional da igualdade não se limita à ideia de tratamento idêntico entre os indivíduos, mas exige do Estado a adoção de medidas capazes de enfrentar situações históricas de desigualdade e discriminação. (Barbosa, 2001, p. 19).</w:t>
      </w:r>
    </w:p>
    <w:p w:rsidR="009D60B7" w:rsidRDefault="009D60B7">
      <w:pPr>
        <w:pStyle w:val="Corpodetexto"/>
        <w:spacing w:line="360" w:lineRule="auto"/>
        <w:ind w:firstLine="567"/>
        <w:jc w:val="both"/>
        <w:rPr>
          <w:rFonts w:ascii="Arial" w:hAnsi="Arial"/>
          <w:lang w:val="pt-BR"/>
        </w:rPr>
      </w:pP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No plano infraconstitucional, destaca-se a Lei nº 7.716 de 1989, responsável por definir os crimes resultantes de preconceito de raça, cor, etnia, religião ou procedência nacional. Essa legislação representa importante instrumento jurídico de combate às práticas discriminatórias, estabelecendo mecanismos de responsabilização penal para condutas motivadas por preconceito.</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interpretação dessa legislação pelos tribunais superiores tem contribuído para o desenvolvimento da jurisprudência brasileira no campo da proteção contra a discriminação. O Supremo Tribunal Federal tem reafirmado, em diferentes julgados, a centralidade do princípio da igualdade e da dignidade da pessoa humana na proteção dos direitos fundamentais.</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Entre as decisões mais relevantes nesse campo destaca-se o julgamento da Ação Direta de Inconstitucionalidade por Omissão nº 26 e do Mandado de Injunção nº 4733, nos quais o Supremo Tribunal Federal reconheceu que a ausência de legislação específica para criminalizar práticas de homofobia e transfobia configurava omissão legislativa incompatível com os princípios constitucionais da igualdade e da dignidade da pessoa humana (Brasil, 2019).</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Nesse julgamento, o tribunal entendeu que as práticas de homofobia e transfobia poderiam ser enquadradas na Lei nº 7.716 de 1989 até que o Congresso Nacional editasse legislação específica sobre o tema. Essa interpretação evidenciou uma ampliação da aplicação das normas antidiscriminatórias no sistema jurídico brasileiro (Brasil, 1989, online).</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O Superior Tribunal de Justiça também tem desempenhado papel relevante na consolidação da jurisprudência relacionada às práticas discriminatórias. O tribunal tem analisado diversos casos envolvendo injúria racial e manifestações ofensivas motivadas por preconceito, estabelecendo parâmetros importantes para a responsabilização penal dessas condutas.</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Nos últimos anos, observa-se ainda uma evolução interpretativa no que se refere à distinção entre o crime de racismo e o crime de injúria racial. Tradicionalmente, a jurisprudência brasileira compreendia o racismo como conduta dirigida contra uma coletividade, enquanto a injúria racial era entendida como ofensa direcionada a uma pessoa específica.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lastRenderedPageBreak/>
        <w:t>Entretanto, decisões mais recentes passaram a reconhecer que manifestações discriminatórias dirigidas a indivíduos também podem reproduzir estruturas sociais mais amplas de preconceito. Conforme observa Adilson Moreira (2019), determinadas manifestações de preconceito são frequentemente naturalizadas no cotidiano social, o que contribui para a sua reprodução e para a dificuldade de identificação dessas práticas como formas de discriminação. De acordo com o autor:</w:t>
      </w:r>
    </w:p>
    <w:p w:rsidR="009D60B7" w:rsidRDefault="009D60B7">
      <w:pPr>
        <w:pStyle w:val="Corpodetexto"/>
        <w:spacing w:line="360" w:lineRule="auto"/>
        <w:ind w:firstLine="567"/>
        <w:jc w:val="both"/>
        <w:rPr>
          <w:rFonts w:ascii="Arial" w:hAnsi="Arial"/>
          <w:lang w:val="pt-BR"/>
        </w:rPr>
      </w:pPr>
    </w:p>
    <w:p w:rsidR="009D60B7" w:rsidRDefault="00425C09">
      <w:pPr>
        <w:pStyle w:val="Corpodetexto"/>
        <w:ind w:left="2275"/>
        <w:jc w:val="both"/>
        <w:rPr>
          <w:rFonts w:ascii="Arial" w:hAnsi="Arial"/>
        </w:rPr>
      </w:pPr>
      <w:r>
        <w:rPr>
          <w:rFonts w:ascii="Arial" w:hAnsi="Arial"/>
          <w:lang w:val="pt-BR"/>
        </w:rPr>
        <w:t>Determinadas manifestações de preconceito são frequentemente tratadas como brincadeiras ou expressões culturais aparentemente inofensivas, quando na realidade reforçam estereótipos e estruturas de desigualdade profundamente enraizadas na sociedade. (Moreira, 2019, p. 41).</w:t>
      </w:r>
    </w:p>
    <w:p w:rsidR="009D60B7" w:rsidRDefault="009D60B7">
      <w:pPr>
        <w:pStyle w:val="Corpodetexto"/>
        <w:spacing w:line="360" w:lineRule="auto"/>
        <w:ind w:firstLine="567"/>
        <w:jc w:val="both"/>
        <w:rPr>
          <w:rFonts w:ascii="Arial" w:hAnsi="Arial"/>
          <w:lang w:val="pt-BR"/>
        </w:rPr>
      </w:pP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evolução da jurisprudência brasileira demonstra um movimento gradual de fortalecimento da proteção jurídica contra práticas discriminatórias. Ainda assim, a análise das decisões judiciais proferidas nos últimos anos revela que a maioria dos casos apreciados pelos tribunais envolve situações de racismo direcionadas principalmente à população negra.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Embora essas decisões representem avanços importantes no combate à discriminação, outras formas de preconceito ainda aparecem de maneira menos evidente no âmbito jurisprudencial. Entre essas situações encontram-se manifestações discriminatórias relacionadas à origem nacional ou à aparência física associada a determinados grupos étnicos (Moreira, 2019).</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 xml:space="preserve">Além disso, observa-se que determinadas práticas discriminatórias podem não ser imediatamente reconhecidas como xenofobia no âmbito jurídico. Em muitas situações, os episódios são tratados como conflitos individuais ou como manifestações isoladas de ofensa, sem que seja considerada a dimensão estrutural ou coletiva do preconceito envolvido. </w:t>
      </w:r>
    </w:p>
    <w:p w:rsidR="009D60B7" w:rsidRDefault="00425C09">
      <w:pPr>
        <w:pStyle w:val="Corpodetexto"/>
        <w:spacing w:line="360" w:lineRule="auto"/>
        <w:ind w:firstLine="567"/>
        <w:jc w:val="both"/>
        <w:rPr>
          <w:rFonts w:ascii="Arial" w:hAnsi="Arial"/>
          <w:sz w:val="24"/>
          <w:szCs w:val="24"/>
        </w:rPr>
      </w:pPr>
      <w:r>
        <w:rPr>
          <w:rFonts w:ascii="Arial" w:hAnsi="Arial"/>
          <w:sz w:val="24"/>
          <w:szCs w:val="24"/>
        </w:rPr>
        <w:t>Esse enquadramento restrito pode contribuir para a invisibilização de determinadas formas de discriminação, especialmente quando os estereótipos sociais que sustentam tais práticas encontram-se profundamente naturalizados no cotidiano. Dessa forma, a ausência de reconhecimento explícito da xenofobia nos processos judiciais pode refletir não apenas lacunas normativas, mas também limitações interpretativas no tratamento dessas questões.</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 xml:space="preserve">Diante desse cenário, torna-se relevante investigar de forma mais específica a presença ou ausência de decisões judiciais relacionadas à xenofobia contra indivíduos de origem asiática no Brasil. Essa análise permite compreender de que maneira o </w:t>
      </w:r>
      <w:r>
        <w:rPr>
          <w:rFonts w:ascii="Arial" w:hAnsi="Arial"/>
          <w:sz w:val="24"/>
          <w:szCs w:val="24"/>
          <w:lang w:val="pt-BR"/>
        </w:rPr>
        <w:lastRenderedPageBreak/>
        <w:t>sistema jurídico brasileiro tem enfrentado essa forma particular de discriminação.</w:t>
      </w:r>
    </w:p>
    <w:p w:rsidR="009D60B7" w:rsidRDefault="009D60B7">
      <w:pPr>
        <w:pStyle w:val="Corpodetexto"/>
        <w:spacing w:line="360" w:lineRule="auto"/>
        <w:jc w:val="both"/>
        <w:rPr>
          <w:rFonts w:ascii="Arial" w:hAnsi="Arial" w:cs="Arial"/>
          <w:sz w:val="24"/>
          <w:szCs w:val="24"/>
        </w:rPr>
      </w:pPr>
    </w:p>
    <w:p w:rsidR="009D60B7" w:rsidRPr="00E05343" w:rsidRDefault="00425C09">
      <w:pPr>
        <w:pStyle w:val="Ttulo2"/>
        <w:tabs>
          <w:tab w:val="left" w:pos="284"/>
          <w:tab w:val="left" w:pos="3828"/>
          <w:tab w:val="left" w:pos="5400"/>
          <w:tab w:val="left" w:pos="6030"/>
          <w:tab w:val="left" w:pos="8025"/>
        </w:tabs>
        <w:spacing w:line="360" w:lineRule="auto"/>
        <w:ind w:left="0"/>
        <w:jc w:val="both"/>
        <w:rPr>
          <w:rFonts w:ascii="Arial" w:hAnsi="Arial" w:cs="Arial"/>
          <w:sz w:val="24"/>
          <w:szCs w:val="24"/>
        </w:rPr>
      </w:pPr>
      <w:r w:rsidRPr="00E05343">
        <w:rPr>
          <w:rFonts w:ascii="Arial" w:hAnsi="Arial"/>
          <w:bCs/>
          <w:spacing w:val="-10"/>
          <w:sz w:val="24"/>
          <w:szCs w:val="24"/>
          <w:lang w:val="pt-BR"/>
        </w:rPr>
        <w:t xml:space="preserve">3 </w:t>
      </w:r>
      <w:r w:rsidRPr="00E05343">
        <w:rPr>
          <w:rFonts w:ascii="Arial" w:hAnsi="Arial"/>
          <w:bCs/>
          <w:spacing w:val="-10"/>
          <w:sz w:val="24"/>
          <w:szCs w:val="24"/>
        </w:rPr>
        <w:t>A LACUNA JURISPRUDENCIAL NO RECONHECIMENTO DA XENOFOBIA CONTRA PESSOAS DE ORIGEM ASIÁTICA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investigação sobre a presença de precedentes judiciais relacionados à xenofobia contra pessoas de origem asiática foi realizada por meio de pesquisa jurisprudencial nos bancos de dados eletrônicos do Supremo Tribunal Federal e do Superior Tribunal de Justiça. A busca foi conduzida mediante a utilização de diferentes palavras-chave relacionadas ao tema, entre elas “xenofobia”, “procedência nacional”, “asiáticos” e “discriminação”. O recorte temporal adotado compreendeu o período entre os anos de 2019 e 2024, com o objetivo de identificar decisões judiciais recentes que abordassem práticas discriminatórias relacionadas à origem nacional ou étnica.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A pesquisa foi realizada diretamente nos sistemas de consulta jurisprudencial disponibilizados pelos tribunais, aplicando-se filtros de período e relevância temática. Após a obtenção dos resultados iniciais, procedeu-se à leitura dos acórdãos e decisões monocráticas a fim de identificar se os casos tratavam efetivamente de situações relacionadas à xenofobia direcionada a pessoas de origem asiática. Foram desconsideradas decisões repetidas, resultados meramente referenciais ou julgados que não apresentavam relação direta com o objeto da pesquisa.</w:t>
      </w:r>
    </w:p>
    <w:p w:rsidR="009D60B7" w:rsidRDefault="00425C09">
      <w:pPr>
        <w:pStyle w:val="Corpodetexto"/>
        <w:spacing w:line="360" w:lineRule="auto"/>
        <w:ind w:firstLine="567"/>
        <w:jc w:val="both"/>
        <w:rPr>
          <w:rFonts w:ascii="Arial" w:hAnsi="Arial"/>
          <w:sz w:val="24"/>
          <w:szCs w:val="24"/>
        </w:rPr>
      </w:pPr>
      <w:r>
        <w:rPr>
          <w:rFonts w:ascii="Arial" w:hAnsi="Arial"/>
          <w:sz w:val="24"/>
          <w:szCs w:val="24"/>
          <w:lang w:val="pt-BR"/>
        </w:rPr>
        <w:t>Os resultados obtidos a partir dessas buscas encontram-se sistematizados no quadro a seguir.</w:t>
      </w:r>
    </w:p>
    <w:p w:rsidR="009D60B7" w:rsidRDefault="009D60B7">
      <w:pPr>
        <w:pStyle w:val="Corpodetexto"/>
        <w:spacing w:line="360" w:lineRule="auto"/>
        <w:jc w:val="both"/>
        <w:rPr>
          <w:rFonts w:ascii="Arial" w:hAnsi="Arial"/>
          <w:lang w:val="pt-BR"/>
        </w:rPr>
      </w:pPr>
    </w:p>
    <w:p w:rsidR="009D60B7" w:rsidRDefault="009D60B7">
      <w:pPr>
        <w:pStyle w:val="Corpodetexto"/>
        <w:spacing w:line="360" w:lineRule="auto"/>
        <w:ind w:firstLine="567"/>
        <w:jc w:val="both"/>
        <w:rPr>
          <w:rFonts w:ascii="Arial" w:hAnsi="Arial"/>
          <w:lang w:val="pt-BR"/>
        </w:rPr>
      </w:pPr>
    </w:p>
    <w:tbl>
      <w:tblPr>
        <w:tblpPr w:leftFromText="141" w:rightFromText="141" w:vertAnchor="text" w:horzAnchor="page" w:tblpX="10951" w:tblpY="-666"/>
        <w:tblOverlap w:val="never"/>
        <w:tblW w:w="111" w:type="dxa"/>
        <w:tblLayout w:type="fixed"/>
        <w:tblCellMar>
          <w:top w:w="15" w:type="dxa"/>
          <w:left w:w="15" w:type="dxa"/>
          <w:bottom w:w="15" w:type="dxa"/>
          <w:right w:w="15" w:type="dxa"/>
        </w:tblCellMar>
        <w:tblLook w:val="04A0" w:firstRow="1" w:lastRow="0" w:firstColumn="1" w:lastColumn="0" w:noHBand="0" w:noVBand="1"/>
      </w:tblPr>
      <w:tblGrid>
        <w:gridCol w:w="111"/>
      </w:tblGrid>
      <w:tr w:rsidR="009D60B7">
        <w:tc>
          <w:tcPr>
            <w:tcW w:w="111" w:type="dxa"/>
            <w:vAlign w:val="center"/>
          </w:tcPr>
          <w:p w:rsidR="009D60B7" w:rsidRDefault="009D60B7">
            <w:pPr>
              <w:pStyle w:val="Corpodetexto"/>
              <w:jc w:val="both"/>
              <w:rPr>
                <w:lang w:val="pt-BR"/>
              </w:rPr>
            </w:pPr>
          </w:p>
        </w:tc>
      </w:tr>
    </w:tbl>
    <w:p w:rsidR="009D60B7" w:rsidRDefault="00425C09">
      <w:pPr>
        <w:pStyle w:val="Corpodetexto"/>
        <w:spacing w:line="360" w:lineRule="auto"/>
        <w:jc w:val="both"/>
        <w:rPr>
          <w:rFonts w:ascii="Arial" w:hAnsi="Arial"/>
        </w:rPr>
      </w:pPr>
      <w:r>
        <w:rPr>
          <w:rFonts w:ascii="Arial" w:hAnsi="Arial"/>
          <w:b/>
          <w:bCs/>
          <w:lang w:val="pt-BR"/>
        </w:rPr>
        <w:t>Quadro 1 – Procedimento de busca jurisprudencial</w:t>
      </w:r>
    </w:p>
    <w:p w:rsidR="009D60B7" w:rsidRDefault="009D60B7">
      <w:pPr>
        <w:pStyle w:val="Corpodetexto"/>
        <w:spacing w:line="360" w:lineRule="auto"/>
        <w:ind w:left="57"/>
        <w:jc w:val="both"/>
        <w:rPr>
          <w:rFonts w:ascii="Arial" w:hAnsi="Arial"/>
          <w:b/>
          <w:bCs/>
          <w:lang w:val="pt-BR"/>
        </w:rPr>
      </w:pPr>
    </w:p>
    <w:tbl>
      <w:tblPr>
        <w:tblStyle w:val="Tabelacomgrade"/>
        <w:tblW w:w="9077" w:type="dxa"/>
        <w:jc w:val="center"/>
        <w:tblLayout w:type="fixed"/>
        <w:tblLook w:val="04A0" w:firstRow="1" w:lastRow="0" w:firstColumn="1" w:lastColumn="0" w:noHBand="0" w:noVBand="1"/>
      </w:tblPr>
      <w:tblGrid>
        <w:gridCol w:w="1132"/>
        <w:gridCol w:w="1660"/>
        <w:gridCol w:w="1177"/>
        <w:gridCol w:w="1340"/>
        <w:gridCol w:w="1546"/>
        <w:gridCol w:w="2222"/>
      </w:tblGrid>
      <w:tr w:rsidR="009D60B7">
        <w:trPr>
          <w:trHeight w:val="20"/>
          <w:jc w:val="center"/>
        </w:trPr>
        <w:tc>
          <w:tcPr>
            <w:tcW w:w="1132" w:type="dxa"/>
            <w:vAlign w:val="center"/>
          </w:tcPr>
          <w:p w:rsidR="009D60B7" w:rsidRDefault="00425C09">
            <w:pPr>
              <w:widowControl/>
              <w:jc w:val="both"/>
              <w:rPr>
                <w:rFonts w:ascii="Arial" w:hAnsi="Arial"/>
                <w:sz w:val="20"/>
                <w:szCs w:val="20"/>
              </w:rPr>
            </w:pPr>
            <w:r>
              <w:rPr>
                <w:rFonts w:ascii="Arial" w:hAnsi="Arial"/>
                <w:b/>
                <w:bCs/>
                <w:sz w:val="20"/>
                <w:szCs w:val="20"/>
              </w:rPr>
              <w:t>Tribunal</w:t>
            </w:r>
          </w:p>
        </w:tc>
        <w:tc>
          <w:tcPr>
            <w:tcW w:w="1660" w:type="dxa"/>
            <w:vAlign w:val="center"/>
          </w:tcPr>
          <w:p w:rsidR="009D60B7" w:rsidRDefault="00425C09">
            <w:pPr>
              <w:pStyle w:val="Corpodetexto"/>
              <w:jc w:val="both"/>
              <w:rPr>
                <w:rFonts w:ascii="Arial" w:hAnsi="Arial"/>
              </w:rPr>
            </w:pPr>
            <w:r>
              <w:rPr>
                <w:rFonts w:ascii="Arial" w:hAnsi="Arial"/>
                <w:b/>
                <w:bCs/>
              </w:rPr>
              <w:t>Palavra-chave utilizada</w:t>
            </w:r>
          </w:p>
        </w:tc>
        <w:tc>
          <w:tcPr>
            <w:tcW w:w="1177" w:type="dxa"/>
            <w:vAlign w:val="center"/>
          </w:tcPr>
          <w:p w:rsidR="009D60B7" w:rsidRDefault="00425C09">
            <w:pPr>
              <w:pStyle w:val="Corpodetexto"/>
              <w:jc w:val="both"/>
              <w:rPr>
                <w:rFonts w:ascii="Arial" w:hAnsi="Arial"/>
              </w:rPr>
            </w:pPr>
            <w:r>
              <w:rPr>
                <w:rFonts w:ascii="Arial" w:hAnsi="Arial"/>
                <w:b/>
                <w:bCs/>
              </w:rPr>
              <w:t>Período analisado</w:t>
            </w:r>
          </w:p>
        </w:tc>
        <w:tc>
          <w:tcPr>
            <w:tcW w:w="1340" w:type="dxa"/>
            <w:vAlign w:val="center"/>
          </w:tcPr>
          <w:p w:rsidR="009D60B7" w:rsidRDefault="00425C09">
            <w:pPr>
              <w:pStyle w:val="Corpodetexto"/>
              <w:jc w:val="both"/>
              <w:rPr>
                <w:rFonts w:ascii="Arial" w:hAnsi="Arial"/>
              </w:rPr>
            </w:pPr>
            <w:r>
              <w:rPr>
                <w:rFonts w:ascii="Arial" w:hAnsi="Arial"/>
                <w:b/>
                <w:bCs/>
              </w:rPr>
              <w:t>Resultados</w:t>
            </w:r>
          </w:p>
        </w:tc>
        <w:tc>
          <w:tcPr>
            <w:tcW w:w="1546" w:type="dxa"/>
            <w:vAlign w:val="center"/>
          </w:tcPr>
          <w:p w:rsidR="009D60B7" w:rsidRDefault="00425C09">
            <w:pPr>
              <w:pStyle w:val="Corpodetexto"/>
              <w:jc w:val="both"/>
              <w:rPr>
                <w:rFonts w:ascii="Arial" w:hAnsi="Arial"/>
              </w:rPr>
            </w:pPr>
            <w:r>
              <w:rPr>
                <w:rFonts w:ascii="Arial" w:hAnsi="Arial"/>
                <w:b/>
                <w:bCs/>
              </w:rPr>
              <w:t>Decisões selecionadas após filtragem</w:t>
            </w:r>
          </w:p>
        </w:tc>
        <w:tc>
          <w:tcPr>
            <w:tcW w:w="2222" w:type="dxa"/>
            <w:vAlign w:val="center"/>
          </w:tcPr>
          <w:p w:rsidR="009D60B7" w:rsidRDefault="00425C09">
            <w:pPr>
              <w:pStyle w:val="Corpodetexto"/>
              <w:jc w:val="both"/>
              <w:rPr>
                <w:rFonts w:ascii="Arial" w:hAnsi="Arial"/>
              </w:rPr>
            </w:pPr>
            <w:r>
              <w:rPr>
                <w:rFonts w:ascii="Arial" w:hAnsi="Arial"/>
                <w:b/>
                <w:bCs/>
              </w:rPr>
              <w:t>Observações</w:t>
            </w:r>
          </w:p>
        </w:tc>
      </w:tr>
      <w:tr w:rsidR="009D60B7">
        <w:trPr>
          <w:trHeight w:val="20"/>
          <w:jc w:val="center"/>
        </w:trPr>
        <w:tc>
          <w:tcPr>
            <w:tcW w:w="1132" w:type="dxa"/>
            <w:vAlign w:val="center"/>
          </w:tcPr>
          <w:p w:rsidR="009D60B7" w:rsidRDefault="00425C09">
            <w:pPr>
              <w:pStyle w:val="Corpodetexto"/>
              <w:jc w:val="both"/>
              <w:rPr>
                <w:rFonts w:ascii="Arial" w:hAnsi="Arial"/>
              </w:rPr>
            </w:pPr>
            <w:r>
              <w:rPr>
                <w:rFonts w:ascii="Arial" w:hAnsi="Arial"/>
                <w:lang w:val="pt-BR"/>
              </w:rPr>
              <w:t>STF</w:t>
            </w:r>
          </w:p>
        </w:tc>
        <w:tc>
          <w:tcPr>
            <w:tcW w:w="1660" w:type="dxa"/>
            <w:vAlign w:val="center"/>
          </w:tcPr>
          <w:p w:rsidR="009D60B7" w:rsidRDefault="00425C09">
            <w:pPr>
              <w:pStyle w:val="Corpodetexto"/>
              <w:jc w:val="both"/>
              <w:rPr>
                <w:rFonts w:ascii="Arial" w:hAnsi="Arial"/>
              </w:rPr>
            </w:pPr>
            <w:r>
              <w:rPr>
                <w:rFonts w:ascii="Arial" w:hAnsi="Arial"/>
              </w:rPr>
              <w:t>“xenofobia”</w:t>
            </w:r>
          </w:p>
        </w:tc>
        <w:tc>
          <w:tcPr>
            <w:tcW w:w="1177" w:type="dxa"/>
            <w:vAlign w:val="center"/>
          </w:tcPr>
          <w:p w:rsidR="009D60B7" w:rsidRDefault="00425C09">
            <w:pPr>
              <w:pStyle w:val="Corpodetexto"/>
              <w:jc w:val="both"/>
              <w:rPr>
                <w:rFonts w:ascii="Arial" w:hAnsi="Arial"/>
              </w:rPr>
            </w:pPr>
            <w:r>
              <w:rPr>
                <w:rFonts w:ascii="Arial" w:hAnsi="Arial"/>
                <w:lang w:val="pt-BR"/>
              </w:rPr>
              <w:t>2019-2024</w:t>
            </w:r>
          </w:p>
        </w:tc>
        <w:tc>
          <w:tcPr>
            <w:tcW w:w="1340" w:type="dxa"/>
            <w:vAlign w:val="center"/>
          </w:tcPr>
          <w:p w:rsidR="009D60B7" w:rsidRDefault="00425C09">
            <w:pPr>
              <w:pStyle w:val="Corpodetexto"/>
              <w:jc w:val="both"/>
              <w:rPr>
                <w:rFonts w:ascii="Arial" w:hAnsi="Arial"/>
              </w:rPr>
            </w:pPr>
            <w:r>
              <w:rPr>
                <w:rFonts w:ascii="Arial" w:hAnsi="Arial"/>
                <w:b/>
                <w:bCs/>
                <w:lang w:val="pt-BR"/>
              </w:rPr>
              <w:t>-</w:t>
            </w:r>
          </w:p>
        </w:tc>
        <w:tc>
          <w:tcPr>
            <w:tcW w:w="1546" w:type="dxa"/>
            <w:vAlign w:val="center"/>
          </w:tcPr>
          <w:p w:rsidR="009D60B7" w:rsidRDefault="00425C09">
            <w:pPr>
              <w:pStyle w:val="Corpodetexto"/>
              <w:jc w:val="both"/>
              <w:rPr>
                <w:rFonts w:ascii="Arial" w:hAnsi="Arial"/>
              </w:rPr>
            </w:pPr>
            <w:r>
              <w:rPr>
                <w:rFonts w:ascii="Arial" w:hAnsi="Arial"/>
                <w:b/>
                <w:bCs/>
                <w:lang w:val="pt-BR"/>
              </w:rPr>
              <w:t>-</w:t>
            </w:r>
          </w:p>
        </w:tc>
        <w:tc>
          <w:tcPr>
            <w:tcW w:w="2222" w:type="dxa"/>
            <w:vAlign w:val="center"/>
          </w:tcPr>
          <w:p w:rsidR="009D60B7" w:rsidRDefault="00425C09">
            <w:pPr>
              <w:pStyle w:val="Corpodetexto"/>
              <w:jc w:val="both"/>
              <w:rPr>
                <w:rFonts w:ascii="Arial" w:hAnsi="Arial"/>
              </w:rPr>
            </w:pPr>
            <w:r>
              <w:rPr>
                <w:rFonts w:ascii="Arial" w:hAnsi="Arial"/>
                <w:lang w:val="pt-BR"/>
              </w:rPr>
              <w:t>Nenhuma decisão relacionada especificamente a pessoas de origem asiática</w:t>
            </w:r>
          </w:p>
        </w:tc>
      </w:tr>
      <w:tr w:rsidR="009D60B7">
        <w:trPr>
          <w:trHeight w:val="20"/>
          <w:jc w:val="center"/>
        </w:trPr>
        <w:tc>
          <w:tcPr>
            <w:tcW w:w="1132" w:type="dxa"/>
            <w:vAlign w:val="center"/>
          </w:tcPr>
          <w:p w:rsidR="009D60B7" w:rsidRDefault="00425C09">
            <w:pPr>
              <w:pStyle w:val="Corpodetexto"/>
              <w:jc w:val="both"/>
              <w:rPr>
                <w:rFonts w:ascii="Arial" w:hAnsi="Arial"/>
              </w:rPr>
            </w:pPr>
            <w:r>
              <w:rPr>
                <w:rFonts w:ascii="Arial" w:hAnsi="Arial"/>
                <w:lang w:val="pt-BR"/>
              </w:rPr>
              <w:t>STF</w:t>
            </w:r>
          </w:p>
        </w:tc>
        <w:tc>
          <w:tcPr>
            <w:tcW w:w="1660" w:type="dxa"/>
            <w:tcMar>
              <w:top w:w="15" w:type="dxa"/>
              <w:left w:w="15" w:type="dxa"/>
              <w:bottom w:w="15" w:type="dxa"/>
              <w:right w:w="15" w:type="dxa"/>
            </w:tcMar>
            <w:vAlign w:val="center"/>
          </w:tcPr>
          <w:p w:rsidR="009D60B7" w:rsidRDefault="009D60B7">
            <w:pPr>
              <w:pStyle w:val="Corpodetexto"/>
              <w:ind w:firstLine="705"/>
              <w:jc w:val="both"/>
              <w:rPr>
                <w:rFonts w:ascii="Arial" w:hAnsi="Arial"/>
                <w:vanish/>
                <w:lang w:val="pt-BR"/>
              </w:rPr>
            </w:pPr>
          </w:p>
          <w:tbl>
            <w:tblPr>
              <w:tblW w:w="1704" w:type="dxa"/>
              <w:jc w:val="center"/>
              <w:tblLayout w:type="fixed"/>
              <w:tblCellMar>
                <w:top w:w="15" w:type="dxa"/>
                <w:left w:w="15" w:type="dxa"/>
                <w:bottom w:w="15" w:type="dxa"/>
                <w:right w:w="15" w:type="dxa"/>
              </w:tblCellMar>
              <w:tblLook w:val="04A0" w:firstRow="1" w:lastRow="0" w:firstColumn="1" w:lastColumn="0" w:noHBand="0" w:noVBand="1"/>
            </w:tblPr>
            <w:tblGrid>
              <w:gridCol w:w="1704"/>
            </w:tblGrid>
            <w:tr w:rsidR="009D60B7">
              <w:trPr>
                <w:cantSplit/>
                <w:trHeight w:val="397"/>
                <w:jc w:val="center"/>
              </w:trPr>
              <w:tc>
                <w:tcPr>
                  <w:tcW w:w="1704" w:type="dxa"/>
                  <w:tcBorders>
                    <w:top w:val="single" w:sz="4" w:space="0" w:color="000000"/>
                    <w:left w:val="single" w:sz="4" w:space="0" w:color="000000"/>
                    <w:bottom w:val="single" w:sz="4" w:space="0" w:color="000000"/>
                    <w:right w:val="single" w:sz="4" w:space="0" w:color="000000"/>
                  </w:tcBorders>
                </w:tcPr>
                <w:p w:rsidR="009D60B7" w:rsidRDefault="00425C09">
                  <w:pPr>
                    <w:pStyle w:val="Corpodetexto"/>
                    <w:jc w:val="both"/>
                    <w:rPr>
                      <w:rFonts w:ascii="Arial" w:hAnsi="Arial"/>
                    </w:rPr>
                  </w:pPr>
                  <w:r>
                    <w:rPr>
                      <w:rFonts w:ascii="Arial" w:hAnsi="Arial"/>
                      <w:lang w:val="pt-BR"/>
                    </w:rPr>
                    <w:t>“procedência nacional”</w:t>
                  </w:r>
                </w:p>
              </w:tc>
            </w:tr>
          </w:tbl>
          <w:p w:rsidR="009D60B7" w:rsidRDefault="009D60B7">
            <w:pPr>
              <w:pStyle w:val="Corpodetexto"/>
              <w:jc w:val="both"/>
              <w:rPr>
                <w:rFonts w:ascii="Arial" w:hAnsi="Arial"/>
                <w:lang w:val="pt-BR"/>
              </w:rPr>
            </w:pPr>
          </w:p>
        </w:tc>
        <w:tc>
          <w:tcPr>
            <w:tcW w:w="1177" w:type="dxa"/>
            <w:vAlign w:val="center"/>
          </w:tcPr>
          <w:p w:rsidR="009D60B7" w:rsidRDefault="00425C09">
            <w:pPr>
              <w:pStyle w:val="Corpodetexto"/>
              <w:jc w:val="both"/>
              <w:rPr>
                <w:rFonts w:ascii="Arial" w:hAnsi="Arial"/>
              </w:rPr>
            </w:pPr>
            <w:r>
              <w:rPr>
                <w:rFonts w:ascii="Arial" w:hAnsi="Arial"/>
                <w:lang w:val="pt-BR"/>
              </w:rPr>
              <w:t>2019-2024</w:t>
            </w:r>
          </w:p>
        </w:tc>
        <w:tc>
          <w:tcPr>
            <w:tcW w:w="1340" w:type="dxa"/>
            <w:vAlign w:val="center"/>
          </w:tcPr>
          <w:p w:rsidR="009D60B7" w:rsidRDefault="00425C09">
            <w:pPr>
              <w:pStyle w:val="Corpodetexto"/>
              <w:jc w:val="both"/>
              <w:rPr>
                <w:rFonts w:ascii="Arial" w:hAnsi="Arial"/>
              </w:rPr>
            </w:pPr>
            <w:r>
              <w:rPr>
                <w:rFonts w:ascii="Arial" w:hAnsi="Arial"/>
                <w:b/>
                <w:bCs/>
                <w:lang w:val="pt-BR"/>
              </w:rPr>
              <w:t>-</w:t>
            </w:r>
          </w:p>
        </w:tc>
        <w:tc>
          <w:tcPr>
            <w:tcW w:w="1546" w:type="dxa"/>
            <w:vAlign w:val="center"/>
          </w:tcPr>
          <w:p w:rsidR="009D60B7" w:rsidRDefault="00425C09">
            <w:pPr>
              <w:pStyle w:val="Corpodetexto"/>
              <w:jc w:val="both"/>
              <w:rPr>
                <w:rFonts w:ascii="Arial" w:hAnsi="Arial"/>
              </w:rPr>
            </w:pPr>
            <w:r>
              <w:rPr>
                <w:rFonts w:ascii="Arial" w:hAnsi="Arial"/>
                <w:b/>
                <w:bCs/>
                <w:lang w:val="pt-BR"/>
              </w:rPr>
              <w:t>-</w:t>
            </w:r>
          </w:p>
        </w:tc>
        <w:tc>
          <w:tcPr>
            <w:tcW w:w="2222" w:type="dxa"/>
            <w:vAlign w:val="center"/>
          </w:tcPr>
          <w:p w:rsidR="009D60B7" w:rsidRDefault="00425C09">
            <w:pPr>
              <w:pStyle w:val="Corpodetexto"/>
              <w:jc w:val="both"/>
              <w:rPr>
                <w:rFonts w:ascii="Arial" w:hAnsi="Arial"/>
              </w:rPr>
            </w:pPr>
            <w:r>
              <w:rPr>
                <w:rFonts w:ascii="Arial" w:hAnsi="Arial"/>
              </w:rPr>
              <w:t>Resultados majoritariamente relacionados a outras formas de discriminação</w:t>
            </w:r>
          </w:p>
        </w:tc>
      </w:tr>
      <w:tr w:rsidR="009D60B7">
        <w:trPr>
          <w:trHeight w:val="20"/>
          <w:jc w:val="center"/>
        </w:trPr>
        <w:tc>
          <w:tcPr>
            <w:tcW w:w="1132" w:type="dxa"/>
            <w:vAlign w:val="center"/>
          </w:tcPr>
          <w:p w:rsidR="009D60B7" w:rsidRDefault="00425C09">
            <w:pPr>
              <w:pStyle w:val="Corpodetexto"/>
              <w:jc w:val="both"/>
              <w:rPr>
                <w:rFonts w:ascii="Arial" w:hAnsi="Arial"/>
              </w:rPr>
            </w:pPr>
            <w:r>
              <w:rPr>
                <w:rFonts w:ascii="Arial" w:hAnsi="Arial"/>
                <w:lang w:val="pt-BR"/>
              </w:rPr>
              <w:t>STF</w:t>
            </w:r>
          </w:p>
        </w:tc>
        <w:tc>
          <w:tcPr>
            <w:tcW w:w="1660" w:type="dxa"/>
            <w:vAlign w:val="center"/>
          </w:tcPr>
          <w:p w:rsidR="009D60B7" w:rsidRDefault="00425C09">
            <w:pPr>
              <w:pStyle w:val="Corpodetexto"/>
              <w:jc w:val="both"/>
              <w:rPr>
                <w:rFonts w:ascii="Arial" w:hAnsi="Arial"/>
              </w:rPr>
            </w:pPr>
            <w:r>
              <w:rPr>
                <w:rFonts w:ascii="Arial" w:hAnsi="Arial"/>
                <w:lang w:val="pt-BR"/>
              </w:rPr>
              <w:t>“asiáticos”</w:t>
            </w:r>
          </w:p>
        </w:tc>
        <w:tc>
          <w:tcPr>
            <w:tcW w:w="1177" w:type="dxa"/>
            <w:vAlign w:val="center"/>
          </w:tcPr>
          <w:p w:rsidR="009D60B7" w:rsidRDefault="00425C09">
            <w:pPr>
              <w:pStyle w:val="Corpodetexto"/>
              <w:jc w:val="both"/>
              <w:rPr>
                <w:rFonts w:ascii="Arial" w:hAnsi="Arial"/>
              </w:rPr>
            </w:pPr>
            <w:r>
              <w:rPr>
                <w:rFonts w:ascii="Arial" w:hAnsi="Arial"/>
                <w:lang w:val="pt-BR"/>
              </w:rPr>
              <w:t>2019-2024</w:t>
            </w:r>
          </w:p>
        </w:tc>
        <w:tc>
          <w:tcPr>
            <w:tcW w:w="1340" w:type="dxa"/>
            <w:vAlign w:val="center"/>
          </w:tcPr>
          <w:p w:rsidR="009D60B7" w:rsidRDefault="00425C09">
            <w:pPr>
              <w:pStyle w:val="Corpodetexto"/>
              <w:jc w:val="both"/>
              <w:rPr>
                <w:rFonts w:ascii="Arial" w:hAnsi="Arial"/>
              </w:rPr>
            </w:pPr>
            <w:r>
              <w:rPr>
                <w:rFonts w:ascii="Arial" w:hAnsi="Arial"/>
                <w:b/>
                <w:bCs/>
                <w:lang w:val="pt-BR"/>
              </w:rPr>
              <w:t>-</w:t>
            </w:r>
          </w:p>
        </w:tc>
        <w:tc>
          <w:tcPr>
            <w:tcW w:w="1546" w:type="dxa"/>
            <w:vAlign w:val="center"/>
          </w:tcPr>
          <w:p w:rsidR="009D60B7" w:rsidRDefault="00425C09">
            <w:pPr>
              <w:pStyle w:val="Corpodetexto"/>
              <w:jc w:val="both"/>
              <w:rPr>
                <w:rFonts w:ascii="Arial" w:hAnsi="Arial"/>
              </w:rPr>
            </w:pPr>
            <w:r>
              <w:rPr>
                <w:rFonts w:ascii="Arial" w:hAnsi="Arial"/>
                <w:b/>
                <w:bCs/>
                <w:lang w:val="pt-BR"/>
              </w:rPr>
              <w:t>-</w:t>
            </w:r>
          </w:p>
        </w:tc>
        <w:tc>
          <w:tcPr>
            <w:tcW w:w="2222" w:type="dxa"/>
            <w:vAlign w:val="center"/>
          </w:tcPr>
          <w:p w:rsidR="009D60B7" w:rsidRDefault="00425C09">
            <w:pPr>
              <w:pStyle w:val="Corpodetexto"/>
              <w:jc w:val="both"/>
              <w:rPr>
                <w:rFonts w:ascii="Arial" w:hAnsi="Arial"/>
              </w:rPr>
            </w:pPr>
            <w:r>
              <w:rPr>
                <w:rFonts w:ascii="Arial" w:hAnsi="Arial"/>
              </w:rPr>
              <w:t>Não foram identificadas decisões sobre xenofobia contra asiáticos</w:t>
            </w:r>
          </w:p>
        </w:tc>
      </w:tr>
      <w:tr w:rsidR="009D60B7">
        <w:trPr>
          <w:trHeight w:val="20"/>
          <w:jc w:val="center"/>
        </w:trPr>
        <w:tc>
          <w:tcPr>
            <w:tcW w:w="1132" w:type="dxa"/>
            <w:vAlign w:val="center"/>
          </w:tcPr>
          <w:p w:rsidR="009D60B7" w:rsidRDefault="00425C09">
            <w:pPr>
              <w:pStyle w:val="Corpodetexto"/>
              <w:jc w:val="both"/>
              <w:rPr>
                <w:rFonts w:ascii="Arial" w:hAnsi="Arial"/>
              </w:rPr>
            </w:pPr>
            <w:r>
              <w:rPr>
                <w:rFonts w:ascii="Arial" w:hAnsi="Arial"/>
                <w:lang w:val="pt-BR"/>
              </w:rPr>
              <w:lastRenderedPageBreak/>
              <w:t>STJ</w:t>
            </w:r>
          </w:p>
        </w:tc>
        <w:tc>
          <w:tcPr>
            <w:tcW w:w="1660" w:type="dxa"/>
            <w:vAlign w:val="center"/>
          </w:tcPr>
          <w:p w:rsidR="009D60B7" w:rsidRDefault="00425C09">
            <w:pPr>
              <w:pStyle w:val="Corpodetexto"/>
              <w:jc w:val="both"/>
              <w:rPr>
                <w:rFonts w:ascii="Arial" w:hAnsi="Arial"/>
              </w:rPr>
            </w:pPr>
            <w:r>
              <w:rPr>
                <w:rFonts w:ascii="Arial" w:hAnsi="Arial"/>
                <w:lang w:val="pt-BR"/>
              </w:rPr>
              <w:t>“xenofobia”</w:t>
            </w:r>
          </w:p>
        </w:tc>
        <w:tc>
          <w:tcPr>
            <w:tcW w:w="1177" w:type="dxa"/>
            <w:vAlign w:val="center"/>
          </w:tcPr>
          <w:p w:rsidR="009D60B7" w:rsidRDefault="00425C09">
            <w:pPr>
              <w:pStyle w:val="Corpodetexto"/>
              <w:jc w:val="both"/>
              <w:rPr>
                <w:rFonts w:ascii="Arial" w:hAnsi="Arial"/>
              </w:rPr>
            </w:pPr>
            <w:r>
              <w:rPr>
                <w:rFonts w:ascii="Arial" w:hAnsi="Arial"/>
                <w:lang w:val="pt-BR"/>
              </w:rPr>
              <w:t>2019-2024</w:t>
            </w:r>
          </w:p>
        </w:tc>
        <w:tc>
          <w:tcPr>
            <w:tcW w:w="1340" w:type="dxa"/>
            <w:vAlign w:val="center"/>
          </w:tcPr>
          <w:p w:rsidR="009D60B7" w:rsidRDefault="00425C09">
            <w:pPr>
              <w:pStyle w:val="Corpodetexto"/>
              <w:jc w:val="both"/>
              <w:rPr>
                <w:rFonts w:ascii="Arial" w:hAnsi="Arial"/>
              </w:rPr>
            </w:pPr>
            <w:r>
              <w:rPr>
                <w:rFonts w:ascii="Arial" w:hAnsi="Arial"/>
                <w:b/>
                <w:bCs/>
                <w:lang w:val="pt-BR"/>
              </w:rPr>
              <w:t>-</w:t>
            </w:r>
          </w:p>
        </w:tc>
        <w:tc>
          <w:tcPr>
            <w:tcW w:w="1546" w:type="dxa"/>
            <w:vAlign w:val="center"/>
          </w:tcPr>
          <w:p w:rsidR="009D60B7" w:rsidRDefault="00425C09">
            <w:pPr>
              <w:pStyle w:val="Corpodetexto"/>
              <w:jc w:val="both"/>
              <w:rPr>
                <w:rFonts w:ascii="Arial" w:hAnsi="Arial"/>
              </w:rPr>
            </w:pPr>
            <w:r>
              <w:rPr>
                <w:rFonts w:ascii="Arial" w:hAnsi="Arial"/>
                <w:b/>
                <w:bCs/>
                <w:lang w:val="pt-BR"/>
              </w:rPr>
              <w:t>-</w:t>
            </w:r>
          </w:p>
        </w:tc>
        <w:tc>
          <w:tcPr>
            <w:tcW w:w="2222" w:type="dxa"/>
            <w:vAlign w:val="center"/>
          </w:tcPr>
          <w:p w:rsidR="009D60B7" w:rsidRDefault="00425C09">
            <w:pPr>
              <w:pStyle w:val="Corpodetexto"/>
              <w:jc w:val="both"/>
              <w:rPr>
                <w:rFonts w:ascii="Arial" w:hAnsi="Arial"/>
              </w:rPr>
            </w:pPr>
            <w:r>
              <w:rPr>
                <w:rFonts w:ascii="Arial" w:hAnsi="Arial"/>
                <w:lang w:val="pt-BR"/>
              </w:rPr>
              <w:t>Resultados vinculados a discussões gerais sobre discriminação</w:t>
            </w:r>
          </w:p>
        </w:tc>
      </w:tr>
      <w:tr w:rsidR="009D60B7">
        <w:trPr>
          <w:trHeight w:val="20"/>
          <w:jc w:val="center"/>
        </w:trPr>
        <w:tc>
          <w:tcPr>
            <w:tcW w:w="1132" w:type="dxa"/>
            <w:vAlign w:val="center"/>
          </w:tcPr>
          <w:p w:rsidR="009D60B7" w:rsidRDefault="00425C09">
            <w:pPr>
              <w:pStyle w:val="Corpodetexto"/>
              <w:jc w:val="both"/>
              <w:rPr>
                <w:rFonts w:ascii="Arial" w:hAnsi="Arial"/>
              </w:rPr>
            </w:pPr>
            <w:r>
              <w:rPr>
                <w:rFonts w:ascii="Arial" w:hAnsi="Arial"/>
                <w:lang w:val="pt-BR"/>
              </w:rPr>
              <w:t>STJ</w:t>
            </w:r>
          </w:p>
        </w:tc>
        <w:tc>
          <w:tcPr>
            <w:tcW w:w="1660" w:type="dxa"/>
            <w:vAlign w:val="center"/>
          </w:tcPr>
          <w:p w:rsidR="009D60B7" w:rsidRDefault="00425C09">
            <w:pPr>
              <w:pStyle w:val="Corpodetexto"/>
              <w:jc w:val="both"/>
              <w:rPr>
                <w:rFonts w:ascii="Arial" w:hAnsi="Arial"/>
              </w:rPr>
            </w:pPr>
            <w:r>
              <w:rPr>
                <w:rFonts w:ascii="Arial" w:hAnsi="Arial"/>
                <w:lang w:val="pt-BR"/>
              </w:rPr>
              <w:t>“procedência nacional”</w:t>
            </w:r>
          </w:p>
        </w:tc>
        <w:tc>
          <w:tcPr>
            <w:tcW w:w="1177" w:type="dxa"/>
            <w:vAlign w:val="center"/>
          </w:tcPr>
          <w:p w:rsidR="009D60B7" w:rsidRDefault="00425C09">
            <w:pPr>
              <w:pStyle w:val="Corpodetexto"/>
              <w:jc w:val="both"/>
              <w:rPr>
                <w:rFonts w:ascii="Arial" w:hAnsi="Arial"/>
              </w:rPr>
            </w:pPr>
            <w:r>
              <w:rPr>
                <w:rFonts w:ascii="Arial" w:hAnsi="Arial"/>
                <w:lang w:val="pt-BR"/>
              </w:rPr>
              <w:t>2019-2024</w:t>
            </w:r>
          </w:p>
        </w:tc>
        <w:tc>
          <w:tcPr>
            <w:tcW w:w="1340" w:type="dxa"/>
            <w:vAlign w:val="center"/>
          </w:tcPr>
          <w:p w:rsidR="009D60B7" w:rsidRDefault="00425C09">
            <w:pPr>
              <w:pStyle w:val="Corpodetexto"/>
              <w:jc w:val="both"/>
              <w:rPr>
                <w:rFonts w:ascii="Arial" w:hAnsi="Arial"/>
              </w:rPr>
            </w:pPr>
            <w:r>
              <w:rPr>
                <w:rFonts w:ascii="Arial" w:hAnsi="Arial"/>
                <w:b/>
                <w:bCs/>
                <w:lang w:val="pt-BR"/>
              </w:rPr>
              <w:t>-</w:t>
            </w:r>
          </w:p>
        </w:tc>
        <w:tc>
          <w:tcPr>
            <w:tcW w:w="1546" w:type="dxa"/>
            <w:vAlign w:val="center"/>
          </w:tcPr>
          <w:p w:rsidR="009D60B7" w:rsidRDefault="00425C09">
            <w:pPr>
              <w:pStyle w:val="Corpodetexto"/>
              <w:jc w:val="both"/>
              <w:rPr>
                <w:rFonts w:ascii="Arial" w:hAnsi="Arial"/>
              </w:rPr>
            </w:pPr>
            <w:r>
              <w:rPr>
                <w:rFonts w:ascii="Arial" w:hAnsi="Arial"/>
                <w:b/>
                <w:bCs/>
                <w:lang w:val="pt-BR"/>
              </w:rPr>
              <w:t>-</w:t>
            </w:r>
          </w:p>
        </w:tc>
        <w:tc>
          <w:tcPr>
            <w:tcW w:w="2222" w:type="dxa"/>
            <w:vAlign w:val="center"/>
          </w:tcPr>
          <w:p w:rsidR="009D60B7" w:rsidRDefault="00425C09">
            <w:pPr>
              <w:pStyle w:val="Corpodetexto"/>
              <w:jc w:val="both"/>
              <w:rPr>
                <w:rFonts w:ascii="Arial" w:hAnsi="Arial"/>
              </w:rPr>
            </w:pPr>
            <w:r>
              <w:rPr>
                <w:rFonts w:ascii="Arial" w:hAnsi="Arial"/>
                <w:lang w:val="pt-BR"/>
              </w:rPr>
              <w:t>Casos analisados principalmente sob a perspectiva da Lei nº 7.716/1989</w:t>
            </w:r>
          </w:p>
        </w:tc>
      </w:tr>
    </w:tbl>
    <w:p w:rsidR="009D60B7" w:rsidRDefault="00425C09">
      <w:pPr>
        <w:pStyle w:val="Corpodetexto"/>
        <w:spacing w:line="360" w:lineRule="auto"/>
        <w:jc w:val="both"/>
        <w:rPr>
          <w:rFonts w:ascii="Arial" w:hAnsi="Arial"/>
        </w:rPr>
      </w:pPr>
      <w:r>
        <w:rPr>
          <w:rFonts w:ascii="Arial" w:hAnsi="Arial"/>
          <w:lang w:val="pt-BR"/>
        </w:rPr>
        <w:t>Fonte: elaboração própria a partir da consulta aos bancos de dados do STF e do STJ.</w:t>
      </w:r>
    </w:p>
    <w:p w:rsidR="009D60B7" w:rsidRDefault="009D60B7">
      <w:pPr>
        <w:pStyle w:val="Corpodetexto"/>
        <w:spacing w:line="360" w:lineRule="auto"/>
        <w:ind w:left="142" w:firstLine="567"/>
        <w:jc w:val="both"/>
        <w:rPr>
          <w:rFonts w:ascii="Arial" w:hAnsi="Arial"/>
          <w:lang w:val="pt-BR"/>
        </w:rPr>
      </w:pP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A sistematização dos resultados evidencia que, embora existam decisões relacionadas à aplicação da legislação antidiscriminatória no Brasil, não foram identificados precedentes judiciais que tratem de maneira explícita da xenofobia direcionada a pessoas de origem asiática. Tal constatação indica a existência de uma lacuna no reconhecimento jurisprudencial dessa forma específica de discriminação.</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O ordenamento jurídico brasileiro dispõe de instrumentos normativos destinados à proteção da igualdade e à repressão de práticas discriminatórias. A Constituição da República Federativa do Brasil de 1988 estabelece a igualdade como princípio fundamental e reconhece o racismo como crime inafiançável e imprescritível. Além disso, a Lei nº 7.716 de 1989 define os crimes resultantes de preconceito de raça, cor, etnia, religião ou procedência nacional, oferecendo base jurídica para a responsabilização de condutas motivadas por discriminação.</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Apesar da existência desse arcabouço normativo, a análise das decisões judiciais proferidas nos tribunais brasileiros indica que os casos envolvendo discriminação contra pessoas de origem asiática raramente são abordados de maneira específica. Em muitas situações, manifestações discriminatórias relacionadas à aparência física, à origem cultural ou à associação com determinados estereótipos acabam sendo enquadradas juridicamente como injúria racial ou como ofensas individuais, sem que haja uma discussão explícita sobre a dimensão xenofóbica da conduta.</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Esse fenômeno pode ser compreendido a partir da forma como determinadas manifestações de preconceito são socialmente percebidas. Conforme observa Antônio Sérgio Alfredo Guimarães (1999), as práticas discriminatórias nem sempre são reconhecidas imediatamente como racismo ou preconceito, especialmente quando se apresentam de maneira sutil ou naturalizada nas relações sociais.</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Nesse sentido, o autor afirma que o racismo no Brasil muitas vezes se manifesta de maneira indireta ou velada, o que contribui para dificultar sua identificação e enfrentamento no âmbito das instituições sociais (Guimarães, 1999).</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 xml:space="preserve">No caso das populações de origem asiática, determinadas representações sociais contribuem para a construção de estereótipos que reforçam a percepção de </w:t>
      </w:r>
      <w:r>
        <w:rPr>
          <w:rFonts w:ascii="Arial" w:hAnsi="Arial"/>
          <w:sz w:val="24"/>
          <w:szCs w:val="24"/>
          <w:lang w:val="pt-BR"/>
        </w:rPr>
        <w:lastRenderedPageBreak/>
        <w:t>estrangeiridade. Comentários relacionados à aparência física, ao sotaque ou à suposta origem nacional podem funcionar como mecanismos de diferenciação simbólica que posicionam esses indivíduos como externos ao pertencimento social.</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Nesse contexto, destaca Jessé Souza (2017) que as estruturas sociais brasileiras frequentemente reproduzem hierarquias e classificações que influenciam a forma como determinados grupos são percebidos e tratados na sociedade. Para o autor, as desigualdades sociais e simbólicas presentes na sociedade brasileira não se limitam à esfera econômica, mas também se manifestam por meio de mecanismos culturais que classificam e hierarquizam os indivíduos (Souza, 2017).</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A ausência de precedentes judiciais específicos sobre xenofobia contra asiáticos pode estar relacionada, portanto, a fatores sociais e institucionais que influenciam a forma como determinadas práticas discriminatórias são reconhecidas no âmbito jurídico. Quando essas manifestações não são identificadas como formas de discriminação, tornam-se menos frequentes os casos que chegam ao Poder Judiciário ou que são enquadrados de maneira explícita como xenofobia.</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Outro fator que pode contribuir para essa ausência de precedentes refere-se à própria dinâmica de acesso à justiça. Muitas situações de discriminação não são formalmente denunciadas pelas vítimas, seja por desconhecimento dos mecanismos legais disponíveis, seja pela percepção de que tais episódios não serão devidamente reconhecidos pelas instituições. Esse cenário pode resultar em subnotificação de práticas discriminatórias, o que dificulta a formação de jurisprudência específica sobre determinados fenômenos sociais.</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Assim, a escassez de decisões judiciais sobre xenofobia contra asiáticos não necessariamente indica a inexistência dessas práticas, mas pode refletir limitações institucionais no processo de reconhecimento e judicialização dessas situações.</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Além disso, a própria categorização jurídica das condutas discriminatórias pode contribuir para a invisibilidade de determinadas situações. Como observado na análise jurisprudencial, grande parte das decisões judiciais relacionadas ao preconceito no Brasil concentra-se em casos de racismo direcionado à população negra, o que reflete a centralidade desse tema no debate jurídico nacional.</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 xml:space="preserve">Embora esse reconhecimento represente avanço significativo na proteção dos direitos fundamentais, ele também evidencia a necessidade de ampliar a análise sobre outras manifestações de discriminação presentes na sociedade brasileira. O reconhecimento jurídico da xenofobia constitui etapa importante para a consolidação </w:t>
      </w:r>
      <w:r>
        <w:rPr>
          <w:rFonts w:ascii="Arial" w:hAnsi="Arial"/>
          <w:sz w:val="24"/>
          <w:szCs w:val="24"/>
          <w:lang w:val="pt-BR"/>
        </w:rPr>
        <w:lastRenderedPageBreak/>
        <w:t>de mecanismos mais amplos de proteção contra práticas discriminatórias.</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Nesse sentido, a produção acadêmica desempenha papel relevante ao evidenciar lacunas existentes no tratamento jurídico de determinados fenômenos sociais. A investigação sobre a ausência de precedentes judiciais relacionados à xenofobia contra asiáticos permite ampliar o debate jurídico e contribuir para o desenvolvimento de interpretações mais sensíveis às diversas formas de discriminação.</w:t>
      </w:r>
    </w:p>
    <w:p w:rsidR="009D60B7" w:rsidRDefault="00425C09">
      <w:pPr>
        <w:pStyle w:val="Corpodetexto"/>
        <w:spacing w:line="360" w:lineRule="auto"/>
        <w:ind w:left="142" w:firstLine="567"/>
        <w:jc w:val="both"/>
        <w:rPr>
          <w:rFonts w:ascii="Arial" w:hAnsi="Arial"/>
          <w:sz w:val="24"/>
          <w:szCs w:val="24"/>
        </w:rPr>
      </w:pPr>
      <w:r>
        <w:rPr>
          <w:rFonts w:ascii="Arial" w:hAnsi="Arial"/>
          <w:sz w:val="24"/>
          <w:szCs w:val="24"/>
          <w:lang w:val="pt-BR"/>
        </w:rPr>
        <w:t>Dessa forma, a identificação dessa lacuna jurisprudencial não deve ser compreendida apenas como ausência de decisões judiciais, mas também como indicativo da necessidade de aprofundar o reconhecimento institucional dessas práticas. O fortalecimento da proteção jurídica contra todas as formas de discriminação constitui elemento essencial para a efetivação dos princípios constitucionais da igualdade e da dignidade da pessoa humana.</w:t>
      </w:r>
    </w:p>
    <w:p w:rsidR="009D60B7" w:rsidRDefault="009D60B7">
      <w:pPr>
        <w:pStyle w:val="Corpodetexto"/>
        <w:spacing w:line="360" w:lineRule="auto"/>
        <w:ind w:firstLine="567"/>
        <w:jc w:val="both"/>
        <w:rPr>
          <w:rFonts w:ascii="Arial" w:hAnsi="Arial"/>
          <w:sz w:val="24"/>
          <w:szCs w:val="24"/>
          <w:lang w:val="pt-BR"/>
        </w:rPr>
      </w:pPr>
    </w:p>
    <w:p w:rsidR="009D60B7" w:rsidRPr="00E05343" w:rsidRDefault="00425C09" w:rsidP="00E05343">
      <w:pPr>
        <w:pStyle w:val="Ttulo2"/>
        <w:spacing w:line="360" w:lineRule="auto"/>
        <w:ind w:left="0"/>
        <w:jc w:val="both"/>
        <w:rPr>
          <w:rFonts w:ascii="Arial" w:hAnsi="Arial"/>
          <w:bCs/>
          <w:sz w:val="24"/>
          <w:szCs w:val="24"/>
        </w:rPr>
      </w:pPr>
      <w:r w:rsidRPr="00E05343">
        <w:rPr>
          <w:rFonts w:ascii="Arial" w:hAnsi="Arial"/>
          <w:bCs/>
          <w:spacing w:val="-2"/>
          <w:sz w:val="24"/>
          <w:szCs w:val="24"/>
        </w:rPr>
        <w:t>CONCLUSÃO</w:t>
      </w:r>
    </w:p>
    <w:p w:rsidR="009D60B7" w:rsidRDefault="00425C09">
      <w:pPr>
        <w:spacing w:line="360" w:lineRule="auto"/>
        <w:ind w:firstLine="567"/>
        <w:jc w:val="both"/>
        <w:rPr>
          <w:rFonts w:ascii="Arial" w:hAnsi="Arial"/>
          <w:sz w:val="24"/>
          <w:szCs w:val="24"/>
        </w:rPr>
      </w:pPr>
      <w:r>
        <w:rPr>
          <w:rFonts w:ascii="Arial" w:hAnsi="Arial"/>
          <w:sz w:val="24"/>
          <w:szCs w:val="24"/>
        </w:rPr>
        <w:t>A análise desenvolvida ao longo deste estudo permitiu compreender a xenofobia como uma forma de discriminação relacionada à rejeição ou hostilidade direcionada a indivíduos percebidos como estrangeiros ou pertencentes a grupos culturalmente distintos. A partir da fundamentação teórica apresentada, observou-se que tais práticas não se manifestam apenas em comportamentos individuais, mas também se inserem em estruturas sociais mais amplas, capazes de produzir processos de exclusão e marginalização.</w:t>
      </w:r>
    </w:p>
    <w:p w:rsidR="009D60B7" w:rsidRDefault="00425C09">
      <w:pPr>
        <w:spacing w:line="360" w:lineRule="auto"/>
        <w:ind w:firstLine="567"/>
        <w:jc w:val="both"/>
        <w:rPr>
          <w:rFonts w:ascii="Arial" w:hAnsi="Arial"/>
          <w:sz w:val="24"/>
          <w:szCs w:val="24"/>
        </w:rPr>
      </w:pPr>
      <w:r>
        <w:rPr>
          <w:rFonts w:ascii="Arial" w:hAnsi="Arial"/>
          <w:sz w:val="24"/>
          <w:szCs w:val="24"/>
        </w:rPr>
        <w:t>No âmbito jurídico, verificou-se que o ordenamento brasileiro dispõe de instrumentos relevantes para o enfrentamento de práticas discriminatórias. A Constituição Federal de 1988 estabelece princípios fundamentais voltados à proteção da igualdade e da dignidade da pessoa humana, enquanto a legislação infraconstitucional, especialmente a Lei nº 7.716 de 1989, prevê mecanismos específicos para a responsabilização de condutas baseadas em preconceito de raça, etnia, religião ou procedência nacional.</w:t>
      </w:r>
    </w:p>
    <w:p w:rsidR="009D60B7" w:rsidRDefault="00425C09">
      <w:pPr>
        <w:spacing w:line="360" w:lineRule="auto"/>
        <w:ind w:firstLine="567"/>
        <w:jc w:val="both"/>
        <w:rPr>
          <w:rFonts w:ascii="Arial" w:hAnsi="Arial"/>
          <w:sz w:val="24"/>
          <w:szCs w:val="24"/>
        </w:rPr>
      </w:pPr>
      <w:r>
        <w:rPr>
          <w:rFonts w:ascii="Arial" w:hAnsi="Arial"/>
          <w:sz w:val="24"/>
          <w:szCs w:val="24"/>
        </w:rPr>
        <w:t>A análise da jurisprudência brasileira recente demonstrou que o Poder Judiciário tem desempenhado papel importante na consolidação da proteção jurídica contra o racismo e outras formas de discriminação. Decisões proferidas pelos tribunais superiores evidenciam um movimento de ampliação da interpretação das normas antidiscriminatórias, reforçando a necessidade de repressão a condutas que atentem contra os direitos fundamentais.</w:t>
      </w:r>
    </w:p>
    <w:p w:rsidR="009D60B7" w:rsidRDefault="00425C09">
      <w:pPr>
        <w:spacing w:line="360" w:lineRule="auto"/>
        <w:ind w:firstLine="567"/>
        <w:jc w:val="both"/>
        <w:rPr>
          <w:rFonts w:ascii="Arial" w:hAnsi="Arial"/>
          <w:sz w:val="24"/>
          <w:szCs w:val="24"/>
        </w:rPr>
      </w:pPr>
      <w:r>
        <w:rPr>
          <w:rFonts w:ascii="Arial" w:hAnsi="Arial"/>
          <w:sz w:val="24"/>
          <w:szCs w:val="24"/>
        </w:rPr>
        <w:lastRenderedPageBreak/>
        <w:t>Entretanto, a investigação também revelou a existência de uma lacuna significativa no tratamento jurisprudencial de determinadas manifestações de preconceito. Em especial, verificou-se a ausência de precedentes judiciais que abordem de maneira específica a xenofobia direcionada a pessoas de origem asiática no Brasil. Embora episódios de discriminação possam ocorrer no contexto social, tais situações raramente aparecem de forma explícita nas decisões judiciais analisadas.</w:t>
      </w:r>
    </w:p>
    <w:p w:rsidR="009D60B7" w:rsidRDefault="00425C09">
      <w:pPr>
        <w:spacing w:line="360" w:lineRule="auto"/>
        <w:ind w:firstLine="567"/>
        <w:jc w:val="both"/>
        <w:rPr>
          <w:rFonts w:ascii="Arial" w:hAnsi="Arial"/>
          <w:sz w:val="24"/>
          <w:szCs w:val="24"/>
        </w:rPr>
      </w:pPr>
      <w:r>
        <w:rPr>
          <w:rFonts w:ascii="Arial" w:hAnsi="Arial"/>
          <w:sz w:val="24"/>
          <w:szCs w:val="24"/>
        </w:rPr>
        <w:t>Essa ausência de precedentes pode indicar não apenas uma limitação na identificação jurídica dessas práticas, mas também a necessidade de ampliar o debate acadêmico e institucional sobre diferentes formas de discriminação presentes na sociedade brasileira. O reconhecimento dessas manifestações constitui passo fundamental para o fortalecimento dos mecanismos de proteção jurídica e para a efetivação dos princípios constitucionais da igualdade e da dignidade da pessoa humana.</w:t>
      </w:r>
    </w:p>
    <w:p w:rsidR="009D60B7" w:rsidRDefault="00425C09">
      <w:pPr>
        <w:spacing w:line="360" w:lineRule="auto"/>
        <w:ind w:firstLine="567"/>
        <w:jc w:val="both"/>
        <w:rPr>
          <w:rFonts w:ascii="Arial" w:hAnsi="Arial"/>
          <w:sz w:val="24"/>
          <w:szCs w:val="24"/>
        </w:rPr>
      </w:pPr>
      <w:r>
        <w:rPr>
          <w:rFonts w:ascii="Arial" w:hAnsi="Arial"/>
          <w:sz w:val="24"/>
          <w:szCs w:val="24"/>
        </w:rPr>
        <w:t>A ausência de precedentes judiciais específicos sobre xenofobia contra asiáticos evidencia não apenas uma lacuna jurisprudencial, mas também a necessidade de ampliar o debate jurídico sobre as múltiplas formas de discriminação presentes na sociedade brasileira contemporânea.</w:t>
      </w:r>
    </w:p>
    <w:p w:rsidR="009D60B7" w:rsidRDefault="00425C09">
      <w:pPr>
        <w:spacing w:line="360" w:lineRule="auto"/>
        <w:ind w:firstLine="567"/>
        <w:jc w:val="both"/>
        <w:rPr>
          <w:rFonts w:ascii="Arial" w:hAnsi="Arial"/>
          <w:sz w:val="24"/>
          <w:szCs w:val="24"/>
        </w:rPr>
      </w:pPr>
      <w:r>
        <w:rPr>
          <w:rFonts w:ascii="Arial" w:hAnsi="Arial"/>
          <w:sz w:val="24"/>
          <w:szCs w:val="24"/>
        </w:rPr>
        <w:t>Dessa forma, o presente estudo contribui para evidenciar a importância de aprofundar a análise sobre a xenofobia no contexto jurídico brasileiro, especialmente no que se refere à identificação de lacunas jurisprudenciais. A ampliação de pesquisas nessa área pode favorecer o desenvolvimento de interpretações jurídicas mais abrangentes, capazes de reconhecer e enfrentar diferentes formas de discriminação que ainda permanecem pouco visíveis no âmbito judicial.</w:t>
      </w:r>
    </w:p>
    <w:p w:rsidR="009D60B7" w:rsidRDefault="00425C09">
      <w:pPr>
        <w:spacing w:line="360" w:lineRule="auto"/>
        <w:ind w:firstLine="567"/>
        <w:jc w:val="both"/>
        <w:rPr>
          <w:rFonts w:ascii="Arial" w:hAnsi="Arial"/>
          <w:sz w:val="24"/>
          <w:szCs w:val="24"/>
        </w:rPr>
      </w:pPr>
      <w:r>
        <w:rPr>
          <w:rFonts w:ascii="Arial" w:hAnsi="Arial"/>
          <w:sz w:val="24"/>
          <w:szCs w:val="24"/>
        </w:rPr>
        <w:t>Nesse contexto, torna-se fundamental que o debate acadêmico e jurídico avance no reconhecimento das múltiplas formas de discriminação presentes na sociedade contemporânea. A ampliação das pesquisas sobre xenofobia, especialmente no que se refere a grupos historicamente menos visibilizados no debate jurídico brasileiro, pode contribuir para o fortalecimento das políticas públicas de combate ao preconceito e para o aprimoramento das interpretações jurídicas relacionadas à proteção dos direitos fundamentais. O aprofundamento dessas discussões também favorece a construção de uma cultura jurídica mais sensível à diversidade social e comprometida com a promoção efetiva da igualdade.</w:t>
      </w:r>
    </w:p>
    <w:p w:rsidR="009D60B7" w:rsidRDefault="009D60B7">
      <w:pPr>
        <w:spacing w:line="360" w:lineRule="auto"/>
        <w:jc w:val="both"/>
        <w:rPr>
          <w:rFonts w:ascii="Arial" w:hAnsi="Arial"/>
          <w:sz w:val="24"/>
          <w:szCs w:val="24"/>
        </w:rPr>
      </w:pPr>
    </w:p>
    <w:p w:rsidR="009D60B7" w:rsidRPr="00E05343" w:rsidRDefault="00425C09">
      <w:pPr>
        <w:spacing w:line="360" w:lineRule="auto"/>
        <w:jc w:val="both"/>
        <w:rPr>
          <w:rFonts w:ascii="Arial" w:hAnsi="Arial"/>
          <w:sz w:val="24"/>
          <w:szCs w:val="24"/>
        </w:rPr>
      </w:pPr>
      <w:r w:rsidRPr="00E05343">
        <w:rPr>
          <w:rFonts w:ascii="Arial" w:hAnsi="Arial"/>
          <w:bCs/>
          <w:spacing w:val="-2"/>
          <w:sz w:val="24"/>
          <w:szCs w:val="24"/>
        </w:rPr>
        <w:t>REFERÊNCIAS</w:t>
      </w:r>
    </w:p>
    <w:p w:rsidR="009D60B7" w:rsidRDefault="009D60B7">
      <w:pPr>
        <w:spacing w:line="360" w:lineRule="auto"/>
        <w:jc w:val="both"/>
        <w:rPr>
          <w:rFonts w:ascii="Arial" w:hAnsi="Arial"/>
          <w:spacing w:val="-2"/>
          <w:sz w:val="20"/>
          <w:szCs w:val="20"/>
        </w:rPr>
      </w:pPr>
    </w:p>
    <w:p w:rsidR="009D60B7" w:rsidRDefault="00425C09">
      <w:pPr>
        <w:rPr>
          <w:rFonts w:ascii="Arial" w:hAnsi="Arial"/>
          <w:sz w:val="24"/>
          <w:szCs w:val="24"/>
        </w:rPr>
      </w:pPr>
      <w:r>
        <w:rPr>
          <w:rFonts w:ascii="Arial" w:hAnsi="Arial"/>
          <w:sz w:val="24"/>
          <w:szCs w:val="24"/>
        </w:rPr>
        <w:t xml:space="preserve">ALMEIDA, Silvio Luiz de. </w:t>
      </w:r>
      <w:r>
        <w:rPr>
          <w:rFonts w:ascii="Arial" w:hAnsi="Arial"/>
          <w:b/>
          <w:bCs/>
          <w:sz w:val="24"/>
          <w:szCs w:val="24"/>
        </w:rPr>
        <w:t>Racismo estrutural</w:t>
      </w:r>
      <w:r>
        <w:rPr>
          <w:rFonts w:ascii="Arial" w:hAnsi="Arial"/>
          <w:sz w:val="24"/>
          <w:szCs w:val="24"/>
        </w:rPr>
        <w:t>. São Paulo: Editora Jandaíra, 2019.</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BARBOSA, Joaquim Benedito Gomes. </w:t>
      </w:r>
      <w:r>
        <w:rPr>
          <w:rFonts w:ascii="Arial" w:hAnsi="Arial"/>
          <w:b/>
          <w:bCs/>
          <w:sz w:val="24"/>
          <w:szCs w:val="24"/>
        </w:rPr>
        <w:t>Ação afirmativa e princípio constitucional da igualdade</w:t>
      </w:r>
      <w:r>
        <w:rPr>
          <w:rFonts w:ascii="Arial" w:hAnsi="Arial"/>
          <w:sz w:val="24"/>
          <w:szCs w:val="24"/>
        </w:rPr>
        <w:t>. Rio de Janeiro: Renovar, 2001.</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Constituição (1988). </w:t>
      </w:r>
      <w:r>
        <w:rPr>
          <w:rFonts w:ascii="Arial" w:hAnsi="Arial"/>
          <w:b/>
          <w:bCs/>
          <w:sz w:val="24"/>
          <w:szCs w:val="24"/>
        </w:rPr>
        <w:t>Constituição da República Federativa do Brasil</w:t>
      </w:r>
      <w:r>
        <w:rPr>
          <w:rFonts w:ascii="Arial" w:hAnsi="Arial"/>
          <w:sz w:val="24"/>
          <w:szCs w:val="24"/>
        </w:rPr>
        <w:t>. Brasília, DF: Presidência da República, 1988.</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BRASIL. Lei nº 7.716, de 5 de janeiro de 1989.</w:t>
      </w:r>
      <w:r>
        <w:rPr>
          <w:rFonts w:ascii="Arial" w:hAnsi="Arial"/>
          <w:b/>
          <w:bCs/>
          <w:sz w:val="24"/>
          <w:szCs w:val="24"/>
        </w:rPr>
        <w:t xml:space="preserve"> Define os crimes resultantes de preconceito de raça ou de cor</w:t>
      </w:r>
      <w:r>
        <w:rPr>
          <w:rFonts w:ascii="Arial" w:hAnsi="Arial"/>
          <w:sz w:val="24"/>
          <w:szCs w:val="24"/>
        </w:rPr>
        <w:t>. Brasília, DF: Presidência da República, 1989.</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Supremo Tribunal Federal. </w:t>
      </w:r>
      <w:r>
        <w:rPr>
          <w:rFonts w:ascii="Arial" w:hAnsi="Arial"/>
          <w:b/>
          <w:bCs/>
          <w:sz w:val="24"/>
          <w:szCs w:val="24"/>
        </w:rPr>
        <w:t>Ação Direta de Inconstitucionalidade por Omissão nº 26</w:t>
      </w:r>
      <w:r>
        <w:rPr>
          <w:rFonts w:ascii="Arial" w:hAnsi="Arial"/>
          <w:sz w:val="24"/>
          <w:szCs w:val="24"/>
        </w:rPr>
        <w:t>. Relator: Min. Celso de Mello. Julgamento em 13 jun. 2019. Brasília, DF: STF, 2019.</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BRASIL. Supremo Tribunal Federal</w:t>
      </w:r>
      <w:r>
        <w:rPr>
          <w:rFonts w:ascii="Arial" w:hAnsi="Arial"/>
          <w:b/>
          <w:bCs/>
          <w:sz w:val="24"/>
          <w:szCs w:val="24"/>
        </w:rPr>
        <w:t>. Mandado de Injunção nº 4733</w:t>
      </w:r>
      <w:r>
        <w:rPr>
          <w:rFonts w:ascii="Arial" w:hAnsi="Arial"/>
          <w:sz w:val="24"/>
          <w:szCs w:val="24"/>
        </w:rPr>
        <w:t>. Relator: Min. Edson Fachin. Julgamento em 13 jun. 2019. Brasília, DF: STF, 2019.</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BRASIL. Superior Tribunal de Justiça. </w:t>
      </w:r>
      <w:r>
        <w:rPr>
          <w:rFonts w:ascii="Arial" w:hAnsi="Arial"/>
          <w:b/>
          <w:bCs/>
          <w:sz w:val="24"/>
          <w:szCs w:val="24"/>
        </w:rPr>
        <w:t>Jurisprudência sobre injúria racial e discriminação</w:t>
      </w:r>
      <w:r>
        <w:rPr>
          <w:rFonts w:ascii="Arial" w:hAnsi="Arial"/>
          <w:sz w:val="24"/>
          <w:szCs w:val="24"/>
        </w:rPr>
        <w:t>. Brasília, DF: STJ, 2019–2024.</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GUIMARÃES, Antônio Sérgio Alfredo. </w:t>
      </w:r>
      <w:r>
        <w:rPr>
          <w:rFonts w:ascii="Arial" w:hAnsi="Arial"/>
          <w:b/>
          <w:bCs/>
          <w:sz w:val="24"/>
          <w:szCs w:val="24"/>
        </w:rPr>
        <w:t>Racismo e antirracismo no Brasil</w:t>
      </w:r>
      <w:r>
        <w:rPr>
          <w:rFonts w:ascii="Arial" w:hAnsi="Arial"/>
          <w:sz w:val="24"/>
          <w:szCs w:val="24"/>
        </w:rPr>
        <w:t>. São Paulo: Editora 34, 1999.</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MOITA LOPES, Luiz Paulo da (org.). </w:t>
      </w:r>
      <w:r>
        <w:rPr>
          <w:rFonts w:ascii="Arial" w:hAnsi="Arial"/>
          <w:b/>
          <w:bCs/>
          <w:sz w:val="24"/>
          <w:szCs w:val="24"/>
        </w:rPr>
        <w:t>Por uma linguística aplicada indisciplinar</w:t>
      </w:r>
      <w:r>
        <w:rPr>
          <w:rFonts w:ascii="Arial" w:hAnsi="Arial"/>
          <w:sz w:val="24"/>
          <w:szCs w:val="24"/>
        </w:rPr>
        <w:t>. São Paulo: Parábola Editorial, 2006.</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MOREIRA, Adilson José. </w:t>
      </w:r>
      <w:r>
        <w:rPr>
          <w:rFonts w:ascii="Arial" w:hAnsi="Arial"/>
          <w:b/>
          <w:bCs/>
          <w:sz w:val="24"/>
          <w:szCs w:val="24"/>
        </w:rPr>
        <w:t>Racismo recreativo</w:t>
      </w:r>
      <w:r>
        <w:rPr>
          <w:rFonts w:ascii="Arial" w:hAnsi="Arial"/>
          <w:sz w:val="24"/>
          <w:szCs w:val="24"/>
        </w:rPr>
        <w:t>. São Paulo: Editora Jandaíra, 2019.</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MUNANGA, Kabengele</w:t>
      </w:r>
      <w:r>
        <w:rPr>
          <w:rFonts w:ascii="Arial" w:hAnsi="Arial"/>
          <w:b/>
          <w:bCs/>
          <w:sz w:val="24"/>
          <w:szCs w:val="24"/>
        </w:rPr>
        <w:t>. Rediscutindo a mestiçagem no Brasil</w:t>
      </w:r>
      <w:r>
        <w:rPr>
          <w:rFonts w:ascii="Arial" w:hAnsi="Arial"/>
          <w:sz w:val="24"/>
          <w:szCs w:val="24"/>
        </w:rPr>
        <w:t>: identidade nacional versus identidade negra. 3. ed. Belo Horizonte: Autêntica, 2008.</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RIBEIRO, Jocenilson. </w:t>
      </w:r>
      <w:r>
        <w:rPr>
          <w:rFonts w:ascii="Arial" w:hAnsi="Arial"/>
          <w:b/>
          <w:bCs/>
          <w:sz w:val="24"/>
          <w:szCs w:val="24"/>
        </w:rPr>
        <w:t>Xenofobia e intolerância linguística</w:t>
      </w:r>
      <w:r>
        <w:rPr>
          <w:rFonts w:ascii="Arial" w:hAnsi="Arial"/>
          <w:sz w:val="24"/>
          <w:szCs w:val="24"/>
        </w:rPr>
        <w:t>: discursos sobre estrangeiridade e hostilidade brasileira. Campinas, SP: Pontes Editores, 2022.</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SCHWARCZ, Lilia Moritz. </w:t>
      </w:r>
      <w:r>
        <w:rPr>
          <w:rFonts w:ascii="Arial" w:hAnsi="Arial"/>
          <w:b/>
          <w:bCs/>
          <w:sz w:val="24"/>
          <w:szCs w:val="24"/>
        </w:rPr>
        <w:t>O espetáculo das raças</w:t>
      </w:r>
      <w:r>
        <w:rPr>
          <w:rFonts w:ascii="Arial" w:hAnsi="Arial"/>
          <w:sz w:val="24"/>
          <w:szCs w:val="24"/>
        </w:rPr>
        <w:t>: cientistas, instituições e questão racial no Brasil (1870–1930). São Paulo: Companhia das Letras, 1993.</w:t>
      </w:r>
    </w:p>
    <w:p w:rsidR="009D60B7" w:rsidRDefault="009D60B7">
      <w:pPr>
        <w:rPr>
          <w:rFonts w:ascii="Arial" w:hAnsi="Arial"/>
          <w:sz w:val="24"/>
          <w:szCs w:val="24"/>
        </w:rPr>
      </w:pPr>
    </w:p>
    <w:p w:rsidR="009D60B7" w:rsidRDefault="00425C09">
      <w:pPr>
        <w:rPr>
          <w:rFonts w:ascii="Arial" w:hAnsi="Arial"/>
          <w:sz w:val="24"/>
          <w:szCs w:val="24"/>
        </w:rPr>
      </w:pPr>
      <w:r>
        <w:rPr>
          <w:rFonts w:ascii="Arial" w:hAnsi="Arial"/>
          <w:sz w:val="24"/>
          <w:szCs w:val="24"/>
        </w:rPr>
        <w:t xml:space="preserve">SOUZA, Jessé. </w:t>
      </w:r>
      <w:r>
        <w:rPr>
          <w:rFonts w:ascii="Arial" w:hAnsi="Arial"/>
          <w:b/>
          <w:bCs/>
          <w:sz w:val="24"/>
          <w:szCs w:val="24"/>
        </w:rPr>
        <w:t>A elite do atraso</w:t>
      </w:r>
      <w:r>
        <w:rPr>
          <w:rFonts w:ascii="Arial" w:hAnsi="Arial"/>
          <w:sz w:val="24"/>
          <w:szCs w:val="24"/>
        </w:rPr>
        <w:t>: da escravidão à Lava Jato. Rio de Janeiro: Leya, 2017.</w:t>
      </w:r>
    </w:p>
    <w:p w:rsidR="009D60B7" w:rsidRDefault="009D60B7">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E05343" w:rsidRDefault="00E05343">
      <w:pPr>
        <w:rPr>
          <w:rFonts w:ascii="Arial" w:hAnsi="Arial"/>
          <w:b/>
          <w:bCs/>
          <w:sz w:val="24"/>
          <w:szCs w:val="24"/>
          <w:highlight w:val="yellow"/>
          <w:lang w:val="pt-BR"/>
        </w:rPr>
      </w:pPr>
    </w:p>
    <w:p w:rsidR="009D60B7" w:rsidRDefault="009D60B7">
      <w:pPr>
        <w:rPr>
          <w:rFonts w:ascii="Arial" w:hAnsi="Arial"/>
          <w:b/>
          <w:bCs/>
          <w:sz w:val="20"/>
          <w:szCs w:val="20"/>
          <w:highlight w:val="yellow"/>
          <w:lang w:val="pt-BR"/>
        </w:rPr>
      </w:pPr>
    </w:p>
    <w:p w:rsidR="009D60B7" w:rsidRPr="00077137" w:rsidRDefault="00425C09">
      <w:pPr>
        <w:jc w:val="center"/>
        <w:rPr>
          <w:rFonts w:ascii="Arial" w:hAnsi="Arial"/>
          <w:sz w:val="28"/>
          <w:szCs w:val="28"/>
        </w:rPr>
      </w:pPr>
      <w:r w:rsidRPr="00077137">
        <w:rPr>
          <w:rFonts w:ascii="Arial" w:hAnsi="Arial"/>
          <w:b/>
          <w:bCs/>
          <w:sz w:val="28"/>
          <w:szCs w:val="28"/>
        </w:rPr>
        <w:lastRenderedPageBreak/>
        <w:t>“LEI FELCA”: CONTROVÉRSIA OU SEGURANÇA?</w:t>
      </w:r>
    </w:p>
    <w:p w:rsidR="009D60B7" w:rsidRPr="00077137" w:rsidRDefault="009D60B7">
      <w:pPr>
        <w:jc w:val="center"/>
        <w:rPr>
          <w:rFonts w:ascii="Arial" w:hAnsi="Arial"/>
          <w:b/>
          <w:bCs/>
          <w:sz w:val="28"/>
          <w:szCs w:val="28"/>
        </w:rPr>
      </w:pPr>
    </w:p>
    <w:p w:rsidR="009D60B7" w:rsidRDefault="009D60B7">
      <w:pPr>
        <w:jc w:val="center"/>
        <w:rPr>
          <w:rFonts w:ascii="Arial" w:hAnsi="Arial"/>
          <w:b/>
          <w:bCs/>
          <w:sz w:val="24"/>
          <w:szCs w:val="24"/>
        </w:rPr>
      </w:pPr>
    </w:p>
    <w:p w:rsidR="009D60B7" w:rsidRDefault="00425C09">
      <w:pPr>
        <w:pStyle w:val="Corpodetexto"/>
        <w:jc w:val="center"/>
        <w:rPr>
          <w:rFonts w:ascii="Arial" w:hAnsi="Arial"/>
          <w:sz w:val="24"/>
          <w:szCs w:val="24"/>
        </w:rPr>
      </w:pPr>
      <w:r>
        <w:rPr>
          <w:rFonts w:ascii="Arial" w:hAnsi="Arial"/>
          <w:spacing w:val="-2"/>
          <w:sz w:val="24"/>
          <w:szCs w:val="24"/>
        </w:rPr>
        <w:t>Maria Clara Gratão Oliveira</w:t>
      </w:r>
      <w:r>
        <w:rPr>
          <w:rStyle w:val="Refdenotaderodap"/>
          <w:rFonts w:ascii="Arial" w:hAnsi="Arial"/>
          <w:spacing w:val="-2"/>
          <w:sz w:val="24"/>
          <w:szCs w:val="24"/>
        </w:rPr>
        <w:footnoteReference w:id="60"/>
      </w:r>
      <w:r>
        <w:rPr>
          <w:rFonts w:ascii="Arial" w:hAnsi="Arial"/>
          <w:spacing w:val="-2"/>
          <w:sz w:val="24"/>
          <w:szCs w:val="24"/>
        </w:rPr>
        <w:t xml:space="preserve"> </w:t>
      </w:r>
    </w:p>
    <w:p w:rsidR="009D60B7" w:rsidRDefault="00425C09">
      <w:pPr>
        <w:pStyle w:val="Corpodetexto"/>
        <w:jc w:val="center"/>
        <w:rPr>
          <w:rFonts w:ascii="Arial" w:hAnsi="Arial"/>
          <w:sz w:val="24"/>
          <w:szCs w:val="24"/>
        </w:rPr>
      </w:pPr>
      <w:r>
        <w:rPr>
          <w:rFonts w:ascii="Arial" w:hAnsi="Arial"/>
          <w:spacing w:val="-2"/>
          <w:sz w:val="24"/>
          <w:szCs w:val="24"/>
        </w:rPr>
        <w:t>Cristiane Ingrid de Souza Bonfim</w:t>
      </w:r>
      <w:r>
        <w:rPr>
          <w:rStyle w:val="Refdenotaderodap"/>
          <w:rFonts w:ascii="Arial" w:hAnsi="Arial"/>
          <w:spacing w:val="-2"/>
          <w:sz w:val="24"/>
          <w:szCs w:val="24"/>
        </w:rPr>
        <w:footnoteReference w:id="61"/>
      </w:r>
    </w:p>
    <w:p w:rsidR="009D60B7" w:rsidRDefault="009D60B7">
      <w:pPr>
        <w:pStyle w:val="Corpodetexto"/>
        <w:jc w:val="center"/>
        <w:rPr>
          <w:rFonts w:ascii="Arial" w:hAnsi="Arial"/>
          <w:spacing w:val="-2"/>
          <w:sz w:val="24"/>
          <w:szCs w:val="24"/>
        </w:rPr>
      </w:pPr>
    </w:p>
    <w:p w:rsidR="009D60B7" w:rsidRDefault="009D60B7">
      <w:pPr>
        <w:pStyle w:val="Corpodetexto"/>
        <w:jc w:val="center"/>
        <w:rPr>
          <w:rFonts w:ascii="Arial" w:hAnsi="Arial"/>
          <w:spacing w:val="-2"/>
          <w:sz w:val="24"/>
          <w:szCs w:val="24"/>
        </w:rPr>
      </w:pPr>
    </w:p>
    <w:p w:rsidR="009D60B7" w:rsidRPr="00077137" w:rsidRDefault="00425C09">
      <w:pPr>
        <w:pStyle w:val="Corpodetexto"/>
        <w:jc w:val="center"/>
        <w:rPr>
          <w:rFonts w:ascii="Arial" w:hAnsi="Arial"/>
          <w:bCs/>
          <w:spacing w:val="-2"/>
          <w:sz w:val="24"/>
          <w:szCs w:val="24"/>
          <w:lang w:val="pt-BR"/>
        </w:rPr>
      </w:pPr>
      <w:r w:rsidRPr="00077137">
        <w:rPr>
          <w:rFonts w:ascii="Arial" w:hAnsi="Arial"/>
          <w:bCs/>
          <w:spacing w:val="-2"/>
          <w:sz w:val="24"/>
          <w:szCs w:val="24"/>
          <w:lang w:val="pt-BR"/>
        </w:rPr>
        <w:t>RESUMO</w:t>
      </w:r>
    </w:p>
    <w:p w:rsidR="009D60B7" w:rsidRDefault="00425C09">
      <w:pPr>
        <w:pStyle w:val="Corpodetexto"/>
        <w:spacing w:before="256"/>
        <w:ind w:left="72" w:right="86"/>
        <w:jc w:val="both"/>
        <w:rPr>
          <w:rFonts w:ascii="Arial" w:hAnsi="Arial"/>
        </w:rPr>
      </w:pPr>
      <w:r>
        <w:rPr>
          <w:rFonts w:ascii="Arial" w:hAnsi="Arial"/>
        </w:rPr>
        <w:t>O presente resumo traz brevemente a pauta presente na Lei nº 15.211 de 2025, também conhecida como “Lei Felca” ou “ECA Digital” cujo objetivo expresso é garantir a segurança de crianças e adolescentes nas mídias sociais, sites e jogos, regulamentando sua entrada e permanência através da verificação dos dados pessoas e vinculação às contas dos responsáveis. A problemática central está na forma como essa lei tem sido aplicada e nos efeitos causados que diferem da ideia inicial desta.</w:t>
      </w:r>
      <w:r>
        <w:rPr>
          <w:rFonts w:ascii="Arial" w:hAnsi="Arial"/>
          <w:spacing w:val="-6"/>
        </w:rPr>
        <w:t xml:space="preserve"> </w:t>
      </w:r>
      <w:r>
        <w:rPr>
          <w:rFonts w:ascii="Arial" w:hAnsi="Arial"/>
        </w:rPr>
        <w:t>A</w:t>
      </w:r>
      <w:r>
        <w:rPr>
          <w:rFonts w:ascii="Arial" w:hAnsi="Arial"/>
          <w:spacing w:val="-3"/>
        </w:rPr>
        <w:t xml:space="preserve"> </w:t>
      </w:r>
      <w:r>
        <w:rPr>
          <w:rFonts w:ascii="Arial" w:hAnsi="Arial"/>
        </w:rPr>
        <w:t>metodologia</w:t>
      </w:r>
      <w:r>
        <w:rPr>
          <w:rFonts w:ascii="Arial" w:hAnsi="Arial"/>
          <w:spacing w:val="-6"/>
        </w:rPr>
        <w:t xml:space="preserve"> </w:t>
      </w:r>
      <w:r>
        <w:rPr>
          <w:rFonts w:ascii="Arial" w:hAnsi="Arial"/>
        </w:rPr>
        <w:t>utilizada</w:t>
      </w:r>
      <w:r>
        <w:rPr>
          <w:rFonts w:ascii="Arial" w:hAnsi="Arial"/>
          <w:spacing w:val="-3"/>
        </w:rPr>
        <w:t xml:space="preserve"> </w:t>
      </w:r>
      <w:r>
        <w:rPr>
          <w:rFonts w:ascii="Arial" w:hAnsi="Arial"/>
        </w:rPr>
        <w:t>é</w:t>
      </w:r>
      <w:r>
        <w:rPr>
          <w:rFonts w:ascii="Arial" w:hAnsi="Arial"/>
          <w:spacing w:val="-4"/>
        </w:rPr>
        <w:t xml:space="preserve"> </w:t>
      </w:r>
      <w:r>
        <w:rPr>
          <w:rFonts w:ascii="Arial" w:hAnsi="Arial"/>
        </w:rPr>
        <w:t>a</w:t>
      </w:r>
      <w:r>
        <w:rPr>
          <w:rFonts w:ascii="Arial" w:hAnsi="Arial"/>
          <w:spacing w:val="-3"/>
        </w:rPr>
        <w:t xml:space="preserve"> </w:t>
      </w:r>
      <w:r>
        <w:rPr>
          <w:rFonts w:ascii="Arial" w:hAnsi="Arial"/>
        </w:rPr>
        <w:t>análise do próprio texto legal, além da apresentação de artigos que expressam a importância da atualização do Estatuto da Criança e do Adolescente frente à realidade digital; porém contemplando as dificuldades e oposições a esta lei em especial. O texto apresenta as opiniões divergentes realacionadas à legislação, não como um todo, mas em parcela; argumentando consequências e efeitos negativos para jovens adultos e empresas que, legitimamente, utilizavam dos meios sociais e jogos online como ferramenta de trabalho ou apoio financeiro. Contudo, a visão desses opositores decorre de razões meramente funcionais, não possuindo nenhuma opinião contrária à proteção dos menores de idade no meio social-digital, mas à maneira como essa proteção foi aplicada; para tal será apresentada a importância da promulgação do “ECA Digital” em contrapartida com a opinião pública.</w:t>
      </w:r>
      <w:r>
        <w:rPr>
          <w:rFonts w:ascii="Arial" w:hAnsi="Arial"/>
          <w:spacing w:val="-5"/>
        </w:rPr>
        <w:t xml:space="preserve"> </w:t>
      </w:r>
      <w:r>
        <w:rPr>
          <w:rFonts w:ascii="Arial" w:hAnsi="Arial"/>
        </w:rPr>
        <w:t>A</w:t>
      </w:r>
      <w:r>
        <w:rPr>
          <w:rFonts w:ascii="Arial" w:hAnsi="Arial"/>
          <w:spacing w:val="-3"/>
        </w:rPr>
        <w:t xml:space="preserve"> </w:t>
      </w:r>
      <w:r>
        <w:rPr>
          <w:rFonts w:ascii="Arial" w:hAnsi="Arial"/>
        </w:rPr>
        <w:t>conclusão destaca que, embora a lei tenha tentado contribur de maneira significativa para o combate aos crimes praticados contra crianças e adolescentes na internet, é necessário destacar o quanto afetou a vida de outras empresas e cidadãos, que expuseram seu descontentamento com a maneira que se tratou o tema de forma generalizada. A análise</w:t>
      </w:r>
      <w:r>
        <w:rPr>
          <w:rFonts w:ascii="Arial" w:hAnsi="Arial"/>
          <w:spacing w:val="-1"/>
        </w:rPr>
        <w:t xml:space="preserve"> </w:t>
      </w:r>
      <w:r>
        <w:rPr>
          <w:rFonts w:ascii="Arial" w:hAnsi="Arial"/>
        </w:rPr>
        <w:t>reforça</w:t>
      </w:r>
      <w:r>
        <w:rPr>
          <w:rFonts w:ascii="Arial" w:hAnsi="Arial"/>
          <w:spacing w:val="-3"/>
        </w:rPr>
        <w:t xml:space="preserve"> uma exposição do objetivo expresso na lei e n</w:t>
      </w:r>
      <w:r>
        <w:rPr>
          <w:rFonts w:ascii="Arial" w:hAnsi="Arial"/>
        </w:rPr>
        <w:t>a</w:t>
      </w:r>
      <w:r>
        <w:rPr>
          <w:rFonts w:ascii="Arial" w:hAnsi="Arial"/>
          <w:spacing w:val="-1"/>
        </w:rPr>
        <w:t xml:space="preserve"> </w:t>
      </w:r>
      <w:r>
        <w:rPr>
          <w:rFonts w:ascii="Arial" w:hAnsi="Arial"/>
        </w:rPr>
        <w:t xml:space="preserve">necessidade de reavaliar o mesmo, de maneira que não afete a terceiros, mas que proteja e promova bem estar social simultaneamente. </w:t>
      </w:r>
    </w:p>
    <w:p w:rsidR="009D60B7" w:rsidRDefault="00425C09">
      <w:pPr>
        <w:spacing w:before="259"/>
        <w:ind w:left="72" w:right="97"/>
        <w:jc w:val="both"/>
        <w:rPr>
          <w:rFonts w:ascii="Arial" w:hAnsi="Arial"/>
          <w:sz w:val="20"/>
          <w:szCs w:val="20"/>
        </w:rPr>
      </w:pPr>
      <w:r>
        <w:rPr>
          <w:rFonts w:ascii="Arial" w:hAnsi="Arial"/>
          <w:b/>
          <w:bCs/>
          <w:sz w:val="20"/>
          <w:szCs w:val="20"/>
        </w:rPr>
        <w:t>PALAVRAS-CHAVE</w:t>
      </w:r>
      <w:r>
        <w:rPr>
          <w:rFonts w:ascii="Arial" w:hAnsi="Arial"/>
          <w:sz w:val="20"/>
          <w:szCs w:val="20"/>
        </w:rPr>
        <w:t xml:space="preserve">: Estatuto da Criança e do Adolescente. Regularização digital. Internt. Objetividade legal. </w:t>
      </w:r>
    </w:p>
    <w:p w:rsidR="009D60B7" w:rsidRPr="009D28AC" w:rsidRDefault="009D28AC">
      <w:pPr>
        <w:spacing w:before="259"/>
        <w:ind w:left="72" w:right="97"/>
        <w:jc w:val="both"/>
        <w:rPr>
          <w:rFonts w:ascii="Arial" w:hAnsi="Arial"/>
          <w:sz w:val="24"/>
          <w:szCs w:val="24"/>
        </w:rPr>
      </w:pPr>
      <w:r w:rsidRPr="009D28AC">
        <w:rPr>
          <w:rFonts w:ascii="Arial" w:hAnsi="Arial"/>
          <w:sz w:val="24"/>
          <w:szCs w:val="24"/>
        </w:rPr>
        <w:t>REFERÊNCIAS</w:t>
      </w:r>
    </w:p>
    <w:p w:rsidR="009D60B7" w:rsidRDefault="009D60B7">
      <w:pPr>
        <w:pStyle w:val="Corpodetexto"/>
        <w:rPr>
          <w:rFonts w:ascii="Arial" w:hAnsi="Arial"/>
        </w:rPr>
      </w:pPr>
    </w:p>
    <w:p w:rsidR="009D60B7" w:rsidRDefault="00425C09" w:rsidP="009D28AC">
      <w:pPr>
        <w:spacing w:line="259" w:lineRule="auto"/>
        <w:ind w:left="142"/>
        <w:rPr>
          <w:rFonts w:ascii="Arial" w:hAnsi="Arial"/>
          <w:sz w:val="24"/>
          <w:szCs w:val="24"/>
        </w:rPr>
      </w:pPr>
      <w:r>
        <w:rPr>
          <w:rFonts w:ascii="Arial" w:hAnsi="Arial"/>
          <w:sz w:val="24"/>
          <w:szCs w:val="24"/>
        </w:rPr>
        <w:t xml:space="preserve">BRASIL.  </w:t>
      </w:r>
      <w:r>
        <w:rPr>
          <w:rFonts w:ascii="Arial" w:hAnsi="Arial"/>
          <w:b/>
          <w:bCs/>
          <w:sz w:val="24"/>
          <w:szCs w:val="24"/>
        </w:rPr>
        <w:t xml:space="preserve">LEI Nº 15.211 DE 17 DE SETEMBRO DE 2025 </w:t>
      </w:r>
      <w:r>
        <w:rPr>
          <w:rFonts w:ascii="Arial" w:hAnsi="Arial"/>
          <w:sz w:val="24"/>
          <w:szCs w:val="24"/>
        </w:rPr>
        <w:t>[ECA Digital]. Dispõe sobre a proteção de crianças e adolescentes em ambientes digitais (Estatuto Digital da Criança e do Adolescente). Brasília-DF, Presidência da República, Casa Civil, Subchefia para Assuntos Jurídicos, 2025.</w:t>
      </w:r>
    </w:p>
    <w:p w:rsidR="009D60B7" w:rsidRDefault="009D60B7" w:rsidP="009D28AC">
      <w:pPr>
        <w:tabs>
          <w:tab w:val="left" w:pos="432"/>
        </w:tabs>
        <w:ind w:left="142"/>
        <w:rPr>
          <w:rFonts w:ascii="Arial" w:hAnsi="Arial"/>
          <w:sz w:val="24"/>
          <w:szCs w:val="24"/>
        </w:rPr>
      </w:pPr>
    </w:p>
    <w:p w:rsidR="009D60B7" w:rsidRDefault="00425C09" w:rsidP="009D28AC">
      <w:pPr>
        <w:pStyle w:val="PargrafodaLista"/>
        <w:tabs>
          <w:tab w:val="left" w:pos="432"/>
        </w:tabs>
        <w:ind w:left="142" w:right="91"/>
        <w:rPr>
          <w:rFonts w:ascii="Arial" w:hAnsi="Arial"/>
          <w:sz w:val="24"/>
          <w:szCs w:val="24"/>
        </w:rPr>
      </w:pPr>
      <w:r>
        <w:rPr>
          <w:rFonts w:ascii="Arial" w:hAnsi="Arial"/>
          <w:sz w:val="24"/>
          <w:szCs w:val="24"/>
        </w:rPr>
        <w:t>GOMES, Felipe Coelho de Andrade; SANTOS, Cinthya Silva. A ATUALIZAÇÃO DO ECA FRENTE À PROTEÇÃO DE CRIANÇAS E ADOLESCENTES NO AMBIENTE DIGITAL. </w:t>
      </w:r>
      <w:r>
        <w:rPr>
          <w:rFonts w:ascii="Arial" w:hAnsi="Arial"/>
          <w:b/>
          <w:bCs/>
          <w:sz w:val="24"/>
          <w:szCs w:val="24"/>
        </w:rPr>
        <w:t>Revista Ibero-Americana de Humanidades, Ciências e Educação</w:t>
      </w:r>
      <w:r>
        <w:rPr>
          <w:rFonts w:ascii="Arial" w:hAnsi="Arial"/>
          <w:sz w:val="24"/>
          <w:szCs w:val="24"/>
        </w:rPr>
        <w:t>, </w:t>
      </w:r>
      <w:r>
        <w:rPr>
          <w:rFonts w:ascii="Arial" w:hAnsi="Arial"/>
          <w:i/>
          <w:iCs/>
          <w:sz w:val="24"/>
          <w:szCs w:val="24"/>
        </w:rPr>
        <w:t>[S. l.]</w:t>
      </w:r>
      <w:r>
        <w:rPr>
          <w:rFonts w:ascii="Arial" w:hAnsi="Arial"/>
          <w:sz w:val="24"/>
          <w:szCs w:val="24"/>
        </w:rPr>
        <w:t>, v. 11, n. 11, p. 5463–5475, 2025. DOI: 10.51891/rease.v11i11.22294. Disponível em: https://periodicorease.pro.br/rease/article/view/22294. Acesso em: 22 abr. 2026.</w:t>
      </w:r>
    </w:p>
    <w:p w:rsidR="009D60B7" w:rsidRDefault="00425C09" w:rsidP="009D28AC">
      <w:pPr>
        <w:widowControl/>
        <w:spacing w:after="315"/>
        <w:ind w:left="142"/>
        <w:rPr>
          <w:rFonts w:ascii="Arial" w:hAnsi="Arial"/>
          <w:sz w:val="24"/>
          <w:szCs w:val="24"/>
        </w:rPr>
      </w:pPr>
      <w:r>
        <w:rPr>
          <w:rFonts w:ascii="Arial" w:hAnsi="Arial"/>
          <w:color w:val="222222"/>
          <w:sz w:val="24"/>
          <w:szCs w:val="24"/>
          <w:lang w:val="pt-BR" w:eastAsia="pt-BR"/>
        </w:rPr>
        <w:br/>
        <w:t xml:space="preserve">SILVA, Giovana Ferreira. </w:t>
      </w:r>
      <w:r>
        <w:rPr>
          <w:rFonts w:ascii="Arial" w:hAnsi="Arial"/>
          <w:color w:val="222222"/>
          <w:sz w:val="24"/>
          <w:szCs w:val="24"/>
          <w:lang w:eastAsia="pt-BR"/>
        </w:rPr>
        <w:t xml:space="preserve">O COMBATE À REVITIMIZAÇÃO DE CRIANÇAS E </w:t>
      </w:r>
    </w:p>
    <w:p w:rsidR="009D60B7" w:rsidRDefault="00425C09" w:rsidP="009D28AC">
      <w:pPr>
        <w:widowControl/>
        <w:spacing w:after="315"/>
        <w:ind w:left="142"/>
      </w:pPr>
      <w:r>
        <w:rPr>
          <w:rFonts w:ascii="Arial" w:hAnsi="Arial"/>
          <w:color w:val="222222"/>
          <w:sz w:val="24"/>
          <w:szCs w:val="24"/>
          <w:lang w:eastAsia="pt-BR"/>
        </w:rPr>
        <w:t xml:space="preserve">ADOLESCENTES VÍTIMAS DE VIOLÊNCIA SEXUAL. Pontifícia Universidade Católica de Goiás. DOI: </w:t>
      </w:r>
      <w:hyperlink r:id="rId208">
        <w:r>
          <w:rPr>
            <w:rStyle w:val="Hyperlink1"/>
            <w:rFonts w:ascii="Arial" w:hAnsi="Arial"/>
            <w:sz w:val="24"/>
            <w:szCs w:val="24"/>
            <w:lang w:eastAsia="pt-BR"/>
          </w:rPr>
          <w:t>https://repositorio.pucgoias.edu.br/jspui/handle/123456789/9782</w:t>
        </w:r>
      </w:hyperlink>
      <w:r>
        <w:rPr>
          <w:rFonts w:ascii="Arial" w:hAnsi="Arial"/>
          <w:color w:val="222222"/>
          <w:sz w:val="24"/>
          <w:szCs w:val="24"/>
          <w:lang w:eastAsia="pt-BR"/>
        </w:rPr>
        <w:t>. Acesso em: 20 de abril de 2026.</w:t>
      </w:r>
      <w:r>
        <w:rPr>
          <w:rFonts w:ascii="Arial" w:hAnsi="Arial"/>
          <w:color w:val="222222"/>
          <w:sz w:val="20"/>
          <w:szCs w:val="20"/>
          <w:lang w:eastAsia="pt-BR"/>
        </w:rPr>
        <w:t xml:space="preserve"> </w:t>
      </w:r>
    </w:p>
    <w:p w:rsidR="009D60B7" w:rsidRDefault="009D60B7">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D55E46" w:rsidRPr="00841DC0" w:rsidRDefault="00D55E46" w:rsidP="00D55E46">
      <w:pPr>
        <w:pStyle w:val="paragraph"/>
        <w:spacing w:before="0" w:beforeAutospacing="0" w:after="0" w:afterAutospacing="0"/>
        <w:jc w:val="center"/>
        <w:textAlignment w:val="baseline"/>
        <w:rPr>
          <w:rStyle w:val="eop"/>
          <w:rFonts w:ascii="Arial" w:hAnsi="Arial" w:cs="Arial"/>
          <w:b/>
          <w:color w:val="000000"/>
          <w:sz w:val="28"/>
          <w:szCs w:val="28"/>
        </w:rPr>
      </w:pPr>
      <w:r w:rsidRPr="00841DC0">
        <w:rPr>
          <w:rStyle w:val="normaltextrun"/>
          <w:rFonts w:ascii="Arial" w:hAnsi="Arial" w:cs="Arial"/>
          <w:b/>
          <w:color w:val="000000"/>
          <w:sz w:val="28"/>
          <w:szCs w:val="28"/>
        </w:rPr>
        <w:lastRenderedPageBreak/>
        <w:t>IMPROBIDADE ADMINISTRATIVA: DESAFIOS ENFRENTADOS NA GESTÃO PÚBLICA EM CASOS DE PECULATO</w:t>
      </w:r>
      <w:r w:rsidRPr="00841DC0">
        <w:rPr>
          <w:rStyle w:val="eop"/>
          <w:rFonts w:ascii="Arial" w:hAnsi="Arial" w:cs="Arial"/>
          <w:b/>
          <w:color w:val="000000"/>
          <w:sz w:val="28"/>
          <w:szCs w:val="28"/>
        </w:rPr>
        <w:t> </w:t>
      </w:r>
    </w:p>
    <w:p w:rsidR="00D55E46" w:rsidRDefault="00D55E46" w:rsidP="00D55E46">
      <w:pPr>
        <w:pStyle w:val="paragraph"/>
        <w:spacing w:before="0" w:beforeAutospacing="0" w:after="0" w:afterAutospacing="0"/>
        <w:jc w:val="center"/>
        <w:textAlignment w:val="baseline"/>
        <w:rPr>
          <w:rFonts w:ascii="Segoe UI" w:hAnsi="Segoe UI" w:cs="Segoe UI"/>
          <w:sz w:val="18"/>
          <w:szCs w:val="18"/>
        </w:rPr>
      </w:pPr>
    </w:p>
    <w:p w:rsidR="00D55E46" w:rsidRDefault="00D55E46" w:rsidP="00D55E46">
      <w:pPr>
        <w:pStyle w:val="paragraph"/>
        <w:spacing w:before="0" w:beforeAutospacing="0" w:after="0" w:afterAutospacing="0"/>
        <w:jc w:val="center"/>
        <w:textAlignment w:val="baseline"/>
        <w:rPr>
          <w:rFonts w:ascii="Segoe UI" w:hAnsi="Segoe UI" w:cs="Segoe UI"/>
          <w:sz w:val="18"/>
          <w:szCs w:val="18"/>
        </w:rPr>
      </w:pPr>
    </w:p>
    <w:p w:rsidR="00D55E46" w:rsidRDefault="00D55E46" w:rsidP="00841DC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00"/>
        </w:rPr>
        <w:t>Adedilson Dimas Ferreira Santana</w:t>
      </w:r>
      <w:r w:rsidR="00841DC0">
        <w:rPr>
          <w:rStyle w:val="Refdenotaderodap"/>
          <w:rFonts w:ascii="Arial" w:hAnsi="Arial" w:cs="Arial"/>
          <w:color w:val="000000"/>
        </w:rPr>
        <w:footnoteReference w:id="62"/>
      </w:r>
    </w:p>
    <w:p w:rsidR="00D55E46" w:rsidRDefault="00D55E46" w:rsidP="00841DC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00"/>
        </w:rPr>
        <w:t>Benedito César Pereira Rezende</w:t>
      </w:r>
      <w:r w:rsidR="00841DC0">
        <w:rPr>
          <w:rStyle w:val="Refdenotaderodap"/>
          <w:rFonts w:ascii="Arial" w:hAnsi="Arial" w:cs="Arial"/>
          <w:color w:val="000000"/>
        </w:rPr>
        <w:footnoteReference w:id="63"/>
      </w:r>
    </w:p>
    <w:p w:rsidR="00D55E46" w:rsidRDefault="00D55E46" w:rsidP="00841DC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00"/>
        </w:rPr>
        <w:t>Marcus Philippe de Oliveira Gomes Aranha</w:t>
      </w:r>
      <w:r w:rsidR="00746208">
        <w:rPr>
          <w:rStyle w:val="Refdenotaderodap"/>
          <w:rFonts w:ascii="Arial" w:hAnsi="Arial" w:cs="Arial"/>
          <w:color w:val="000000"/>
        </w:rPr>
        <w:footnoteReference w:id="64"/>
      </w:r>
    </w:p>
    <w:p w:rsidR="00D55E46" w:rsidRDefault="00D55E46" w:rsidP="00841DC0">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00"/>
        </w:rPr>
        <w:t>Pedro Lucas Ywata</w:t>
      </w:r>
      <w:r w:rsidR="00746208">
        <w:rPr>
          <w:rStyle w:val="Refdenotaderodap"/>
          <w:rFonts w:ascii="Arial" w:hAnsi="Arial" w:cs="Arial"/>
          <w:color w:val="000000"/>
        </w:rPr>
        <w:footnoteReference w:id="65"/>
      </w:r>
    </w:p>
    <w:p w:rsidR="00D55E46" w:rsidRDefault="00D55E46" w:rsidP="00841DC0">
      <w:pPr>
        <w:pStyle w:val="paragraph"/>
        <w:spacing w:before="0" w:beforeAutospacing="0" w:after="0" w:afterAutospacing="0"/>
        <w:jc w:val="center"/>
        <w:textAlignment w:val="baseline"/>
        <w:rPr>
          <w:rStyle w:val="normaltextrun"/>
          <w:rFonts w:ascii="Arial" w:hAnsi="Arial" w:cs="Arial"/>
          <w:color w:val="000000"/>
        </w:rPr>
      </w:pPr>
      <w:r>
        <w:rPr>
          <w:rStyle w:val="normaltextrun"/>
          <w:rFonts w:ascii="Arial" w:hAnsi="Arial" w:cs="Arial"/>
          <w:color w:val="000000"/>
        </w:rPr>
        <w:t>Cristiane Ingrid de Souza Bonfim</w:t>
      </w:r>
      <w:r w:rsidR="00746208">
        <w:rPr>
          <w:rStyle w:val="Refdenotaderodap"/>
          <w:rFonts w:ascii="Arial" w:hAnsi="Arial" w:cs="Arial"/>
          <w:color w:val="000000"/>
        </w:rPr>
        <w:footnoteReference w:id="66"/>
      </w:r>
    </w:p>
    <w:p w:rsidR="00746208" w:rsidRDefault="00746208" w:rsidP="00841DC0">
      <w:pPr>
        <w:pStyle w:val="paragraph"/>
        <w:spacing w:before="0" w:beforeAutospacing="0" w:after="0" w:afterAutospacing="0"/>
        <w:jc w:val="center"/>
        <w:textAlignment w:val="baseline"/>
        <w:rPr>
          <w:rStyle w:val="eop"/>
          <w:rFonts w:ascii="Arial" w:hAnsi="Arial" w:cs="Arial"/>
          <w:color w:val="000000"/>
        </w:rPr>
      </w:pPr>
    </w:p>
    <w:p w:rsidR="00D55E46" w:rsidRDefault="00D55E46" w:rsidP="00D55E46">
      <w:pPr>
        <w:pStyle w:val="paragraph"/>
        <w:spacing w:before="0" w:beforeAutospacing="0" w:after="0" w:afterAutospacing="0"/>
        <w:jc w:val="right"/>
        <w:textAlignment w:val="baseline"/>
        <w:rPr>
          <w:rFonts w:ascii="Segoe UI" w:hAnsi="Segoe UI" w:cs="Segoe UI"/>
          <w:sz w:val="18"/>
          <w:szCs w:val="18"/>
        </w:rPr>
      </w:pPr>
    </w:p>
    <w:p w:rsidR="00D55E46" w:rsidRPr="00746208" w:rsidRDefault="00D55E46" w:rsidP="00841DC0">
      <w:pPr>
        <w:pStyle w:val="paragraph"/>
        <w:spacing w:before="0" w:beforeAutospacing="0" w:after="0" w:afterAutospacing="0"/>
        <w:jc w:val="center"/>
        <w:textAlignment w:val="baseline"/>
        <w:rPr>
          <w:rFonts w:ascii="Arial" w:hAnsi="Arial" w:cs="Arial"/>
        </w:rPr>
      </w:pPr>
      <w:r w:rsidRPr="00746208">
        <w:rPr>
          <w:rFonts w:ascii="Arial" w:hAnsi="Arial" w:cs="Arial"/>
        </w:rPr>
        <w:t>RESUMO</w:t>
      </w:r>
    </w:p>
    <w:p w:rsidR="00D55E46" w:rsidRDefault="00D55E46" w:rsidP="00D55E4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rPr>
        <w:t>A pesquisa foi realizada em prol de buscar entender e evidenciar as dificuldades enfrentadas no âmbito da gestão pública quanto a aplicabilidade da Lei de Improbidade Administrativa – LIA (1942), sendo atualizada pela Lei 14.230 (2021). A violação da LIA e o respeito aos princípios da transparência e legalidade por parte dos funcionários, tem tido repercussão midiática em casos envolvendo funcionários públicos e coautores, sendo necessário a discussão e o enfrentamento das consequências por tais violações. O objetivo geral da pesquisa é analisar como evitar a impunidade pela prática/reincidência em processos judiciais por improbidade ou peculato. Entre os objetivos específicos tèm-se: a)destacar quais são as condutas criminosas previstas na LIA; b) evidenciar os desafios dos órgãos de gestão pública no enfrentamento a tais violações, e por fim, c) analisar como a Lei de Improbidade Administrativa (Lei 8.429/92) e o crime de Peculato, incluso no art. 312 do Código Penal (1940), afetam a integridade ética, moral e legal no ato da gestão do trabalho público. A metodologia utilizada baseia-se na revisão bibliográfica, com exploração de artigos e publicações de pesquisas realizadas por instituições de ensino e órgãos públicos. A metodologia utilizada baseia-se na revisão bibliográfica, com exploração de artigos e publicações de pesquisas realizadas por instituições de ensino e órgãos públicos. Ao analisar as críticas e estudar casos concretos e posionamentos jurisprudenciais idenficou-se que os principais desafios da gestão pública são: a falta de transparência de informações acerca do dinheiro público; o impacto moral que o poder e as oportunidades podem influenciar as condutas do servidor público; e a corrupção estrutural. Dessa forma, é necessário maior fiscalização, campanha de conscientização e aplicabilidade da lei nos casos de violação. A análise revelou que práticas como auditoria interna, testes de integridade, reparação do dano, canais denúncia seguros`auxiliam no enfrentamento as violações à LIA. Sendo essecncial a preservação da ética profissional e moral administrativa.</w:t>
      </w:r>
      <w:r>
        <w:rPr>
          <w:rStyle w:val="eop"/>
          <w:rFonts w:ascii="Arial" w:hAnsi="Arial" w:cs="Arial"/>
          <w:color w:val="000000"/>
        </w:rPr>
        <w:t> </w:t>
      </w:r>
    </w:p>
    <w:p w:rsidR="00841DC0" w:rsidRDefault="00841DC0" w:rsidP="00D55E46">
      <w:pPr>
        <w:pStyle w:val="paragraph"/>
        <w:spacing w:before="0" w:beforeAutospacing="0" w:after="0" w:afterAutospacing="0"/>
        <w:jc w:val="both"/>
        <w:textAlignment w:val="baseline"/>
        <w:rPr>
          <w:rStyle w:val="normaltextrun"/>
          <w:rFonts w:ascii="Arial" w:hAnsi="Arial" w:cs="Arial"/>
          <w:color w:val="000000"/>
        </w:rPr>
      </w:pPr>
    </w:p>
    <w:p w:rsidR="003B4EE7" w:rsidRDefault="003B4EE7" w:rsidP="00D55E46">
      <w:pPr>
        <w:pStyle w:val="paragraph"/>
        <w:spacing w:before="0" w:beforeAutospacing="0" w:after="0" w:afterAutospacing="0"/>
        <w:jc w:val="both"/>
        <w:textAlignment w:val="baseline"/>
        <w:rPr>
          <w:rFonts w:ascii="Arial" w:hAnsi="Arial"/>
          <w:sz w:val="20"/>
          <w:szCs w:val="20"/>
        </w:rPr>
      </w:pPr>
      <w:r>
        <w:rPr>
          <w:rFonts w:ascii="Arial" w:hAnsi="Arial"/>
          <w:b/>
          <w:bCs/>
          <w:sz w:val="20"/>
          <w:szCs w:val="20"/>
        </w:rPr>
        <w:t>PALAVRAS-CHAVE</w:t>
      </w:r>
      <w:r>
        <w:rPr>
          <w:rFonts w:ascii="Arial" w:hAnsi="Arial"/>
          <w:sz w:val="20"/>
          <w:szCs w:val="20"/>
        </w:rPr>
        <w:t>:</w:t>
      </w:r>
      <w:r w:rsidR="007927D4">
        <w:rPr>
          <w:rFonts w:ascii="Arial" w:hAnsi="Arial"/>
          <w:sz w:val="20"/>
          <w:szCs w:val="20"/>
        </w:rPr>
        <w:t xml:space="preserve"> Improbidade Administrativa. Peculato. Gestão Pública</w:t>
      </w:r>
      <w:r w:rsidR="00D57D5B">
        <w:rPr>
          <w:rFonts w:ascii="Arial" w:hAnsi="Arial"/>
          <w:sz w:val="20"/>
          <w:szCs w:val="20"/>
        </w:rPr>
        <w:t>; dinheiro público.</w:t>
      </w:r>
    </w:p>
    <w:p w:rsidR="003B4EE7" w:rsidRDefault="003B4EE7" w:rsidP="00D55E46">
      <w:pPr>
        <w:pStyle w:val="paragraph"/>
        <w:spacing w:before="0" w:beforeAutospacing="0" w:after="0" w:afterAutospacing="0"/>
        <w:jc w:val="both"/>
        <w:textAlignment w:val="baseline"/>
        <w:rPr>
          <w:rStyle w:val="normaltextrun"/>
          <w:rFonts w:ascii="Arial" w:hAnsi="Arial" w:cs="Arial"/>
          <w:color w:val="000000"/>
        </w:rPr>
      </w:pPr>
    </w:p>
    <w:p w:rsidR="00841DC0" w:rsidRDefault="00841DC0" w:rsidP="00D55E46">
      <w:pPr>
        <w:pStyle w:val="paragraph"/>
        <w:spacing w:before="0" w:beforeAutospacing="0" w:after="0" w:afterAutospacing="0"/>
        <w:jc w:val="both"/>
        <w:textAlignment w:val="baseline"/>
        <w:rPr>
          <w:rStyle w:val="normaltextrun"/>
          <w:rFonts w:ascii="Arial" w:hAnsi="Arial" w:cs="Arial"/>
          <w:color w:val="000000"/>
        </w:rPr>
      </w:pPr>
      <w:r>
        <w:rPr>
          <w:rStyle w:val="normaltextrun"/>
          <w:rFonts w:ascii="Arial" w:hAnsi="Arial" w:cs="Arial"/>
          <w:color w:val="000000"/>
        </w:rPr>
        <w:t>REFERÊNCIAS</w:t>
      </w:r>
    </w:p>
    <w:p w:rsidR="00841DC0" w:rsidRDefault="00841DC0" w:rsidP="00D55E46">
      <w:pPr>
        <w:pStyle w:val="paragraph"/>
        <w:spacing w:before="0" w:beforeAutospacing="0" w:after="0" w:afterAutospacing="0"/>
        <w:jc w:val="both"/>
        <w:textAlignment w:val="baseline"/>
        <w:rPr>
          <w:rStyle w:val="normaltextrun"/>
          <w:rFonts w:ascii="Arial" w:hAnsi="Arial" w:cs="Arial"/>
          <w:color w:val="000000"/>
        </w:rPr>
      </w:pPr>
    </w:p>
    <w:p w:rsidR="00D55E46" w:rsidRDefault="00D55E46" w:rsidP="00D55E46">
      <w:pPr>
        <w:pStyle w:val="paragraph"/>
        <w:spacing w:before="0" w:beforeAutospacing="0" w:after="0" w:afterAutospacing="0"/>
        <w:jc w:val="both"/>
        <w:textAlignment w:val="baseline"/>
        <w:rPr>
          <w:rStyle w:val="eop"/>
          <w:rFonts w:ascii="Arial" w:hAnsi="Arial" w:cs="Arial"/>
          <w:color w:val="000000"/>
        </w:rPr>
      </w:pPr>
      <w:r>
        <w:rPr>
          <w:rStyle w:val="normaltextrun"/>
          <w:rFonts w:ascii="Arial" w:hAnsi="Arial" w:cs="Arial"/>
          <w:color w:val="000000"/>
        </w:rPr>
        <w:t xml:space="preserve">NUCCI, Guilherme de Souza. </w:t>
      </w:r>
      <w:r w:rsidRPr="00841DC0">
        <w:rPr>
          <w:rStyle w:val="normaltextrun"/>
          <w:rFonts w:ascii="Arial" w:hAnsi="Arial" w:cs="Arial"/>
          <w:b/>
          <w:color w:val="000000"/>
        </w:rPr>
        <w:t>Corrupção e Anticorrupção</w:t>
      </w:r>
      <w:r>
        <w:rPr>
          <w:rStyle w:val="normaltextrun"/>
          <w:rFonts w:ascii="Arial" w:hAnsi="Arial" w:cs="Arial"/>
          <w:color w:val="000000"/>
        </w:rPr>
        <w:t>. Rio de Janeiro 2015. </w:t>
      </w:r>
      <w:r>
        <w:rPr>
          <w:rStyle w:val="eop"/>
          <w:rFonts w:ascii="Arial" w:hAnsi="Arial" w:cs="Arial"/>
          <w:color w:val="000000"/>
        </w:rPr>
        <w:t> </w:t>
      </w:r>
    </w:p>
    <w:p w:rsidR="00841DC0" w:rsidRDefault="00841DC0" w:rsidP="00D55E46">
      <w:pPr>
        <w:pStyle w:val="paragraph"/>
        <w:spacing w:before="0" w:beforeAutospacing="0" w:after="0" w:afterAutospacing="0"/>
        <w:jc w:val="both"/>
        <w:textAlignment w:val="baseline"/>
        <w:rPr>
          <w:rFonts w:ascii="Segoe UI" w:hAnsi="Segoe UI" w:cs="Segoe UI"/>
          <w:sz w:val="18"/>
          <w:szCs w:val="18"/>
        </w:rPr>
      </w:pPr>
    </w:p>
    <w:p w:rsidR="00D55E46" w:rsidRDefault="00D55E46" w:rsidP="00D55E46">
      <w:pPr>
        <w:pStyle w:val="paragraph"/>
        <w:spacing w:before="0" w:beforeAutospacing="0" w:after="0" w:afterAutospacing="0"/>
        <w:jc w:val="both"/>
        <w:textAlignment w:val="baseline"/>
        <w:rPr>
          <w:rStyle w:val="eop"/>
          <w:rFonts w:ascii="Arial" w:hAnsi="Arial" w:cs="Arial"/>
          <w:color w:val="000000"/>
        </w:rPr>
      </w:pPr>
      <w:r>
        <w:rPr>
          <w:rStyle w:val="normaltextrun"/>
          <w:rFonts w:ascii="Arial" w:hAnsi="Arial" w:cs="Arial"/>
          <w:color w:val="000000"/>
        </w:rPr>
        <w:t xml:space="preserve">WAGNER. </w:t>
      </w:r>
      <w:r w:rsidRPr="00841DC0">
        <w:rPr>
          <w:rStyle w:val="normaltextrun"/>
          <w:rFonts w:ascii="Arial" w:hAnsi="Arial" w:cs="Arial"/>
          <w:b/>
          <w:color w:val="000000"/>
        </w:rPr>
        <w:t>O Espetáculo da Corrupção</w:t>
      </w:r>
      <w:r>
        <w:rPr>
          <w:rStyle w:val="normaltextrun"/>
          <w:rFonts w:ascii="Arial" w:hAnsi="Arial" w:cs="Arial"/>
          <w:color w:val="000000"/>
        </w:rPr>
        <w:t>. 2018. </w:t>
      </w:r>
      <w:r>
        <w:rPr>
          <w:rStyle w:val="eop"/>
          <w:rFonts w:ascii="Arial" w:hAnsi="Arial" w:cs="Arial"/>
          <w:color w:val="000000"/>
        </w:rPr>
        <w:t> </w:t>
      </w:r>
    </w:p>
    <w:p w:rsidR="00841DC0" w:rsidRDefault="00841DC0" w:rsidP="00D55E46">
      <w:pPr>
        <w:pStyle w:val="paragraph"/>
        <w:spacing w:before="0" w:beforeAutospacing="0" w:after="0" w:afterAutospacing="0"/>
        <w:jc w:val="both"/>
        <w:textAlignment w:val="baseline"/>
        <w:rPr>
          <w:rFonts w:ascii="Segoe UI" w:hAnsi="Segoe UI" w:cs="Segoe UI"/>
          <w:sz w:val="18"/>
          <w:szCs w:val="18"/>
        </w:rPr>
      </w:pPr>
    </w:p>
    <w:p w:rsidR="00D55E46" w:rsidRDefault="00D55E46" w:rsidP="00D55E46">
      <w:pPr>
        <w:pStyle w:val="paragraph"/>
        <w:spacing w:before="0" w:beforeAutospacing="0" w:after="0" w:afterAutospacing="0"/>
        <w:jc w:val="both"/>
        <w:textAlignment w:val="baseline"/>
        <w:rPr>
          <w:rStyle w:val="eop"/>
          <w:rFonts w:ascii="Arial" w:hAnsi="Arial" w:cs="Arial"/>
          <w:color w:val="000000"/>
        </w:rPr>
      </w:pPr>
      <w:r>
        <w:rPr>
          <w:rStyle w:val="normaltextrun"/>
          <w:rFonts w:ascii="Arial" w:hAnsi="Arial" w:cs="Arial"/>
          <w:color w:val="000000"/>
        </w:rPr>
        <w:lastRenderedPageBreak/>
        <w:t>GASPAR</w:t>
      </w:r>
      <w:r w:rsidRPr="00841DC0">
        <w:rPr>
          <w:rStyle w:val="normaltextrun"/>
          <w:rFonts w:ascii="Arial" w:hAnsi="Arial" w:cs="Arial"/>
          <w:b/>
          <w:color w:val="000000"/>
        </w:rPr>
        <w:t>. A Organização: A Odebrecht e o esquema que chocou o mundo</w:t>
      </w:r>
      <w:r>
        <w:rPr>
          <w:rStyle w:val="normaltextrun"/>
          <w:rFonts w:ascii="Arial" w:hAnsi="Arial" w:cs="Arial"/>
          <w:color w:val="000000"/>
        </w:rPr>
        <w:t>. 2020. </w:t>
      </w:r>
      <w:r>
        <w:rPr>
          <w:rStyle w:val="eop"/>
          <w:rFonts w:ascii="Arial" w:hAnsi="Arial" w:cs="Arial"/>
          <w:color w:val="000000"/>
        </w:rPr>
        <w:t> </w:t>
      </w:r>
    </w:p>
    <w:p w:rsidR="00841DC0" w:rsidRDefault="00841DC0" w:rsidP="00D55E46">
      <w:pPr>
        <w:pStyle w:val="paragraph"/>
        <w:spacing w:before="0" w:beforeAutospacing="0" w:after="0" w:afterAutospacing="0"/>
        <w:jc w:val="both"/>
        <w:textAlignment w:val="baseline"/>
        <w:rPr>
          <w:rFonts w:ascii="Segoe UI" w:hAnsi="Segoe UI" w:cs="Segoe UI"/>
          <w:sz w:val="18"/>
          <w:szCs w:val="18"/>
        </w:rPr>
      </w:pPr>
    </w:p>
    <w:p w:rsidR="00D55E46" w:rsidRDefault="00D55E46" w:rsidP="00D55E46">
      <w:pPr>
        <w:pStyle w:val="paragraph"/>
        <w:spacing w:before="0" w:beforeAutospacing="0" w:after="0" w:afterAutospacing="0"/>
        <w:jc w:val="both"/>
        <w:textAlignment w:val="baseline"/>
        <w:rPr>
          <w:rStyle w:val="eop"/>
          <w:rFonts w:ascii="Arial" w:hAnsi="Arial" w:cs="Arial"/>
          <w:color w:val="000000"/>
        </w:rPr>
      </w:pPr>
      <w:r>
        <w:rPr>
          <w:rStyle w:val="normaltextrun"/>
          <w:rFonts w:ascii="Arial" w:hAnsi="Arial" w:cs="Arial"/>
          <w:color w:val="000000"/>
        </w:rPr>
        <w:t xml:space="preserve">POLITIZE. </w:t>
      </w:r>
      <w:r w:rsidRPr="00841DC0">
        <w:rPr>
          <w:rStyle w:val="normaltextrun"/>
          <w:rFonts w:ascii="Arial" w:hAnsi="Arial" w:cs="Arial"/>
          <w:b/>
          <w:color w:val="000000"/>
        </w:rPr>
        <w:t>Improbidade administrativa: como afeta a política brasileira</w:t>
      </w:r>
      <w:r>
        <w:rPr>
          <w:rStyle w:val="normaltextrun"/>
          <w:rFonts w:ascii="Arial" w:hAnsi="Arial" w:cs="Arial"/>
          <w:color w:val="000000"/>
        </w:rPr>
        <w:t>. Disponível em: </w:t>
      </w:r>
      <w:hyperlink r:id="rId209" w:tgtFrame="_blank" w:history="1">
        <w:r>
          <w:rPr>
            <w:rStyle w:val="normaltextrun"/>
            <w:rFonts w:ascii="Arial" w:hAnsi="Arial" w:cs="Arial"/>
            <w:color w:val="467886"/>
          </w:rPr>
          <w:t>https://www.politize.com.br/improbidade-administrativacomo-afeta-politica-brasileira/</w:t>
        </w:r>
      </w:hyperlink>
      <w:r>
        <w:rPr>
          <w:rStyle w:val="normaltextrun"/>
          <w:rFonts w:ascii="Arial" w:hAnsi="Arial" w:cs="Arial"/>
          <w:color w:val="000000"/>
        </w:rPr>
        <w:t>. Acesso em: 25 março 2025. </w:t>
      </w:r>
      <w:r>
        <w:rPr>
          <w:rStyle w:val="eop"/>
          <w:rFonts w:ascii="Arial" w:hAnsi="Arial" w:cs="Arial"/>
          <w:color w:val="000000"/>
        </w:rPr>
        <w:t> </w:t>
      </w:r>
    </w:p>
    <w:p w:rsidR="00841DC0" w:rsidRDefault="00841DC0" w:rsidP="00D55E46">
      <w:pPr>
        <w:pStyle w:val="paragraph"/>
        <w:spacing w:before="0" w:beforeAutospacing="0" w:after="0" w:afterAutospacing="0"/>
        <w:jc w:val="both"/>
        <w:textAlignment w:val="baseline"/>
        <w:rPr>
          <w:rFonts w:ascii="Segoe UI" w:hAnsi="Segoe UI" w:cs="Segoe UI"/>
          <w:sz w:val="18"/>
          <w:szCs w:val="18"/>
        </w:rPr>
      </w:pPr>
    </w:p>
    <w:p w:rsidR="00D55E46" w:rsidRDefault="00D55E46" w:rsidP="00D55E46">
      <w:pPr>
        <w:pStyle w:val="paragraph"/>
        <w:spacing w:before="0" w:beforeAutospacing="0" w:after="0" w:afterAutospacing="0"/>
        <w:jc w:val="both"/>
        <w:textAlignment w:val="baseline"/>
        <w:rPr>
          <w:rStyle w:val="eop"/>
          <w:rFonts w:ascii="Arial" w:hAnsi="Arial" w:cs="Arial"/>
          <w:color w:val="000000"/>
        </w:rPr>
      </w:pPr>
      <w:r>
        <w:rPr>
          <w:rStyle w:val="normaltextrun"/>
          <w:rFonts w:ascii="Arial" w:hAnsi="Arial" w:cs="Arial"/>
          <w:color w:val="000000"/>
        </w:rPr>
        <w:t xml:space="preserve">STRECK, Lenio Luiz. </w:t>
      </w:r>
      <w:r w:rsidRPr="00746208">
        <w:rPr>
          <w:rStyle w:val="normaltextrun"/>
          <w:rFonts w:ascii="Arial" w:hAnsi="Arial" w:cs="Arial"/>
          <w:b/>
          <w:color w:val="000000"/>
        </w:rPr>
        <w:t>Hermenêutica jurídica e(m) crise: uma exploração hermenêutica da construção do direito</w:t>
      </w:r>
      <w:r>
        <w:rPr>
          <w:rStyle w:val="normaltextrun"/>
          <w:rFonts w:ascii="Arial" w:hAnsi="Arial" w:cs="Arial"/>
          <w:color w:val="000000"/>
        </w:rPr>
        <w:t>. 12. ed. Porto Alegre: Livraria do Advogado, 2018. </w:t>
      </w:r>
      <w:r>
        <w:rPr>
          <w:rStyle w:val="eop"/>
          <w:rFonts w:ascii="Arial" w:hAnsi="Arial" w:cs="Arial"/>
          <w:color w:val="000000"/>
        </w:rPr>
        <w:t> </w:t>
      </w:r>
    </w:p>
    <w:p w:rsidR="00841DC0" w:rsidRDefault="00841DC0" w:rsidP="00D55E46">
      <w:pPr>
        <w:pStyle w:val="paragraph"/>
        <w:spacing w:before="0" w:beforeAutospacing="0" w:after="0" w:afterAutospacing="0"/>
        <w:jc w:val="both"/>
        <w:textAlignment w:val="baseline"/>
        <w:rPr>
          <w:rFonts w:ascii="Segoe UI" w:hAnsi="Segoe UI" w:cs="Segoe UI"/>
          <w:sz w:val="18"/>
          <w:szCs w:val="18"/>
        </w:rPr>
      </w:pPr>
    </w:p>
    <w:p w:rsidR="00D55E46" w:rsidRDefault="00D55E46" w:rsidP="00D55E4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rPr>
        <w:t xml:space="preserve">BRASIL. Superior Tribunal de Justiça. </w:t>
      </w:r>
      <w:r w:rsidRPr="00841DC0">
        <w:rPr>
          <w:rStyle w:val="normaltextrun"/>
          <w:rFonts w:ascii="Arial" w:hAnsi="Arial" w:cs="Arial"/>
          <w:b/>
          <w:color w:val="000000"/>
        </w:rPr>
        <w:t>Recurso Especial n.º 1.787.156/SP</w:t>
      </w:r>
      <w:r>
        <w:rPr>
          <w:rStyle w:val="normaltextrun"/>
          <w:rFonts w:ascii="Arial" w:hAnsi="Arial" w:cs="Arial"/>
          <w:color w:val="000000"/>
        </w:rPr>
        <w:t>, Relator(a):MINISTRA ASSUSETE MAGALHÃES</w:t>
      </w:r>
      <w:r>
        <w:rPr>
          <w:rStyle w:val="normaltextrun"/>
          <w:rFonts w:ascii="Arial" w:hAnsi="Arial" w:cs="Arial"/>
          <w:color w:val="C14F62"/>
        </w:rPr>
        <w:t>,</w:t>
      </w:r>
      <w:r>
        <w:rPr>
          <w:rStyle w:val="normaltextrun"/>
          <w:rFonts w:ascii="Arial" w:hAnsi="Arial" w:cs="Arial"/>
          <w:color w:val="000000"/>
        </w:rPr>
        <w:t> Superior Tribunal de Justiça, 24 de novembro de 2021.</w:t>
      </w:r>
      <w:r>
        <w:rPr>
          <w:rStyle w:val="normaltextrun"/>
          <w:rFonts w:ascii="Arial" w:hAnsi="Arial" w:cs="Arial"/>
          <w:color w:val="C14F62"/>
        </w:rPr>
        <w:t> </w:t>
      </w:r>
      <w:r>
        <w:rPr>
          <w:rStyle w:val="normaltextrun"/>
          <w:rFonts w:ascii="Arial" w:hAnsi="Arial" w:cs="Arial"/>
          <w:color w:val="000000"/>
        </w:rPr>
        <w:t>DOU. 01 de dezembro de 2021</w:t>
      </w: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p w:rsidR="00AD3378" w:rsidRDefault="00AD3378">
      <w:pPr>
        <w:pStyle w:val="Corpodetexto"/>
        <w:jc w:val="both"/>
        <w:rPr>
          <w:rFonts w:ascii="Arial" w:hAnsi="Arial"/>
          <w:spacing w:val="-2"/>
        </w:rPr>
      </w:pPr>
    </w:p>
    <w:sectPr w:rsidR="00AD3378" w:rsidSect="00060C32">
      <w:headerReference w:type="even" r:id="rId210"/>
      <w:headerReference w:type="default" r:id="rId211"/>
      <w:footerReference w:type="even" r:id="rId212"/>
      <w:footerReference w:type="default" r:id="rId213"/>
      <w:headerReference w:type="first" r:id="rId214"/>
      <w:footerReference w:type="first" r:id="rId215"/>
      <w:pgSz w:w="11906" w:h="16838"/>
      <w:pgMar w:top="1460" w:right="1275" w:bottom="1080" w:left="1275" w:header="725" w:footer="896" w:gutter="0"/>
      <w:pgNumType w:start="1"/>
      <w:cols w:space="720"/>
      <w:formProt w:val="0"/>
      <w:docGrid w:linePitch="312" w:charSpace="-2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487" w:rsidRDefault="00D40487">
      <w:r>
        <w:separator/>
      </w:r>
    </w:p>
  </w:endnote>
  <w:endnote w:type="continuationSeparator" w:id="0">
    <w:p w:rsidR="00D40487" w:rsidRDefault="00D4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irmala UI Semilight">
    <w:panose1 w:val="020B0402040204020203"/>
    <w:charset w:val="00"/>
    <w:family w:val="swiss"/>
    <w:pitch w:val="variable"/>
    <w:sig w:usb0="80FF8023" w:usb1="0000004A" w:usb2="000002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0"/>
    <w:family w:val="roman"/>
    <w:pitch w:val="default"/>
  </w:font>
  <w:font w:name="NSimSun">
    <w:panose1 w:val="02010609030101010101"/>
    <w:charset w:val="86"/>
    <w:family w:val="modern"/>
    <w:pitch w:val="fixed"/>
    <w:sig w:usb0="00000283" w:usb1="288F0000" w:usb2="00000016" w:usb3="00000000" w:csb0="00040001" w:csb1="00000000"/>
  </w:font>
  <w:font w:name="ArialMT">
    <w:altName w:val="Times New Roman"/>
    <w:charset w:val="00"/>
    <w:family w:val="auto"/>
    <w:pitch w:val="default"/>
  </w:font>
  <w:font w:name="Arial-BoldMT">
    <w:altName w:val="Segoe Print"/>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Roboto">
    <w:altName w:val="Segoe Print"/>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w:t>
    </w:r>
  </w:p>
  <w:p w:rsidR="00C052DD" w:rsidRDefault="00C052DD">
    <w:pPr>
      <w:pStyle w:val="Corpodetexto"/>
      <w:spacing w:line="14" w:lineRule="auto"/>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rsidP="00873810">
    <w:pPr>
      <w:pStyle w:val="Rodap"/>
      <w:ind w:left="720"/>
      <w:rPr>
        <w:color w:val="000000"/>
        <w:sz w:val="18"/>
      </w:rPr>
    </w:pPr>
  </w:p>
  <w:p w:rsidR="00C052DD" w:rsidRPr="00873810" w:rsidRDefault="00C052DD" w:rsidP="00873810">
    <w:pPr>
      <w:pStyle w:val="Rodap"/>
      <w:jc w:val="right"/>
      <w:rPr>
        <w:rFonts w:ascii="Arial" w:hAnsi="Arial" w:cs="Arial"/>
        <w:color w:val="000000"/>
        <w:spacing w:val="-3"/>
        <w:sz w:val="14"/>
        <w:szCs w:val="14"/>
      </w:rPr>
    </w:pPr>
    <w:r>
      <w:rPr>
        <w:noProof/>
      </w:rPr>
      <mc:AlternateContent>
        <mc:Choice Requires="wps">
          <w:drawing>
            <wp:anchor distT="0" distB="0" distL="0" distR="0" simplePos="0" relativeHeight="251674624" behindDoc="1" locked="0" layoutInCell="0" allowOverlap="1" wp14:anchorId="4FC5E8AC" wp14:editId="767BE2DA">
              <wp:simplePos x="0" y="0"/>
              <wp:positionH relativeFrom="page">
                <wp:posOffset>814070</wp:posOffset>
              </wp:positionH>
              <wp:positionV relativeFrom="page">
                <wp:posOffset>9824720</wp:posOffset>
              </wp:positionV>
              <wp:extent cx="5864225" cy="328295"/>
              <wp:effectExtent l="0" t="0" r="0" b="0"/>
              <wp:wrapNone/>
              <wp:docPr id="21" name="Textbox 5"/>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rsidP="00873810">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w14:anchorId="4FC5E8AC" id="_x0000_s1038" style="position:absolute;left:0;text-align:left;margin-left:64.1pt;margin-top:773.6pt;width:461.75pt;height:25.8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" o:allowincell="f" filled="f" stroked="f" strokeweight="0">
              <v:textbox inset="0,0,0,0">
                <w:txbxContent>
                  <w:p w:rsidR="00C052DD" w:rsidRDefault="00C052DD" w:rsidP="00873810">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r>
      <w:rPr>
        <w:color w:val="000000"/>
        <w:sz w:val="18"/>
      </w:rPr>
      <w:t xml:space="preserve">| </w:t>
    </w:r>
    <w:sdt>
      <w:sdtPr>
        <w:id w:val="-1338151310"/>
        <w:docPartObj>
          <w:docPartGallery w:val="Page Numbers (Bottom of Page)"/>
          <w:docPartUnique/>
        </w:docPartObj>
      </w:sdtPr>
      <w:sdtContent>
        <w:r w:rsidRPr="00873810">
          <w:rPr>
            <w:rFonts w:ascii="Arial" w:hAnsi="Arial" w:cs="Arial"/>
          </w:rPr>
          <w:fldChar w:fldCharType="begin"/>
        </w:r>
        <w:r w:rsidRPr="00873810">
          <w:rPr>
            <w:rFonts w:ascii="Arial" w:hAnsi="Arial" w:cs="Arial"/>
          </w:rPr>
          <w:instrText>PAGE   \* MERGEFORMAT</w:instrText>
        </w:r>
        <w:r w:rsidRPr="00873810">
          <w:rPr>
            <w:rFonts w:ascii="Arial" w:hAnsi="Arial" w:cs="Arial"/>
          </w:rPr>
          <w:fldChar w:fldCharType="separate"/>
        </w:r>
        <w:r w:rsidRPr="00873810">
          <w:rPr>
            <w:rFonts w:ascii="Arial" w:hAnsi="Arial" w:cs="Arial"/>
            <w:lang w:val="pt-BR"/>
          </w:rPr>
          <w:t>2</w:t>
        </w:r>
        <w:r w:rsidRPr="00873810">
          <w:rPr>
            <w:rFonts w:ascii="Arial" w:hAnsi="Arial" w:cs="Arial"/>
          </w:rPr>
          <w:fldChar w:fldCharType="end"/>
        </w:r>
      </w:sdtContent>
    </w:sdt>
  </w:p>
  <w:p w:rsidR="00C052DD" w:rsidRDefault="00C052DD">
    <w:pPr>
      <w:pStyle w:val="Corpodetexto"/>
      <w:spacing w:line="14" w:lineRule="auto"/>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0048"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26"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40" style="position:absolute;margin-left:73.8pt;margin-top:786.2pt;width:461.75pt;height:25.8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0633444"/>
      <w:docPartObj>
        <w:docPartGallery w:val="Page Numbers (Bottom of Page)"/>
        <w:docPartUnique/>
      </w:docPartObj>
    </w:sdtPr>
    <w:sdtContent>
      <w:p w:rsidR="009001FA" w:rsidRDefault="009001FA">
        <w:pPr>
          <w:pStyle w:val="Rodap"/>
          <w:jc w:val="right"/>
        </w:pPr>
        <w:r>
          <w:fldChar w:fldCharType="begin"/>
        </w:r>
        <w:r>
          <w:instrText>PAGE   \* MERGEFORMAT</w:instrText>
        </w:r>
        <w:r>
          <w:fldChar w:fldCharType="separate"/>
        </w:r>
        <w:r>
          <w:rPr>
            <w:lang w:val="pt-BR"/>
          </w:rPr>
          <w:t>2</w:t>
        </w:r>
        <w:r>
          <w:fldChar w:fldCharType="end"/>
        </w:r>
      </w:p>
    </w:sdtContent>
  </w:sdt>
  <w:p w:rsidR="00C052DD" w:rsidRDefault="009001FA">
    <w:pPr>
      <w:pStyle w:val="Rodap"/>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r>
      <w:rPr>
        <w:noProof/>
      </w:rPr>
      <mc:AlternateContent>
        <mc:Choice Requires="wps">
          <w:drawing>
            <wp:anchor distT="0" distB="0" distL="0" distR="0" simplePos="0" relativeHeight="251652096" behindDoc="1" locked="0" layoutInCell="0" allowOverlap="1">
              <wp:simplePos x="0" y="0"/>
              <wp:positionH relativeFrom="margin">
                <wp:posOffset>1905</wp:posOffset>
              </wp:positionH>
              <wp:positionV relativeFrom="paragraph">
                <wp:posOffset>4445</wp:posOffset>
              </wp:positionV>
              <wp:extent cx="6211570" cy="184785"/>
              <wp:effectExtent l="0" t="0" r="0" b="0"/>
              <wp:wrapNone/>
              <wp:docPr id="28" name="Caixa de Texto 19"/>
              <wp:cNvGraphicFramePr/>
              <a:graphic xmlns:a="http://schemas.openxmlformats.org/drawingml/2006/main">
                <a:graphicData uri="http://schemas.microsoft.com/office/word/2010/wordprocessingShape">
                  <wps:wsp>
                    <wps:cNvSpPr/>
                    <wps:spPr>
                      <a:xfrm>
                        <a:off x="0" y="0"/>
                        <a:ext cx="6211440" cy="18468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C052DD" w:rsidRDefault="00C052DD">
                          <w:pPr>
                            <w:pStyle w:val="Contedodoquadrouser"/>
                            <w:rPr>
                              <w:color w:val="000000"/>
                            </w:rPr>
                          </w:pPr>
                        </w:p>
                      </w:txbxContent>
                    </wps:txbx>
                    <wps:bodyPr lIns="0" tIns="0" rIns="0" bIns="0" anchor="t">
                      <a:spAutoFit/>
                    </wps:bodyPr>
                  </wps:wsp>
                </a:graphicData>
              </a:graphic>
            </wp:anchor>
          </w:drawing>
        </mc:Choice>
        <mc:Fallback>
          <w:pict>
            <v:rect id="Caixa de Texto 19" o:spid="_x0000_s1041" style="position:absolute;margin-left:.15pt;margin-top:.35pt;width:489.1pt;height:14.55pt;z-index:-25166438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" o:allowincell="f" filled="f" stroked="f" strokeweight=".5pt">
              <v:textbox style="mso-fit-shape-to-text:t" inset="0,0,0,0">
                <w:txbxContent>
                  <w:p w:rsidR="00C052DD" w:rsidRDefault="00C052DD">
                    <w:pPr>
                      <w:pStyle w:val="Contedodoquadrouser"/>
                      <w:rPr>
                        <w:color w:val="000000"/>
                      </w:rPr>
                    </w:pPr>
                  </w:p>
                </w:txbxContent>
              </v:textbox>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099850"/>
      <w:docPartObj>
        <w:docPartGallery w:val="Page Numbers (Bottom of Page)"/>
        <w:docPartUnique/>
      </w:docPartObj>
    </w:sdtPr>
    <w:sdtContent>
      <w:p w:rsidR="00093B6E" w:rsidRDefault="00093B6E">
        <w:pPr>
          <w:pStyle w:val="Rodap"/>
          <w:jc w:val="right"/>
        </w:pPr>
        <w:r>
          <w:fldChar w:fldCharType="begin"/>
        </w:r>
        <w:r>
          <w:instrText>PAGE   \* MERGEFORMAT</w:instrText>
        </w:r>
        <w:r>
          <w:fldChar w:fldCharType="separate"/>
        </w:r>
        <w:r>
          <w:rPr>
            <w:lang w:val="pt-BR"/>
          </w:rPr>
          <w:t>2</w:t>
        </w:r>
        <w:r>
          <w:fldChar w:fldCharType="end"/>
        </w:r>
      </w:p>
      <w:p w:rsidR="00093B6E" w:rsidRDefault="00093B6E" w:rsidP="00093B6E">
        <w:pPr>
          <w:pStyle w:val="Rodap"/>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w:t>
        </w:r>
      </w:p>
    </w:sdtContent>
  </w:sdt>
  <w:p w:rsidR="00C052DD" w:rsidRDefault="00093B6E">
    <w:pPr>
      <w:pStyle w:val="Corpodetexto"/>
      <w:spacing w:line="14" w:lineRule="auto"/>
    </w:pPr>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6192"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40"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44" style="position:absolute;margin-left:73.8pt;margin-top:786.2pt;width:461.75pt;height:25.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8240"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43"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46" style="position:absolute;margin-left:73.8pt;margin-top:786.2pt;width:461.75pt;height:25.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1856"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7"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Textbox 2" o:spid="_x0000_s1032" style="position:absolute;margin-left:73.8pt;margin-top:786.2pt;width:461.75pt;height:25.8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60288"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44"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history="1">
                            <w:r w:rsidR="00093B6E" w:rsidRPr="00933623">
                              <w:rPr>
                                <w:rStyle w:val="Hyperlink"/>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48" style="position:absolute;margin-left:73.8pt;margin-top:786.2pt;width:461.75pt;height:25.8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history="1">
                      <w:r w:rsidR="00093B6E" w:rsidRPr="00933623">
                        <w:rPr>
                          <w:rStyle w:val="Hyperlink"/>
                          <w:spacing w:val="-2"/>
                          <w:sz w:val="18"/>
                        </w:rPr>
                        <w:t>http://anais.unievangelica.edu.br/index.php/juridicoraizes/index</w:t>
                      </w:r>
                    </w:hyperlink>
                  </w:p>
                </w:txbxContent>
              </v:textbox>
              <w10:wrap anchorx="page" anchory="page"/>
            </v:rect>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66432"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35"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50" style="position:absolute;margin-left:73.8pt;margin-top:786.2pt;width:461.75pt;height:25.8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68480"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36"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52" style="position:absolute;margin-left:73.8pt;margin-top:786.2pt;width:461.75pt;height:25.8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70528"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71"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54" style="position:absolute;margin-left:73.8pt;margin-top:786.2pt;width:461.75pt;height:25.8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72576"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72" name="Textbox 2"/>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56" style="position:absolute;margin-left:73.8pt;margin-top:786.2pt;width:461.75pt;height:25.8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3904"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13" name="Textbox 5"/>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Textbox 5" o:spid="_x0000_s1034" style="position:absolute;margin-left:73.8pt;margin-top:786.2pt;width:461.75pt;height:25.8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5952" behindDoc="1" locked="0" layoutInCell="0" allowOverlap="1">
              <wp:simplePos x="0" y="0"/>
              <wp:positionH relativeFrom="page">
                <wp:posOffset>937260</wp:posOffset>
              </wp:positionH>
              <wp:positionV relativeFrom="page">
                <wp:posOffset>9984740</wp:posOffset>
              </wp:positionV>
              <wp:extent cx="5864225" cy="328295"/>
              <wp:effectExtent l="0" t="0" r="0" b="0"/>
              <wp:wrapNone/>
              <wp:docPr id="14" name="Textbox 5"/>
              <wp:cNvGraphicFramePr/>
              <a:graphic xmlns:a="http://schemas.openxmlformats.org/drawingml/2006/main">
                <a:graphicData uri="http://schemas.microsoft.com/office/word/2010/wordprocessingShape">
                  <wps:wsp>
                    <wps:cNvSpPr/>
                    <wps:spPr>
                      <a:xfrm>
                        <a:off x="0" y="0"/>
                        <a:ext cx="5864400" cy="3283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1">
                            <w:r>
                              <w:rPr>
                                <w:color w:val="000000"/>
                                <w:spacing w:val="-2"/>
                                <w:sz w:val="18"/>
                              </w:rPr>
                              <w:t>http://anais.unievangelica.edu.br/index.php/juridicoraizes/index</w:t>
                            </w:r>
                          </w:hyperlink>
                        </w:p>
                      </w:txbxContent>
                    </wps:txbx>
                    <wps:bodyPr lIns="0" tIns="0" rIns="0" bIns="0" anchor="t">
                      <a:noAutofit/>
                    </wps:bodyPr>
                  </wps:wsp>
                </a:graphicData>
              </a:graphic>
            </wp:anchor>
          </w:drawing>
        </mc:Choice>
        <mc:Fallback>
          <w:pict>
            <v:rect id="_x0000_s1036" style="position:absolute;margin-left:73.8pt;margin-top:786.2pt;width:461.75pt;height:25.85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" o:allowincell="f" filled="f" stroked="f" strokeweight="0">
              <v:textbox inset="0,0,0,0">
                <w:txbxContent>
                  <w:p w:rsidR="00C052DD" w:rsidRDefault="00C052DD">
                    <w:pPr>
                      <w:pStyle w:val="Contedodoquadrouser"/>
                      <w:spacing w:before="19"/>
                      <w:ind w:left="220" w:right="18"/>
                      <w:rPr>
                        <w:sz w:val="18"/>
                      </w:rPr>
                    </w:pPr>
                    <w:r>
                      <w:rPr>
                        <w:color w:val="000000"/>
                        <w:sz w:val="18"/>
                      </w:rPr>
                      <w:t>XX</w:t>
                    </w:r>
                    <w:r>
                      <w:rPr>
                        <w:color w:val="000000"/>
                        <w:sz w:val="18"/>
                        <w:lang w:val="pt-BR"/>
                      </w:rPr>
                      <w:t>IV</w:t>
                    </w:r>
                    <w:r>
                      <w:rPr>
                        <w:color w:val="000000"/>
                        <w:spacing w:val="-2"/>
                        <w:sz w:val="18"/>
                      </w:rPr>
                      <w:t xml:space="preserve"> </w:t>
                    </w:r>
                    <w:r>
                      <w:rPr>
                        <w:color w:val="000000"/>
                        <w:sz w:val="18"/>
                      </w:rPr>
                      <w:t>Jornada</w:t>
                    </w:r>
                    <w:r>
                      <w:rPr>
                        <w:color w:val="000000"/>
                        <w:spacing w:val="-2"/>
                        <w:sz w:val="18"/>
                      </w:rPr>
                      <w:t xml:space="preserve"> </w:t>
                    </w:r>
                    <w:r>
                      <w:rPr>
                        <w:color w:val="000000"/>
                        <w:sz w:val="18"/>
                      </w:rPr>
                      <w:t>Jurídica da</w:t>
                    </w:r>
                    <w:r>
                      <w:rPr>
                        <w:color w:val="000000"/>
                        <w:spacing w:val="-2"/>
                        <w:sz w:val="18"/>
                      </w:rPr>
                      <w:t xml:space="preserve"> </w:t>
                    </w:r>
                    <w:r>
                      <w:rPr>
                        <w:color w:val="000000"/>
                        <w:sz w:val="18"/>
                      </w:rPr>
                      <w:t>Faculdade</w:t>
                    </w:r>
                    <w:r>
                      <w:rPr>
                        <w:color w:val="000000"/>
                        <w:spacing w:val="-1"/>
                        <w:sz w:val="18"/>
                      </w:rPr>
                      <w:t xml:space="preserve"> </w:t>
                    </w:r>
                    <w:r>
                      <w:rPr>
                        <w:color w:val="000000"/>
                        <w:sz w:val="18"/>
                      </w:rPr>
                      <w:t>Evangélica Raízes</w:t>
                    </w:r>
                    <w:r>
                      <w:rPr>
                        <w:color w:val="000000"/>
                        <w:spacing w:val="-2"/>
                        <w:sz w:val="18"/>
                      </w:rPr>
                      <w:t xml:space="preserve"> </w:t>
                    </w:r>
                    <w:r>
                      <w:rPr>
                        <w:color w:val="000000"/>
                        <w:sz w:val="18"/>
                      </w:rPr>
                      <w:t>“</w:t>
                    </w:r>
                    <w:r>
                      <w:rPr>
                        <w:rFonts w:eastAsia="SimSun"/>
                        <w:color w:val="000000"/>
                        <w:sz w:val="18"/>
                        <w:szCs w:val="18"/>
                      </w:rPr>
                      <w:t>“O Direito que permanece: humanidade na era dos algoritmos</w:t>
                    </w:r>
                    <w:r>
                      <w:rPr>
                        <w:rFonts w:ascii="SimSun" w:eastAsia="SimSun" w:hAnsi="SimSun" w:cs="SimSun"/>
                        <w:color w:val="000000"/>
                        <w:sz w:val="24"/>
                        <w:szCs w:val="24"/>
                      </w:rPr>
                      <w:t>”</w:t>
                    </w:r>
                    <w:r>
                      <w:rPr>
                        <w:color w:val="000000"/>
                        <w:sz w:val="18"/>
                        <w:lang w:val="pt-BR"/>
                      </w:rPr>
                      <w:t>”</w:t>
                    </w:r>
                    <w:r>
                      <w:rPr>
                        <w:color w:val="000000"/>
                        <w:spacing w:val="-1"/>
                        <w:sz w:val="18"/>
                      </w:rPr>
                      <w:t xml:space="preserve"> </w:t>
                    </w:r>
                    <w:r>
                      <w:rPr>
                        <w:color w:val="000000"/>
                        <w:sz w:val="18"/>
                      </w:rPr>
                      <w:t>|</w:t>
                    </w:r>
                    <w:r>
                      <w:rPr>
                        <w:color w:val="000000"/>
                        <w:spacing w:val="-5"/>
                        <w:sz w:val="18"/>
                      </w:rPr>
                      <w:t xml:space="preserve"> </w:t>
                    </w:r>
                    <w:r>
                      <w:rPr>
                        <w:color w:val="000000"/>
                        <w:sz w:val="18"/>
                      </w:rPr>
                      <w:t>Anais,</w:t>
                    </w:r>
                    <w:r>
                      <w:rPr>
                        <w:color w:val="000000"/>
                        <w:spacing w:val="-3"/>
                        <w:sz w:val="18"/>
                      </w:rPr>
                      <w:t xml:space="preserve"> </w:t>
                    </w:r>
                    <w:r>
                      <w:rPr>
                        <w:color w:val="000000"/>
                        <w:sz w:val="18"/>
                      </w:rPr>
                      <w:t>volume</w:t>
                    </w:r>
                    <w:r>
                      <w:rPr>
                        <w:color w:val="000000"/>
                        <w:spacing w:val="-2"/>
                        <w:sz w:val="18"/>
                      </w:rPr>
                      <w:t xml:space="preserve"> </w:t>
                    </w:r>
                    <w:r>
                      <w:rPr>
                        <w:color w:val="000000"/>
                        <w:spacing w:val="-2"/>
                        <w:sz w:val="18"/>
                        <w:lang w:val="pt-BR"/>
                      </w:rPr>
                      <w:t>5</w:t>
                    </w:r>
                    <w:r>
                      <w:rPr>
                        <w:color w:val="000000"/>
                        <w:sz w:val="18"/>
                      </w:rPr>
                      <w:t>,</w:t>
                    </w:r>
                    <w:r>
                      <w:rPr>
                        <w:color w:val="000000"/>
                        <w:spacing w:val="-2"/>
                        <w:sz w:val="18"/>
                      </w:rPr>
                      <w:t xml:space="preserve"> </w:t>
                    </w:r>
                    <w:r>
                      <w:rPr>
                        <w:color w:val="000000"/>
                        <w:sz w:val="18"/>
                      </w:rPr>
                      <w:t>número</w:t>
                    </w:r>
                    <w:r>
                      <w:rPr>
                        <w:color w:val="000000"/>
                        <w:spacing w:val="-1"/>
                        <w:sz w:val="18"/>
                      </w:rPr>
                      <w:t xml:space="preserve"> </w:t>
                    </w:r>
                    <w:r>
                      <w:rPr>
                        <w:color w:val="000000"/>
                        <w:sz w:val="18"/>
                      </w:rPr>
                      <w:t>1,</w:t>
                    </w:r>
                    <w:r>
                      <w:rPr>
                        <w:color w:val="000000"/>
                        <w:spacing w:val="-3"/>
                        <w:sz w:val="18"/>
                      </w:rPr>
                      <w:t xml:space="preserve"> </w:t>
                    </w:r>
                    <w:r>
                      <w:rPr>
                        <w:color w:val="000000"/>
                        <w:sz w:val="18"/>
                      </w:rPr>
                      <w:t>202</w:t>
                    </w:r>
                    <w:r>
                      <w:rPr>
                        <w:color w:val="000000"/>
                        <w:sz w:val="18"/>
                        <w:lang w:val="pt-BR"/>
                      </w:rPr>
                      <w:t>6</w:t>
                    </w:r>
                    <w:r>
                      <w:rPr>
                        <w:color w:val="000000"/>
                        <w:spacing w:val="-2"/>
                        <w:sz w:val="18"/>
                      </w:rPr>
                      <w:t xml:space="preserve"> </w:t>
                    </w:r>
                    <w:r>
                      <w:rPr>
                        <w:color w:val="000000"/>
                        <w:sz w:val="18"/>
                      </w:rPr>
                      <w:t>|</w:t>
                    </w:r>
                    <w:r>
                      <w:rPr>
                        <w:color w:val="000000"/>
                        <w:spacing w:val="-5"/>
                        <w:sz w:val="18"/>
                      </w:rPr>
                      <w:t xml:space="preserve"> </w:t>
                    </w:r>
                    <w:r>
                      <w:rPr>
                        <w:color w:val="000000"/>
                        <w:sz w:val="18"/>
                      </w:rPr>
                      <w:t>ISSN</w:t>
                    </w:r>
                    <w:r>
                      <w:rPr>
                        <w:color w:val="000000"/>
                        <w:spacing w:val="-3"/>
                        <w:sz w:val="18"/>
                      </w:rPr>
                      <w:t xml:space="preserve"> </w:t>
                    </w:r>
                    <w:r>
                      <w:rPr>
                        <w:color w:val="000000"/>
                        <w:sz w:val="18"/>
                      </w:rPr>
                      <w:t>2596-1128</w:t>
                    </w:r>
                    <w:r>
                      <w:rPr>
                        <w:color w:val="000000"/>
                        <w:spacing w:val="-3"/>
                        <w:sz w:val="18"/>
                      </w:rPr>
                      <w:t xml:space="preserve"> </w:t>
                    </w:r>
                    <w:r>
                      <w:rPr>
                        <w:color w:val="000000"/>
                        <w:sz w:val="18"/>
                      </w:rPr>
                      <w:t xml:space="preserve">| </w:t>
                    </w:r>
                    <w:hyperlink r:id="rId2">
                      <w:r>
                        <w:rPr>
                          <w:color w:val="000000"/>
                          <w:spacing w:val="-2"/>
                          <w:sz w:val="18"/>
                        </w:rPr>
                        <w:t>http://anais.unievangelica.edu.br/index.php/juridicoraizes/index</w:t>
                      </w:r>
                    </w:hyperlink>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ind w:leftChars="100" w:left="220"/>
      <w:rPr>
        <w:spacing w:val="-5"/>
        <w:sz w:val="18"/>
        <w:szCs w:val="18"/>
      </w:rPr>
    </w:pPr>
  </w:p>
  <w:p w:rsidR="00C052DD" w:rsidRDefault="00C052DD">
    <w:pPr>
      <w:spacing w:before="19"/>
      <w:ind w:left="220" w:right="18"/>
      <w:rPr>
        <w:sz w:val="18"/>
      </w:rPr>
    </w:pPr>
    <w:r>
      <w:rPr>
        <w:sz w:val="18"/>
      </w:rPr>
      <w:t>XX</w:t>
    </w:r>
    <w:r>
      <w:rPr>
        <w:sz w:val="18"/>
        <w:lang w:val="pt-BR"/>
      </w:rPr>
      <w:t>IV</w:t>
    </w:r>
    <w:r>
      <w:rPr>
        <w:spacing w:val="-2"/>
        <w:sz w:val="18"/>
      </w:rPr>
      <w:t xml:space="preserve"> </w:t>
    </w:r>
    <w:r>
      <w:rPr>
        <w:sz w:val="18"/>
      </w:rPr>
      <w:t>Jornada</w:t>
    </w:r>
    <w:r>
      <w:rPr>
        <w:spacing w:val="-2"/>
        <w:sz w:val="18"/>
      </w:rPr>
      <w:t xml:space="preserve"> </w:t>
    </w:r>
    <w:r>
      <w:rPr>
        <w:sz w:val="18"/>
      </w:rPr>
      <w:t>Jurídica da</w:t>
    </w:r>
    <w:r>
      <w:rPr>
        <w:spacing w:val="-2"/>
        <w:sz w:val="18"/>
      </w:rPr>
      <w:t xml:space="preserve"> </w:t>
    </w:r>
    <w:r>
      <w:rPr>
        <w:sz w:val="18"/>
      </w:rPr>
      <w:t>Faculdade</w:t>
    </w:r>
    <w:r>
      <w:rPr>
        <w:spacing w:val="-1"/>
        <w:sz w:val="18"/>
      </w:rPr>
      <w:t xml:space="preserve"> </w:t>
    </w:r>
    <w:r>
      <w:rPr>
        <w:sz w:val="18"/>
      </w:rPr>
      <w:t>Evangélica Raízes</w:t>
    </w:r>
    <w:r>
      <w:rPr>
        <w:spacing w:val="-2"/>
        <w:sz w:val="18"/>
      </w:rPr>
      <w:t xml:space="preserve"> </w:t>
    </w:r>
    <w:r>
      <w:rPr>
        <w:sz w:val="18"/>
      </w:rPr>
      <w:t>“</w:t>
    </w:r>
    <w:r>
      <w:rPr>
        <w:sz w:val="18"/>
        <w:lang w:val="pt-BR"/>
      </w:rPr>
      <w:t>Retórica, Argumentação e Práticas Jurídicas”</w:t>
    </w:r>
    <w:r>
      <w:rPr>
        <w:spacing w:val="-1"/>
        <w:sz w:val="18"/>
      </w:rPr>
      <w:t xml:space="preserve"> </w:t>
    </w:r>
    <w:r>
      <w:rPr>
        <w:sz w:val="18"/>
      </w:rPr>
      <w:t>|</w:t>
    </w:r>
    <w:r>
      <w:rPr>
        <w:spacing w:val="-5"/>
        <w:sz w:val="18"/>
      </w:rPr>
      <w:t xml:space="preserve"> </w:t>
    </w:r>
    <w:r>
      <w:rPr>
        <w:sz w:val="18"/>
      </w:rPr>
      <w:t>Anais,</w:t>
    </w:r>
    <w:r>
      <w:rPr>
        <w:spacing w:val="-3"/>
        <w:sz w:val="18"/>
      </w:rPr>
      <w:t xml:space="preserve"> </w:t>
    </w:r>
    <w:r>
      <w:rPr>
        <w:sz w:val="18"/>
      </w:rPr>
      <w:t>volume</w:t>
    </w:r>
    <w:r>
      <w:rPr>
        <w:spacing w:val="-2"/>
        <w:sz w:val="18"/>
      </w:rPr>
      <w:t xml:space="preserve"> </w:t>
    </w:r>
    <w:r>
      <w:rPr>
        <w:spacing w:val="-2"/>
        <w:sz w:val="18"/>
        <w:lang w:val="pt-BR"/>
      </w:rPr>
      <w:t>4</w:t>
    </w:r>
    <w:r>
      <w:rPr>
        <w:sz w:val="18"/>
      </w:rPr>
      <w:t>,</w:t>
    </w:r>
    <w:r>
      <w:rPr>
        <w:spacing w:val="-2"/>
        <w:sz w:val="18"/>
      </w:rPr>
      <w:t xml:space="preserve"> </w:t>
    </w:r>
    <w:r>
      <w:rPr>
        <w:sz w:val="18"/>
      </w:rPr>
      <w:t>número</w:t>
    </w:r>
    <w:r>
      <w:rPr>
        <w:spacing w:val="-1"/>
        <w:sz w:val="18"/>
      </w:rPr>
      <w:t xml:space="preserve"> </w:t>
    </w:r>
    <w:r>
      <w:rPr>
        <w:sz w:val="18"/>
      </w:rPr>
      <w:t>1,</w:t>
    </w:r>
    <w:r>
      <w:rPr>
        <w:spacing w:val="-3"/>
        <w:sz w:val="18"/>
      </w:rPr>
      <w:t xml:space="preserve"> </w:t>
    </w:r>
    <w:r>
      <w:rPr>
        <w:sz w:val="18"/>
      </w:rPr>
      <w:t>202</w:t>
    </w:r>
    <w:r>
      <w:rPr>
        <w:sz w:val="18"/>
        <w:lang w:val="pt-BR"/>
      </w:rPr>
      <w:t>5</w:t>
    </w:r>
    <w:r>
      <w:rPr>
        <w:spacing w:val="-2"/>
        <w:sz w:val="18"/>
      </w:rPr>
      <w:t xml:space="preserve"> </w:t>
    </w:r>
    <w:r>
      <w:rPr>
        <w:sz w:val="18"/>
      </w:rPr>
      <w:t>|</w:t>
    </w:r>
    <w:r>
      <w:rPr>
        <w:spacing w:val="-5"/>
        <w:sz w:val="18"/>
      </w:rPr>
      <w:t xml:space="preserve"> </w:t>
    </w:r>
    <w:r>
      <w:rPr>
        <w:sz w:val="18"/>
      </w:rPr>
      <w:t>ISSN</w:t>
    </w:r>
    <w:r>
      <w:rPr>
        <w:spacing w:val="-3"/>
        <w:sz w:val="18"/>
      </w:rPr>
      <w:t xml:space="preserve"> </w:t>
    </w:r>
    <w:r>
      <w:rPr>
        <w:sz w:val="18"/>
      </w:rPr>
      <w:t>2596-1128</w:t>
    </w:r>
    <w:r>
      <w:rPr>
        <w:spacing w:val="-3"/>
        <w:sz w:val="18"/>
      </w:rPr>
      <w:t xml:space="preserve"> </w:t>
    </w:r>
    <w:r>
      <w:rPr>
        <w:sz w:val="18"/>
      </w:rPr>
      <w:t xml:space="preserve">| </w:t>
    </w:r>
    <w:hyperlink r:id="rId1">
      <w:r>
        <w:rPr>
          <w:spacing w:val="-2"/>
          <w:sz w:val="18"/>
        </w:rPr>
        <w:t>http://anais.unievangelica.edu.br/index.php/juridicoraizes/index</w:t>
      </w:r>
    </w:hyperlink>
  </w:p>
  <w:p w:rsidR="00C052DD" w:rsidRDefault="00C052DD">
    <w:pPr>
      <w:pStyle w:val="Rodap"/>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ind w:leftChars="100" w:left="220"/>
      <w:rPr>
        <w:spacing w:val="-5"/>
        <w:sz w:val="18"/>
        <w:szCs w:val="18"/>
      </w:rPr>
    </w:pPr>
  </w:p>
  <w:p w:rsidR="00C052DD" w:rsidRDefault="00C052DD">
    <w:pPr>
      <w:spacing w:before="19"/>
      <w:ind w:left="220" w:right="18"/>
      <w:rPr>
        <w:sz w:val="18"/>
      </w:rPr>
    </w:pPr>
    <w:r>
      <w:rPr>
        <w:sz w:val="18"/>
      </w:rPr>
      <w:t>XX</w:t>
    </w:r>
    <w:r>
      <w:rPr>
        <w:sz w:val="18"/>
        <w:lang w:val="pt-BR"/>
      </w:rPr>
      <w:t>IV</w:t>
    </w:r>
    <w:r>
      <w:rPr>
        <w:spacing w:val="-2"/>
        <w:sz w:val="18"/>
      </w:rPr>
      <w:t xml:space="preserve"> </w:t>
    </w:r>
    <w:r>
      <w:rPr>
        <w:sz w:val="18"/>
      </w:rPr>
      <w:t>Jornada</w:t>
    </w:r>
    <w:r>
      <w:rPr>
        <w:spacing w:val="-2"/>
        <w:sz w:val="18"/>
      </w:rPr>
      <w:t xml:space="preserve"> </w:t>
    </w:r>
    <w:r>
      <w:rPr>
        <w:sz w:val="18"/>
      </w:rPr>
      <w:t>Jurídica da</w:t>
    </w:r>
    <w:r>
      <w:rPr>
        <w:spacing w:val="-2"/>
        <w:sz w:val="18"/>
      </w:rPr>
      <w:t xml:space="preserve"> </w:t>
    </w:r>
    <w:r>
      <w:rPr>
        <w:sz w:val="18"/>
      </w:rPr>
      <w:t>Faculdade</w:t>
    </w:r>
    <w:r>
      <w:rPr>
        <w:spacing w:val="-1"/>
        <w:sz w:val="18"/>
      </w:rPr>
      <w:t xml:space="preserve"> </w:t>
    </w:r>
    <w:r>
      <w:rPr>
        <w:sz w:val="18"/>
      </w:rPr>
      <w:t>Evangélica Raízes</w:t>
    </w:r>
    <w:r>
      <w:rPr>
        <w:spacing w:val="-2"/>
        <w:sz w:val="18"/>
      </w:rPr>
      <w:t xml:space="preserve"> </w:t>
    </w:r>
    <w:r>
      <w:rPr>
        <w:sz w:val="18"/>
      </w:rPr>
      <w:t>“</w:t>
    </w:r>
    <w:r>
      <w:rPr>
        <w:sz w:val="18"/>
        <w:lang w:val="pt-BR"/>
      </w:rPr>
      <w:t>Retórica, Argumentação e Práticas Jurídicas”</w:t>
    </w:r>
    <w:r>
      <w:rPr>
        <w:spacing w:val="-1"/>
        <w:sz w:val="18"/>
      </w:rPr>
      <w:t xml:space="preserve"> </w:t>
    </w:r>
    <w:r>
      <w:rPr>
        <w:sz w:val="18"/>
      </w:rPr>
      <w:t>|</w:t>
    </w:r>
    <w:r>
      <w:rPr>
        <w:spacing w:val="-5"/>
        <w:sz w:val="18"/>
      </w:rPr>
      <w:t xml:space="preserve"> </w:t>
    </w:r>
    <w:r>
      <w:rPr>
        <w:sz w:val="18"/>
      </w:rPr>
      <w:t>Anais,</w:t>
    </w:r>
    <w:r>
      <w:rPr>
        <w:spacing w:val="-3"/>
        <w:sz w:val="18"/>
      </w:rPr>
      <w:t xml:space="preserve"> </w:t>
    </w:r>
    <w:r>
      <w:rPr>
        <w:sz w:val="18"/>
      </w:rPr>
      <w:t>volume</w:t>
    </w:r>
    <w:r>
      <w:rPr>
        <w:spacing w:val="-2"/>
        <w:sz w:val="18"/>
      </w:rPr>
      <w:t xml:space="preserve"> </w:t>
    </w:r>
    <w:r>
      <w:rPr>
        <w:spacing w:val="-2"/>
        <w:sz w:val="18"/>
        <w:lang w:val="pt-BR"/>
      </w:rPr>
      <w:t>4</w:t>
    </w:r>
    <w:r>
      <w:rPr>
        <w:sz w:val="18"/>
      </w:rPr>
      <w:t>,</w:t>
    </w:r>
    <w:r>
      <w:rPr>
        <w:spacing w:val="-2"/>
        <w:sz w:val="18"/>
      </w:rPr>
      <w:t xml:space="preserve"> </w:t>
    </w:r>
    <w:r>
      <w:rPr>
        <w:sz w:val="18"/>
      </w:rPr>
      <w:t>número</w:t>
    </w:r>
    <w:r>
      <w:rPr>
        <w:spacing w:val="-1"/>
        <w:sz w:val="18"/>
      </w:rPr>
      <w:t xml:space="preserve"> </w:t>
    </w:r>
    <w:r>
      <w:rPr>
        <w:sz w:val="18"/>
      </w:rPr>
      <w:t>1,</w:t>
    </w:r>
    <w:r>
      <w:rPr>
        <w:spacing w:val="-3"/>
        <w:sz w:val="18"/>
      </w:rPr>
      <w:t xml:space="preserve"> </w:t>
    </w:r>
    <w:r>
      <w:rPr>
        <w:sz w:val="18"/>
      </w:rPr>
      <w:t>202</w:t>
    </w:r>
    <w:r>
      <w:rPr>
        <w:sz w:val="18"/>
        <w:lang w:val="pt-BR"/>
      </w:rPr>
      <w:t>5</w:t>
    </w:r>
    <w:r>
      <w:rPr>
        <w:spacing w:val="-2"/>
        <w:sz w:val="18"/>
      </w:rPr>
      <w:t xml:space="preserve"> </w:t>
    </w:r>
    <w:r>
      <w:rPr>
        <w:sz w:val="18"/>
      </w:rPr>
      <w:t>|</w:t>
    </w:r>
    <w:r>
      <w:rPr>
        <w:spacing w:val="-5"/>
        <w:sz w:val="18"/>
      </w:rPr>
      <w:t xml:space="preserve"> </w:t>
    </w:r>
    <w:r>
      <w:rPr>
        <w:sz w:val="18"/>
      </w:rPr>
      <w:t>ISSN</w:t>
    </w:r>
    <w:r>
      <w:rPr>
        <w:spacing w:val="-3"/>
        <w:sz w:val="18"/>
      </w:rPr>
      <w:t xml:space="preserve"> </w:t>
    </w:r>
    <w:r>
      <w:rPr>
        <w:sz w:val="18"/>
      </w:rPr>
      <w:t>2596-1128</w:t>
    </w:r>
    <w:r>
      <w:rPr>
        <w:spacing w:val="-3"/>
        <w:sz w:val="18"/>
      </w:rPr>
      <w:t xml:space="preserve"> </w:t>
    </w:r>
    <w:r>
      <w:rPr>
        <w:sz w:val="18"/>
      </w:rPr>
      <w:t xml:space="preserve">| </w:t>
    </w:r>
    <w:hyperlink r:id="rId1">
      <w:r>
        <w:rPr>
          <w:spacing w:val="-2"/>
          <w:sz w:val="18"/>
        </w:rPr>
        <w:t>http://anais.unievangelica.edu.br/index.php/juridicoraizes/index</w:t>
      </w:r>
    </w:hyperlink>
  </w:p>
  <w:p w:rsidR="00C052DD" w:rsidRDefault="00C052DD">
    <w:pPr>
      <w:pStyle w:val="Rodap"/>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487" w:rsidRDefault="00D40487">
      <w:r>
        <w:separator/>
      </w:r>
    </w:p>
  </w:footnote>
  <w:footnote w:type="continuationSeparator" w:id="0">
    <w:p w:rsidR="00D40487" w:rsidRDefault="00D40487">
      <w:r>
        <w:continuationSeparator/>
      </w:r>
    </w:p>
  </w:footnote>
  <w:footnote w:id="1">
    <w:p w:rsidR="00C052DD" w:rsidRDefault="00C052DD">
      <w:pPr>
        <w:pStyle w:val="Textodenotaderodap"/>
        <w:rPr>
          <w:rFonts w:ascii="Times New Roman" w:hAnsi="Times New Roman" w:cs="Times New Roman"/>
        </w:rPr>
      </w:pPr>
      <w:r>
        <w:rPr>
          <w:rStyle w:val="Caracteresdenotaderodap"/>
        </w:rPr>
        <w:footnoteRef/>
      </w:r>
      <w:r>
        <w:rPr>
          <w:rFonts w:ascii="Times New Roman" w:hAnsi="Times New Roman" w:cs="Times New Roman"/>
        </w:rPr>
        <w:t xml:space="preserve"> Graduando em Direito pela Faculdade Evangélica Raízes, Anápolis, Goiás, gabrielflorencio1005@gmail.com</w:t>
      </w:r>
    </w:p>
  </w:footnote>
  <w:footnote w:id="2">
    <w:p w:rsidR="00C052DD" w:rsidRDefault="00C052DD">
      <w:pPr>
        <w:pStyle w:val="Textodenotaderodap"/>
        <w:rPr>
          <w:rFonts w:ascii="Times New Roman" w:hAnsi="Times New Roman" w:cs="Times New Roman"/>
        </w:rPr>
      </w:pPr>
      <w:r>
        <w:rPr>
          <w:rStyle w:val="Caracteresdenotaderodap"/>
        </w:rPr>
        <w:footnoteRef/>
      </w:r>
      <w:r>
        <w:rPr>
          <w:rFonts w:ascii="Times New Roman" w:hAnsi="Times New Roman" w:cs="Times New Roman"/>
        </w:rPr>
        <w:t xml:space="preserve"> Graduanda em Direito pela Faculdade Evangélica Raízes, Anápolis, Goiás, </w:t>
      </w:r>
      <w:hyperlink r:id="rId1" w:history="1">
        <w:r>
          <w:rPr>
            <w:rStyle w:val="Hyperlink"/>
            <w:rFonts w:ascii="Times New Roman" w:hAnsi="Times New Roman" w:cs="Times New Roman"/>
          </w:rPr>
          <w:t>mariaeduradam098@gmail.com</w:t>
        </w:r>
      </w:hyperlink>
    </w:p>
  </w:footnote>
  <w:footnote w:id="3">
    <w:p w:rsidR="00C052DD" w:rsidRDefault="00C052DD">
      <w:pPr>
        <w:pStyle w:val="Textodenotaderodap"/>
      </w:pPr>
      <w:r>
        <w:rPr>
          <w:rStyle w:val="Caracteresdenotaderodap"/>
        </w:rPr>
        <w:footnoteRef/>
      </w:r>
      <w:r>
        <w:rPr>
          <w:rFonts w:ascii="Times New Roman" w:hAnsi="Times New Roman" w:cs="Times New Roman"/>
        </w:rPr>
        <w:t xml:space="preserve"> Professora. Mestre, Especialista em Direito Penal e Processo Penal (UniEvangélica). Professora Orientadora da Faculdade Evangélica Raízes. Anápolis, Goiás, Brasil. E-mail: cristiane.bonfim@docente.faculdaderaizes.edu.br.</w:t>
      </w:r>
    </w:p>
  </w:footnote>
  <w:footnote w:id="4">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Acadêmica do Curso de Direito da Faculdade Evangélica Raízes, Anápolis, Goiás, eduardacristinasaguiar@gmail.com.</w:t>
      </w:r>
    </w:p>
  </w:footnote>
  <w:footnote w:id="5">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vertAlign w:val="superscript"/>
        </w:rPr>
        <w:t>2</w:t>
      </w:r>
      <w:r>
        <w:rPr>
          <w:rFonts w:ascii="Times New Roman" w:hAnsi="Times New Roman" w:cs="Times New Roman"/>
        </w:rPr>
        <w:t>Acadêmica do Curso de Direito da Faculdade Evangélica Raízes, Anápolis, Goiás, karinerodrioliveira@gmail.com.</w:t>
      </w:r>
    </w:p>
  </w:footnote>
  <w:footnote w:id="6">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Graduação em Direito pela UniEvangélica, Anápolis-GO (2000); especialista em Direito Tributário pela Unisul Universidade do Sul de Santa Catarina; Mestrando em Sociedade, Tecnologia e Meio- Ambiente pelo PPGSTMA UniEvangélica; Professor da Associação Educativa Evangélica, em exercício na Faculdade Evangélica Raízes; Advogado com experiência na área de Direito, com ênfase em Direito Civil, Penal e Processual. Orientação: Estágio Curricular Supervisionado e Trabalho de Curso. E- mail: cesar.oliveira@faculdaderaizes.edu.br</w:t>
      </w:r>
    </w:p>
  </w:footnote>
  <w:footnote w:id="7">
    <w:p w:rsidR="00C052DD" w:rsidRPr="00176E51" w:rsidRDefault="00C052DD">
      <w:pPr>
        <w:pStyle w:val="Textodenotaderodap"/>
        <w:rPr>
          <w:rFonts w:ascii="Arial" w:hAnsi="Arial" w:cs="Arial"/>
          <w:lang w:val="pt-BR"/>
        </w:rPr>
      </w:pPr>
      <w:r w:rsidRPr="00176E51">
        <w:rPr>
          <w:rStyle w:val="Caracteresdenotaderodap"/>
          <w:rFonts w:ascii="Arial" w:hAnsi="Arial" w:cs="Arial"/>
        </w:rPr>
        <w:footnoteRef/>
      </w:r>
      <w:r w:rsidRPr="00176E51">
        <w:rPr>
          <w:rFonts w:ascii="Arial" w:hAnsi="Arial" w:cs="Arial"/>
        </w:rPr>
        <w:t xml:space="preserve"> </w:t>
      </w:r>
      <w:r w:rsidRPr="00176E51">
        <w:rPr>
          <w:rFonts w:ascii="Arial" w:hAnsi="Arial" w:cs="Arial"/>
          <w:lang w:val="pt-BR"/>
        </w:rPr>
        <w:t>Discente da Faculdade Evangélica Raízes. E-mail: kaiquevaleriano12@gmail.com</w:t>
      </w:r>
    </w:p>
  </w:footnote>
  <w:footnote w:id="8">
    <w:p w:rsidR="00C052DD" w:rsidRPr="00176E51" w:rsidRDefault="00C052DD">
      <w:pPr>
        <w:pStyle w:val="Textodenotaderodap"/>
        <w:rPr>
          <w:rFonts w:ascii="Arial" w:hAnsi="Arial" w:cs="Arial"/>
          <w:lang w:val="pt-BR"/>
        </w:rPr>
      </w:pPr>
      <w:r w:rsidRPr="00176E51">
        <w:rPr>
          <w:rStyle w:val="Caracteresdenotaderodap"/>
          <w:rFonts w:ascii="Arial" w:hAnsi="Arial" w:cs="Arial"/>
        </w:rPr>
        <w:footnoteRef/>
      </w:r>
      <w:r w:rsidRPr="00176E51">
        <w:rPr>
          <w:rFonts w:ascii="Arial" w:hAnsi="Arial" w:cs="Arial"/>
        </w:rPr>
        <w:t xml:space="preserve"> </w:t>
      </w:r>
      <w:r w:rsidRPr="00176E51">
        <w:rPr>
          <w:rFonts w:ascii="Arial" w:hAnsi="Arial" w:cs="Arial"/>
          <w:lang w:val="pt-BR"/>
        </w:rPr>
        <w:t>Discente da Faculdade Evangélica Raízes. E-mail:</w:t>
      </w:r>
      <w:r w:rsidRPr="00176E51">
        <w:rPr>
          <w:rFonts w:ascii="Arial" w:hAnsi="Arial" w:cs="Arial"/>
        </w:rPr>
        <w:t xml:space="preserve"> </w:t>
      </w:r>
      <w:r w:rsidRPr="00176E51">
        <w:rPr>
          <w:rFonts w:ascii="Arial" w:hAnsi="Arial" w:cs="Arial"/>
          <w:lang w:val="pt-BR"/>
        </w:rPr>
        <w:t>marcio_sbjunior@outlook.com</w:t>
      </w:r>
    </w:p>
  </w:footnote>
  <w:footnote w:id="9">
    <w:p w:rsidR="00C052DD" w:rsidRDefault="00C052DD">
      <w:pPr>
        <w:pStyle w:val="Textodenotaderodap"/>
        <w:rPr>
          <w:lang w:val="pt-BR"/>
        </w:rPr>
      </w:pPr>
      <w:r w:rsidRPr="00176E51">
        <w:rPr>
          <w:rStyle w:val="Caracteresdenotaderodap"/>
          <w:rFonts w:ascii="Arial" w:hAnsi="Arial" w:cs="Arial"/>
        </w:rPr>
        <w:footnoteRef/>
      </w:r>
      <w:r w:rsidRPr="00176E51">
        <w:rPr>
          <w:rFonts w:ascii="Arial" w:hAnsi="Arial" w:cs="Arial"/>
        </w:rPr>
        <w:t xml:space="preserve"> Advogada. Professora Orientadora da Faculdade Evangélica Raízes. Anápolis, Goiás, Brasil. </w:t>
      </w:r>
      <w:r w:rsidRPr="00176E51">
        <w:rPr>
          <w:rFonts w:ascii="Arial" w:hAnsi="Arial" w:cs="Arial"/>
          <w:lang w:val="pt-BR"/>
        </w:rPr>
        <w:t>E-mail:</w:t>
      </w:r>
      <w:r w:rsidRPr="00176E51">
        <w:rPr>
          <w:rFonts w:ascii="Arial" w:hAnsi="Arial" w:cs="Arial"/>
        </w:rPr>
        <w:t xml:space="preserve"> </w:t>
      </w:r>
      <w:r w:rsidRPr="00176E51">
        <w:rPr>
          <w:rFonts w:ascii="Arial" w:hAnsi="Arial" w:cs="Arial"/>
          <w:lang w:val="pt-BR"/>
        </w:rPr>
        <w:t>viajuridica.br@gmail.com</w:t>
      </w:r>
    </w:p>
  </w:footnote>
  <w:footnote w:id="10">
    <w:p w:rsidR="00C052DD" w:rsidRDefault="00C052DD">
      <w:pPr>
        <w:pStyle w:val="Textodenotaderodap"/>
        <w:ind w:hanging="10"/>
        <w:jc w:val="both"/>
        <w:rPr>
          <w:rFonts w:ascii="Times New Roman" w:hAnsi="Times New Roman" w:cs="Times New Roman"/>
        </w:rPr>
      </w:pPr>
      <w:r>
        <w:rPr>
          <w:rStyle w:val="Caracteresdenotaderodap"/>
        </w:rPr>
        <w:footnoteRef/>
      </w:r>
      <w:r>
        <w:rPr>
          <w:rFonts w:ascii="Times New Roman" w:hAnsi="Times New Roman" w:cs="Times New Roman"/>
        </w:rPr>
        <w:t xml:space="preserve"> Graduanda em Direito pela Faculdade Evangélica Raízes, Anápolis, Goiás, anavitoriapcm@gmail.com.</w:t>
      </w:r>
    </w:p>
  </w:footnote>
  <w:footnote w:id="11">
    <w:p w:rsidR="00C052DD" w:rsidRDefault="00C052DD">
      <w:pPr>
        <w:pStyle w:val="Textodenotaderodap"/>
        <w:ind w:hanging="10"/>
        <w:jc w:val="both"/>
        <w:rPr>
          <w:rFonts w:ascii="Times New Roman" w:hAnsi="Times New Roman" w:cs="Times New Roman"/>
        </w:rPr>
      </w:pPr>
      <w:r>
        <w:rPr>
          <w:rStyle w:val="Caracteresdenotaderodap"/>
        </w:rPr>
        <w:footnoteRef/>
      </w:r>
      <w:r>
        <w:rPr>
          <w:rFonts w:ascii="Times New Roman" w:hAnsi="Times New Roman" w:cs="Times New Roman"/>
        </w:rPr>
        <w:t xml:space="preserve"> Graduanda em Direito pela Faculdade Evangélica Raízes, Anápolis, Goiás, </w:t>
      </w:r>
      <w:hyperlink r:id="rId2">
        <w:r>
          <w:rPr>
            <w:rStyle w:val="Hyperlink1"/>
            <w:rFonts w:ascii="Times New Roman" w:hAnsi="Times New Roman" w:cs="Times New Roman"/>
          </w:rPr>
          <w:t>carolinapinheiroandrade@gmail.com</w:t>
        </w:r>
      </w:hyperlink>
      <w:r>
        <w:rPr>
          <w:rFonts w:ascii="Times New Roman" w:hAnsi="Times New Roman" w:cs="Times New Roman"/>
        </w:rPr>
        <w:t>.</w:t>
      </w:r>
    </w:p>
  </w:footnote>
  <w:footnote w:id="12">
    <w:p w:rsidR="00C052DD" w:rsidRDefault="00C052DD">
      <w:pPr>
        <w:pStyle w:val="Textodenotaderodap"/>
        <w:ind w:hanging="10"/>
        <w:jc w:val="both"/>
        <w:rPr>
          <w:rFonts w:ascii="Times New Roman" w:hAnsi="Times New Roman" w:cs="Times New Roman"/>
        </w:rPr>
      </w:pPr>
      <w:r>
        <w:rPr>
          <w:rStyle w:val="Caracteresdenotaderodap"/>
        </w:rPr>
        <w:footnoteRef/>
      </w:r>
      <w:r>
        <w:rPr>
          <w:rFonts w:ascii="Times New Roman" w:hAnsi="Times New Roman" w:cs="Times New Roman"/>
        </w:rPr>
        <w:t xml:space="preserve"> Mestre no Programa de Pós-Graduação “Território e Expressões Culturais no Cerrado” na</w:t>
      </w:r>
    </w:p>
    <w:p w:rsidR="00C052DD" w:rsidRDefault="00C052DD">
      <w:pPr>
        <w:pStyle w:val="Textodenotaderodap"/>
        <w:ind w:hanging="10"/>
        <w:jc w:val="both"/>
        <w:rPr>
          <w:rFonts w:ascii="Times New Roman" w:hAnsi="Times New Roman" w:cs="Times New Roman"/>
        </w:rPr>
      </w:pPr>
      <w:r>
        <w:rPr>
          <w:rFonts w:ascii="Times New Roman" w:hAnsi="Times New Roman" w:cs="Times New Roman"/>
        </w:rPr>
        <w:t>Universidade Estadual de Goiás; Especialista em Gestão Pública Municipal pela Universidade Estadual</w:t>
      </w:r>
    </w:p>
    <w:p w:rsidR="00C052DD" w:rsidRDefault="00C052DD">
      <w:pPr>
        <w:pStyle w:val="Textodenotaderodap"/>
        <w:ind w:hanging="10"/>
        <w:jc w:val="both"/>
        <w:rPr>
          <w:rFonts w:ascii="Times New Roman" w:hAnsi="Times New Roman" w:cs="Times New Roman"/>
        </w:rPr>
      </w:pPr>
      <w:r>
        <w:rPr>
          <w:rFonts w:ascii="Times New Roman" w:hAnsi="Times New Roman" w:cs="Times New Roman"/>
        </w:rPr>
        <w:t>de Goiás, Brasil (2016); Especialista em Direito Civil e Processo Civil pelo Centro Universitário de</w:t>
      </w:r>
    </w:p>
    <w:p w:rsidR="00C052DD" w:rsidRDefault="00C052DD">
      <w:pPr>
        <w:pStyle w:val="Textodenotaderodap"/>
        <w:ind w:hanging="10"/>
        <w:jc w:val="both"/>
        <w:rPr>
          <w:rFonts w:ascii="Times New Roman" w:hAnsi="Times New Roman" w:cs="Times New Roman"/>
        </w:rPr>
      </w:pPr>
      <w:r>
        <w:rPr>
          <w:rFonts w:ascii="Times New Roman" w:hAnsi="Times New Roman" w:cs="Times New Roman"/>
        </w:rPr>
        <w:t>Anápolis, UniEvangélica, (2015);  E-mail: pcavalcanti976@gmail.com.</w:t>
      </w:r>
    </w:p>
  </w:footnote>
  <w:footnote w:id="13">
    <w:p w:rsidR="00C052DD" w:rsidRDefault="00C052DD">
      <w:pPr>
        <w:pStyle w:val="Textodenotaderodap"/>
        <w:jc w:val="both"/>
      </w:pPr>
      <w:r>
        <w:rPr>
          <w:rStyle w:val="Caracteresdenotaderodap"/>
        </w:rPr>
        <w:footnoteRef/>
      </w:r>
      <w:r>
        <w:rPr>
          <w:rFonts w:ascii="Arial" w:hAnsi="Arial" w:cs="Arial"/>
          <w:color w:val="000000"/>
        </w:rPr>
        <w:t xml:space="preserve">Graduanda em Direito pela Faculdade Evangélica Raízes. Anápolis, Goiás. fernandeshelienay@gmail.com </w:t>
      </w:r>
    </w:p>
  </w:footnote>
  <w:footnote w:id="14">
    <w:p w:rsidR="00C052DD" w:rsidRDefault="00C052DD">
      <w:pPr>
        <w:jc w:val="both"/>
        <w:rPr>
          <w:rFonts w:ascii="Arial" w:hAnsi="Arial" w:cs="Arial"/>
          <w:color w:val="000000"/>
          <w:sz w:val="18"/>
          <w:szCs w:val="20"/>
        </w:rPr>
      </w:pPr>
      <w:r>
        <w:rPr>
          <w:rStyle w:val="Caracteresdenotaderodap"/>
        </w:rPr>
        <w:footnoteRef/>
      </w:r>
      <w:r>
        <w:rPr>
          <w:rFonts w:ascii="Arial" w:hAnsi="Arial" w:cs="Arial"/>
          <w:color w:val="000000"/>
          <w:sz w:val="18"/>
          <w:szCs w:val="20"/>
        </w:rPr>
        <w:t>Graduando em Direito pela Faculdade Evangélica Raízes. Anápolis, Goiás. victorhugoms28@gmail.com</w:t>
      </w:r>
    </w:p>
  </w:footnote>
  <w:footnote w:id="15">
    <w:p w:rsidR="00C052DD" w:rsidRDefault="00C052DD">
      <w:pPr>
        <w:pStyle w:val="Textodenotaderodap"/>
        <w:jc w:val="both"/>
        <w:rPr>
          <w:lang w:val="pt-BR"/>
        </w:rPr>
      </w:pPr>
      <w:r>
        <w:rPr>
          <w:rStyle w:val="Caracteresdenotaderodap"/>
        </w:rPr>
        <w:footnoteRef/>
      </w:r>
      <w:r>
        <w:rPr>
          <w:rFonts w:ascii="Arial" w:hAnsi="Arial" w:cs="Arial"/>
          <w:color w:val="000000"/>
          <w:lang w:val="pt-BR"/>
        </w:rPr>
        <w:t>Mestra pela Universidade Estadual de Goiás em Territórios e Expressões Culturais no Cerrado, Professora</w:t>
      </w:r>
      <w:r>
        <w:rPr>
          <w:rFonts w:ascii="Arial" w:hAnsi="Arial" w:cs="Arial"/>
          <w:color w:val="000000"/>
        </w:rPr>
        <w:t xml:space="preserve"> na Faculdade Evangélica Raízes. Anápolis, Goiás. brunafelipedocente@gmail.com </w:t>
      </w:r>
    </w:p>
  </w:footnote>
  <w:footnote w:id="16">
    <w:p w:rsidR="00C052DD" w:rsidRDefault="00C052DD">
      <w:pPr>
        <w:pStyle w:val="Textodenotaderodap"/>
        <w:rPr>
          <w:rFonts w:ascii="Times New Roman" w:hAnsi="Times New Roman" w:cs="Times New Roman"/>
          <w:sz w:val="20"/>
          <w:szCs w:val="20"/>
          <w:lang w:val="pt-BR"/>
        </w:rPr>
      </w:pPr>
      <w:r>
        <w:rPr>
          <w:rStyle w:val="Refdenotaderodap"/>
          <w:rFonts w:ascii="Arial" w:hAnsi="Arial" w:cs="Arial"/>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pt-BR"/>
        </w:rPr>
        <w:t xml:space="preserve">Discente da Faculdade Evangélica Raízes. E-mail: </w:t>
      </w:r>
      <w:hyperlink r:id="rId3" w:history="1">
        <w:r>
          <w:rPr>
            <w:rStyle w:val="Hyperlink"/>
            <w:rFonts w:ascii="Times New Roman" w:hAnsi="Times New Roman" w:cs="Times New Roman"/>
            <w:color w:val="auto"/>
            <w:sz w:val="20"/>
            <w:szCs w:val="20"/>
          </w:rPr>
          <w:t>mariaroz292000@gmail.com.br</w:t>
        </w:r>
      </w:hyperlink>
    </w:p>
  </w:footnote>
  <w:footnote w:id="17">
    <w:p w:rsidR="00C052DD" w:rsidRDefault="00C052DD">
      <w:pPr>
        <w:ind w:right="197"/>
        <w:rPr>
          <w:rFonts w:ascii="Times New Roman" w:hAnsi="Times New Roman" w:cs="Times New Roman"/>
          <w:sz w:val="20"/>
          <w:szCs w:val="20"/>
          <w:lang w:val="pt-BR"/>
        </w:rPr>
      </w:pPr>
      <w:r>
        <w:rPr>
          <w:rStyle w:val="Caracteresdenotaderodap"/>
          <w:rFonts w:ascii="Times New Roman" w:hAnsi="Times New Roman" w:cs="Times New Roman"/>
          <w:sz w:val="20"/>
          <w:szCs w:val="20"/>
        </w:rPr>
        <w:footnoteRef/>
      </w:r>
      <w:r>
        <w:rPr>
          <w:rFonts w:ascii="Times New Roman" w:hAnsi="Times New Roman" w:cs="Times New Roman"/>
          <w:sz w:val="20"/>
          <w:szCs w:val="20"/>
        </w:rPr>
        <w:t xml:space="preserve"> Advogada</w:t>
      </w:r>
      <w:r>
        <w:rPr>
          <w:rFonts w:ascii="Times New Roman" w:hAnsi="Times New Roman" w:cs="Times New Roman"/>
          <w:spacing w:val="-6"/>
          <w:sz w:val="20"/>
          <w:szCs w:val="20"/>
        </w:rPr>
        <w:t xml:space="preserve"> </w:t>
      </w:r>
      <w:r>
        <w:rPr>
          <w:rFonts w:ascii="Times New Roman" w:hAnsi="Times New Roman" w:cs="Times New Roman"/>
          <w:sz w:val="20"/>
          <w:szCs w:val="20"/>
        </w:rPr>
        <w:t>e</w:t>
      </w:r>
      <w:r>
        <w:rPr>
          <w:rFonts w:ascii="Times New Roman" w:hAnsi="Times New Roman" w:cs="Times New Roman"/>
          <w:spacing w:val="-3"/>
          <w:sz w:val="20"/>
          <w:szCs w:val="20"/>
        </w:rPr>
        <w:t xml:space="preserve"> </w:t>
      </w:r>
      <w:r>
        <w:rPr>
          <w:rFonts w:ascii="Times New Roman" w:hAnsi="Times New Roman" w:cs="Times New Roman"/>
          <w:sz w:val="20"/>
          <w:szCs w:val="20"/>
        </w:rPr>
        <w:t>professora</w:t>
      </w:r>
      <w:r>
        <w:rPr>
          <w:rFonts w:ascii="Times New Roman" w:hAnsi="Times New Roman" w:cs="Times New Roman"/>
          <w:spacing w:val="-6"/>
          <w:sz w:val="20"/>
          <w:szCs w:val="20"/>
        </w:rPr>
        <w:t xml:space="preserve"> </w:t>
      </w:r>
      <w:r>
        <w:rPr>
          <w:rFonts w:ascii="Times New Roman" w:hAnsi="Times New Roman" w:cs="Times New Roman"/>
          <w:sz w:val="20"/>
          <w:szCs w:val="20"/>
        </w:rPr>
        <w:t>universitária.</w:t>
      </w:r>
      <w:r>
        <w:rPr>
          <w:rFonts w:ascii="Times New Roman" w:hAnsi="Times New Roman" w:cs="Times New Roman"/>
          <w:spacing w:val="-2"/>
          <w:sz w:val="20"/>
          <w:szCs w:val="20"/>
        </w:rPr>
        <w:t xml:space="preserve"> </w:t>
      </w:r>
      <w:r>
        <w:rPr>
          <w:rFonts w:ascii="Times New Roman" w:hAnsi="Times New Roman" w:cs="Times New Roman"/>
          <w:sz w:val="20"/>
          <w:szCs w:val="20"/>
        </w:rPr>
        <w:t>Mestre</w:t>
      </w:r>
      <w:r>
        <w:rPr>
          <w:rFonts w:ascii="Times New Roman" w:hAnsi="Times New Roman" w:cs="Times New Roman"/>
          <w:spacing w:val="-3"/>
          <w:sz w:val="20"/>
          <w:szCs w:val="20"/>
        </w:rPr>
        <w:t xml:space="preserve"> </w:t>
      </w:r>
      <w:r>
        <w:rPr>
          <w:rFonts w:ascii="Times New Roman" w:hAnsi="Times New Roman" w:cs="Times New Roman"/>
          <w:sz w:val="20"/>
          <w:szCs w:val="20"/>
        </w:rPr>
        <w:t>em</w:t>
      </w:r>
      <w:r>
        <w:rPr>
          <w:rFonts w:ascii="Times New Roman" w:hAnsi="Times New Roman" w:cs="Times New Roman"/>
          <w:spacing w:val="-1"/>
          <w:sz w:val="20"/>
          <w:szCs w:val="20"/>
        </w:rPr>
        <w:t xml:space="preserve"> </w:t>
      </w:r>
      <w:r>
        <w:rPr>
          <w:rFonts w:ascii="Times New Roman" w:hAnsi="Times New Roman" w:cs="Times New Roman"/>
          <w:sz w:val="20"/>
          <w:szCs w:val="20"/>
        </w:rPr>
        <w:t>Direito</w:t>
      </w:r>
      <w:r>
        <w:rPr>
          <w:rFonts w:ascii="Times New Roman" w:hAnsi="Times New Roman" w:cs="Times New Roman"/>
          <w:spacing w:val="-4"/>
          <w:sz w:val="20"/>
          <w:szCs w:val="20"/>
        </w:rPr>
        <w:t xml:space="preserve"> </w:t>
      </w:r>
      <w:r>
        <w:rPr>
          <w:rFonts w:ascii="Times New Roman" w:hAnsi="Times New Roman" w:cs="Times New Roman"/>
          <w:sz w:val="20"/>
          <w:szCs w:val="20"/>
        </w:rPr>
        <w:t>pela</w:t>
      </w:r>
      <w:r>
        <w:rPr>
          <w:rFonts w:ascii="Times New Roman" w:hAnsi="Times New Roman" w:cs="Times New Roman"/>
          <w:spacing w:val="-3"/>
          <w:sz w:val="20"/>
          <w:szCs w:val="20"/>
        </w:rPr>
        <w:t xml:space="preserve"> </w:t>
      </w:r>
      <w:r>
        <w:rPr>
          <w:rFonts w:ascii="Times New Roman" w:hAnsi="Times New Roman" w:cs="Times New Roman"/>
          <w:sz w:val="20"/>
          <w:szCs w:val="20"/>
        </w:rPr>
        <w:t>Universidade</w:t>
      </w:r>
      <w:r>
        <w:rPr>
          <w:rFonts w:ascii="Times New Roman" w:hAnsi="Times New Roman" w:cs="Times New Roman"/>
          <w:spacing w:val="-3"/>
          <w:sz w:val="20"/>
          <w:szCs w:val="20"/>
        </w:rPr>
        <w:t xml:space="preserve"> </w:t>
      </w:r>
      <w:r>
        <w:rPr>
          <w:rFonts w:ascii="Times New Roman" w:hAnsi="Times New Roman" w:cs="Times New Roman"/>
          <w:sz w:val="20"/>
          <w:szCs w:val="20"/>
        </w:rPr>
        <w:t>de</w:t>
      </w:r>
      <w:r>
        <w:rPr>
          <w:rFonts w:ascii="Times New Roman" w:hAnsi="Times New Roman" w:cs="Times New Roman"/>
          <w:spacing w:val="-5"/>
          <w:sz w:val="20"/>
          <w:szCs w:val="20"/>
        </w:rPr>
        <w:t xml:space="preserve"> </w:t>
      </w:r>
      <w:r>
        <w:rPr>
          <w:rFonts w:ascii="Times New Roman" w:hAnsi="Times New Roman" w:cs="Times New Roman"/>
          <w:sz w:val="20"/>
          <w:szCs w:val="20"/>
        </w:rPr>
        <w:t>Coimbra, pós-graduada</w:t>
      </w:r>
      <w:r>
        <w:rPr>
          <w:rFonts w:ascii="Times New Roman" w:hAnsi="Times New Roman" w:cs="Times New Roman"/>
          <w:spacing w:val="-1"/>
          <w:sz w:val="20"/>
          <w:szCs w:val="20"/>
        </w:rPr>
        <w:t xml:space="preserve"> </w:t>
      </w:r>
      <w:r>
        <w:rPr>
          <w:rFonts w:ascii="Times New Roman" w:hAnsi="Times New Roman" w:cs="Times New Roman"/>
          <w:sz w:val="20"/>
          <w:szCs w:val="20"/>
        </w:rPr>
        <w:t>em</w:t>
      </w:r>
      <w:r>
        <w:rPr>
          <w:rFonts w:ascii="Times New Roman" w:hAnsi="Times New Roman" w:cs="Times New Roman"/>
          <w:spacing w:val="-3"/>
          <w:sz w:val="20"/>
          <w:szCs w:val="20"/>
        </w:rPr>
        <w:t xml:space="preserve"> </w:t>
      </w:r>
      <w:r>
        <w:rPr>
          <w:rFonts w:ascii="Times New Roman" w:hAnsi="Times New Roman" w:cs="Times New Roman"/>
          <w:sz w:val="20"/>
          <w:szCs w:val="20"/>
        </w:rPr>
        <w:t>Relações do curso de Direito da Faculdade Evangélica Raízes.</w:t>
      </w:r>
      <w:r>
        <w:rPr>
          <w:rFonts w:ascii="Times New Roman" w:hAnsi="Times New Roman" w:cs="Times New Roman"/>
          <w:sz w:val="20"/>
          <w:szCs w:val="20"/>
          <w:lang w:val="pt-BR"/>
        </w:rPr>
        <w:t>e-mail: maxilenecorrea@faculdaderaizes.edu.br</w:t>
      </w:r>
    </w:p>
    <w:p w:rsidR="00C052DD" w:rsidRDefault="00C052DD">
      <w:pPr>
        <w:pStyle w:val="Textodenotaderodap"/>
      </w:pPr>
    </w:p>
  </w:footnote>
  <w:footnote w:id="18">
    <w:p w:rsidR="00C052DD" w:rsidRDefault="00C052DD">
      <w:pPr>
        <w:pStyle w:val="footnotedescription"/>
        <w:spacing w:after="3" w:line="259" w:lineRule="auto"/>
        <w:ind w:right="0"/>
        <w:jc w:val="both"/>
        <w:rPr>
          <w:rFonts w:ascii="Arial" w:hAnsi="Arial" w:cs="Arial"/>
          <w:color w:val="auto"/>
        </w:rPr>
      </w:pPr>
      <w:r>
        <w:rPr>
          <w:rStyle w:val="Caracteresdenotaderodap"/>
          <w:rFonts w:ascii="Arial" w:hAnsi="Arial" w:cs="Arial"/>
          <w:color w:val="auto"/>
        </w:rPr>
        <w:footnoteRef/>
      </w:r>
      <w:r>
        <w:rPr>
          <w:rFonts w:ascii="Arial" w:hAnsi="Arial" w:cs="Arial"/>
          <w:color w:val="auto"/>
        </w:rPr>
        <w:t xml:space="preserve"> Acadêmica do Curso de Direito da Faculdade Evangélica Raízes, Anápolis, Goiás, camillyfenato@gmail.com. </w:t>
      </w:r>
    </w:p>
  </w:footnote>
  <w:footnote w:id="19">
    <w:p w:rsidR="00C052DD" w:rsidRDefault="00C052DD">
      <w:pPr>
        <w:pStyle w:val="footnotedescription"/>
        <w:spacing w:after="0" w:line="264" w:lineRule="auto"/>
        <w:ind w:right="50"/>
        <w:jc w:val="both"/>
        <w:rPr>
          <w:rFonts w:ascii="Arial" w:hAnsi="Arial" w:cs="Arial"/>
          <w:color w:val="auto"/>
        </w:rPr>
      </w:pPr>
      <w:r>
        <w:rPr>
          <w:rStyle w:val="Caracteresdenotaderodap"/>
          <w:rFonts w:ascii="Arial" w:hAnsi="Arial" w:cs="Arial"/>
          <w:color w:val="auto"/>
        </w:rPr>
        <w:footnoteRef/>
      </w:r>
      <w:r>
        <w:rPr>
          <w:rFonts w:ascii="Arial" w:hAnsi="Arial" w:cs="Arial"/>
          <w:color w:val="auto"/>
        </w:rPr>
        <w:t xml:space="preserve"> Acadêmica do Curso de Direito da Faculdade Evangélica Raízes, Anápolis, Goiás, ththalitath@gmail.com. </w:t>
      </w:r>
    </w:p>
  </w:footnote>
  <w:footnote w:id="20">
    <w:p w:rsidR="00C052DD" w:rsidRDefault="00C052DD">
      <w:pPr>
        <w:pStyle w:val="Textodenotaderodap"/>
        <w:jc w:val="both"/>
        <w:rPr>
          <w:rFonts w:ascii="Arial" w:hAnsi="Arial" w:cs="Arial"/>
        </w:rPr>
      </w:pPr>
      <w:r>
        <w:rPr>
          <w:rStyle w:val="Refdenotaderodap"/>
          <w:rFonts w:ascii="Arial" w:hAnsi="Arial" w:cs="Arial"/>
        </w:rPr>
        <w:footnoteRef/>
      </w:r>
      <w:r>
        <w:rPr>
          <w:rFonts w:ascii="Arial" w:hAnsi="Arial" w:cs="Arial"/>
        </w:rPr>
        <w:t xml:space="preserve"> Advogada. Professora Orientadora da Faculdade Evangélica Raízes. Anápolis, Goiás, Brasil. E-mail: simone.silva@docente.faculdaderaizes.edu.br.</w:t>
      </w:r>
    </w:p>
  </w:footnote>
  <w:footnote w:id="21">
    <w:p w:rsidR="00C052DD" w:rsidRDefault="00C052DD">
      <w:pPr>
        <w:pStyle w:val="Textodenotaderodap"/>
        <w:jc w:val="both"/>
        <w:rPr>
          <w:rFonts w:ascii="Arial" w:hAnsi="Arial" w:cs="Arial"/>
        </w:rPr>
      </w:pPr>
      <w:r>
        <w:rPr>
          <w:rStyle w:val="Caracteresdenotaderodap"/>
          <w:rFonts w:ascii="Arial" w:hAnsi="Arial" w:cs="Arial"/>
        </w:rPr>
        <w:footnoteRef/>
      </w:r>
      <w:r>
        <w:rPr>
          <w:rFonts w:ascii="Arial" w:hAnsi="Arial" w:cs="Arial"/>
        </w:rPr>
        <w:t xml:space="preserve"> </w:t>
      </w:r>
      <w:r>
        <w:rPr>
          <w:rFonts w:ascii="Arial" w:hAnsi="Arial" w:cs="Arial"/>
          <w:color w:val="000000" w:themeColor="dark1"/>
        </w:rPr>
        <w:t>Estudante</w:t>
      </w:r>
      <w:r>
        <w:rPr>
          <w:rFonts w:ascii="Arial" w:hAnsi="Arial" w:cs="Arial"/>
          <w:color w:val="000000" w:themeColor="dark1"/>
          <w:spacing w:val="37"/>
        </w:rPr>
        <w:t xml:space="preserve"> </w:t>
      </w:r>
      <w:r>
        <w:rPr>
          <w:rFonts w:ascii="Arial" w:hAnsi="Arial" w:cs="Arial"/>
          <w:color w:val="000000" w:themeColor="dark1"/>
        </w:rPr>
        <w:t>do</w:t>
      </w:r>
      <w:r>
        <w:rPr>
          <w:rFonts w:ascii="Arial" w:hAnsi="Arial" w:cs="Arial"/>
          <w:color w:val="000000" w:themeColor="dark1"/>
          <w:spacing w:val="38"/>
        </w:rPr>
        <w:t xml:space="preserve"> </w:t>
      </w:r>
      <w:r>
        <w:rPr>
          <w:rFonts w:ascii="Arial" w:hAnsi="Arial" w:cs="Arial"/>
          <w:color w:val="000000" w:themeColor="dark1"/>
        </w:rPr>
        <w:t>Curso</w:t>
      </w:r>
      <w:r>
        <w:rPr>
          <w:rFonts w:ascii="Arial" w:hAnsi="Arial" w:cs="Arial"/>
          <w:color w:val="000000" w:themeColor="dark1"/>
          <w:spacing w:val="36"/>
        </w:rPr>
        <w:t xml:space="preserve"> </w:t>
      </w:r>
      <w:r>
        <w:rPr>
          <w:rFonts w:ascii="Arial" w:hAnsi="Arial" w:cs="Arial"/>
          <w:color w:val="000000" w:themeColor="dark1"/>
        </w:rPr>
        <w:t>de</w:t>
      </w:r>
      <w:r>
        <w:rPr>
          <w:rFonts w:ascii="Arial" w:hAnsi="Arial" w:cs="Arial"/>
          <w:color w:val="000000" w:themeColor="dark1"/>
          <w:spacing w:val="38"/>
        </w:rPr>
        <w:t xml:space="preserve"> </w:t>
      </w:r>
      <w:r>
        <w:rPr>
          <w:rFonts w:ascii="Arial" w:hAnsi="Arial" w:cs="Arial"/>
          <w:color w:val="000000" w:themeColor="dark1"/>
        </w:rPr>
        <w:t>Direito</w:t>
      </w:r>
      <w:r>
        <w:rPr>
          <w:rFonts w:ascii="Arial" w:hAnsi="Arial" w:cs="Arial"/>
          <w:color w:val="000000" w:themeColor="dark1"/>
          <w:spacing w:val="38"/>
        </w:rPr>
        <w:t xml:space="preserve"> </w:t>
      </w:r>
      <w:r>
        <w:rPr>
          <w:rFonts w:ascii="Arial" w:hAnsi="Arial" w:cs="Arial"/>
          <w:color w:val="000000" w:themeColor="dark1"/>
        </w:rPr>
        <w:t>na</w:t>
      </w:r>
      <w:r>
        <w:rPr>
          <w:rFonts w:ascii="Arial" w:hAnsi="Arial" w:cs="Arial"/>
          <w:color w:val="000000" w:themeColor="dark1"/>
          <w:spacing w:val="37"/>
        </w:rPr>
        <w:t xml:space="preserve"> </w:t>
      </w:r>
      <w:r>
        <w:rPr>
          <w:rFonts w:ascii="Arial" w:hAnsi="Arial" w:cs="Arial"/>
          <w:color w:val="000000" w:themeColor="dark1"/>
        </w:rPr>
        <w:t>Faculdade</w:t>
      </w:r>
      <w:r>
        <w:rPr>
          <w:rFonts w:ascii="Arial" w:hAnsi="Arial" w:cs="Arial"/>
          <w:color w:val="000000" w:themeColor="dark1"/>
          <w:spacing w:val="38"/>
        </w:rPr>
        <w:t xml:space="preserve"> </w:t>
      </w:r>
      <w:r>
        <w:rPr>
          <w:rFonts w:ascii="Arial" w:hAnsi="Arial" w:cs="Arial"/>
          <w:color w:val="000000" w:themeColor="dark1"/>
        </w:rPr>
        <w:t>Evangélica</w:t>
      </w:r>
      <w:r>
        <w:rPr>
          <w:rFonts w:ascii="Arial" w:hAnsi="Arial" w:cs="Arial"/>
          <w:color w:val="000000" w:themeColor="dark1"/>
          <w:spacing w:val="35"/>
        </w:rPr>
        <w:t xml:space="preserve"> </w:t>
      </w:r>
      <w:r>
        <w:rPr>
          <w:rFonts w:ascii="Arial" w:hAnsi="Arial" w:cs="Arial"/>
          <w:color w:val="000000" w:themeColor="dark1"/>
        </w:rPr>
        <w:t>Raízes.</w:t>
      </w:r>
      <w:r>
        <w:rPr>
          <w:rFonts w:ascii="Arial" w:hAnsi="Arial" w:cs="Arial"/>
          <w:color w:val="000000" w:themeColor="dark1"/>
          <w:spacing w:val="36"/>
        </w:rPr>
        <w:t xml:space="preserve"> </w:t>
      </w:r>
      <w:r>
        <w:rPr>
          <w:rFonts w:ascii="Arial" w:hAnsi="Arial" w:cs="Arial"/>
          <w:color w:val="000000" w:themeColor="dark1"/>
        </w:rPr>
        <w:t>Anápolis,</w:t>
      </w:r>
      <w:r>
        <w:rPr>
          <w:rFonts w:ascii="Arial" w:hAnsi="Arial" w:cs="Arial"/>
          <w:color w:val="000000" w:themeColor="dark1"/>
          <w:spacing w:val="38"/>
        </w:rPr>
        <w:t xml:space="preserve"> </w:t>
      </w:r>
      <w:r>
        <w:rPr>
          <w:rFonts w:ascii="Arial" w:hAnsi="Arial" w:cs="Arial"/>
          <w:color w:val="000000" w:themeColor="dark1"/>
        </w:rPr>
        <w:t>Goiás.</w:t>
      </w:r>
      <w:r>
        <w:rPr>
          <w:rFonts w:ascii="Arial" w:hAnsi="Arial" w:cs="Arial"/>
          <w:color w:val="000000" w:themeColor="dark1"/>
          <w:spacing w:val="38"/>
        </w:rPr>
        <w:t xml:space="preserve"> </w:t>
      </w:r>
      <w:r>
        <w:rPr>
          <w:rFonts w:ascii="Arial" w:hAnsi="Arial" w:cs="Arial"/>
          <w:color w:val="000000" w:themeColor="dark1"/>
        </w:rPr>
        <w:t xml:space="preserve">E-mail: </w:t>
      </w:r>
      <w:hyperlink r:id="rId4">
        <w:r>
          <w:rPr>
            <w:rStyle w:val="Hyperlink1"/>
            <w:rFonts w:ascii="Arial" w:hAnsi="Arial" w:cs="Arial"/>
            <w:color w:val="000000" w:themeColor="dark1"/>
            <w:spacing w:val="-2"/>
          </w:rPr>
          <w:t>jakellynehribeiro15@gmail.com</w:t>
        </w:r>
      </w:hyperlink>
    </w:p>
  </w:footnote>
  <w:footnote w:id="22">
    <w:p w:rsidR="00C052DD" w:rsidRPr="00EE1E8B" w:rsidRDefault="00C052DD">
      <w:pPr>
        <w:pStyle w:val="Textodenotaderodap"/>
        <w:jc w:val="both"/>
        <w:rPr>
          <w:rFonts w:ascii="Arial" w:hAnsi="Arial" w:cs="Arial"/>
          <w:lang w:val="pt-BR"/>
        </w:rPr>
      </w:pPr>
      <w:r w:rsidRPr="00EE1E8B">
        <w:rPr>
          <w:rStyle w:val="Refdenotaderodap"/>
          <w:rFonts w:ascii="Arial" w:hAnsi="Arial" w:cs="Arial"/>
        </w:rPr>
        <w:footnoteRef/>
      </w:r>
      <w:r w:rsidRPr="00EE1E8B">
        <w:rPr>
          <w:rFonts w:ascii="Arial" w:hAnsi="Arial" w:cs="Arial"/>
        </w:rPr>
        <w:t xml:space="preserve"> Estudante</w:t>
      </w:r>
      <w:r w:rsidRPr="00EE1E8B">
        <w:rPr>
          <w:rFonts w:ascii="Arial" w:hAnsi="Arial" w:cs="Arial"/>
          <w:spacing w:val="37"/>
        </w:rPr>
        <w:t xml:space="preserve"> </w:t>
      </w:r>
      <w:r w:rsidRPr="00EE1E8B">
        <w:rPr>
          <w:rFonts w:ascii="Arial" w:hAnsi="Arial" w:cs="Arial"/>
        </w:rPr>
        <w:t>do</w:t>
      </w:r>
      <w:r w:rsidRPr="00EE1E8B">
        <w:rPr>
          <w:rFonts w:ascii="Arial" w:hAnsi="Arial" w:cs="Arial"/>
          <w:spacing w:val="38"/>
        </w:rPr>
        <w:t xml:space="preserve"> </w:t>
      </w:r>
      <w:r w:rsidRPr="00EE1E8B">
        <w:rPr>
          <w:rFonts w:ascii="Arial" w:hAnsi="Arial" w:cs="Arial"/>
        </w:rPr>
        <w:t>Curso</w:t>
      </w:r>
      <w:r w:rsidRPr="00EE1E8B">
        <w:rPr>
          <w:rFonts w:ascii="Arial" w:hAnsi="Arial" w:cs="Arial"/>
          <w:spacing w:val="36"/>
        </w:rPr>
        <w:t xml:space="preserve"> </w:t>
      </w:r>
      <w:r w:rsidRPr="00EE1E8B">
        <w:rPr>
          <w:rFonts w:ascii="Arial" w:hAnsi="Arial" w:cs="Arial"/>
        </w:rPr>
        <w:t>de</w:t>
      </w:r>
      <w:r w:rsidRPr="00EE1E8B">
        <w:rPr>
          <w:rFonts w:ascii="Arial" w:hAnsi="Arial" w:cs="Arial"/>
          <w:spacing w:val="38"/>
        </w:rPr>
        <w:t xml:space="preserve"> </w:t>
      </w:r>
      <w:r w:rsidRPr="00EE1E8B">
        <w:rPr>
          <w:rFonts w:ascii="Arial" w:hAnsi="Arial" w:cs="Arial"/>
        </w:rPr>
        <w:t>Direito</w:t>
      </w:r>
      <w:r w:rsidRPr="00EE1E8B">
        <w:rPr>
          <w:rFonts w:ascii="Arial" w:hAnsi="Arial" w:cs="Arial"/>
          <w:spacing w:val="38"/>
        </w:rPr>
        <w:t xml:space="preserve"> </w:t>
      </w:r>
      <w:r w:rsidRPr="00EE1E8B">
        <w:rPr>
          <w:rFonts w:ascii="Arial" w:hAnsi="Arial" w:cs="Arial"/>
        </w:rPr>
        <w:t>na</w:t>
      </w:r>
      <w:r w:rsidRPr="00EE1E8B">
        <w:rPr>
          <w:rFonts w:ascii="Arial" w:hAnsi="Arial" w:cs="Arial"/>
          <w:spacing w:val="37"/>
        </w:rPr>
        <w:t xml:space="preserve"> </w:t>
      </w:r>
      <w:r w:rsidRPr="00EE1E8B">
        <w:rPr>
          <w:rFonts w:ascii="Arial" w:hAnsi="Arial" w:cs="Arial"/>
        </w:rPr>
        <w:t>Faculdade</w:t>
      </w:r>
      <w:r w:rsidRPr="00EE1E8B">
        <w:rPr>
          <w:rFonts w:ascii="Arial" w:hAnsi="Arial" w:cs="Arial"/>
          <w:spacing w:val="38"/>
        </w:rPr>
        <w:t xml:space="preserve"> </w:t>
      </w:r>
      <w:r w:rsidRPr="00EE1E8B">
        <w:rPr>
          <w:rFonts w:ascii="Arial" w:hAnsi="Arial" w:cs="Arial"/>
        </w:rPr>
        <w:t>Evangélica</w:t>
      </w:r>
      <w:r w:rsidRPr="00EE1E8B">
        <w:rPr>
          <w:rFonts w:ascii="Arial" w:hAnsi="Arial" w:cs="Arial"/>
          <w:spacing w:val="35"/>
        </w:rPr>
        <w:t xml:space="preserve"> </w:t>
      </w:r>
      <w:r w:rsidRPr="00EE1E8B">
        <w:rPr>
          <w:rFonts w:ascii="Arial" w:hAnsi="Arial" w:cs="Arial"/>
        </w:rPr>
        <w:t>Raízes.</w:t>
      </w:r>
      <w:r w:rsidRPr="00EE1E8B">
        <w:rPr>
          <w:rFonts w:ascii="Arial" w:hAnsi="Arial" w:cs="Arial"/>
          <w:spacing w:val="36"/>
        </w:rPr>
        <w:t xml:space="preserve"> </w:t>
      </w:r>
      <w:r w:rsidRPr="00EE1E8B">
        <w:rPr>
          <w:rFonts w:ascii="Arial" w:hAnsi="Arial" w:cs="Arial"/>
        </w:rPr>
        <w:t>Anápolis,</w:t>
      </w:r>
      <w:r w:rsidRPr="00EE1E8B">
        <w:rPr>
          <w:rFonts w:ascii="Arial" w:hAnsi="Arial" w:cs="Arial"/>
          <w:spacing w:val="38"/>
        </w:rPr>
        <w:t xml:space="preserve"> </w:t>
      </w:r>
      <w:r w:rsidRPr="00EE1E8B">
        <w:rPr>
          <w:rFonts w:ascii="Arial" w:hAnsi="Arial" w:cs="Arial"/>
        </w:rPr>
        <w:t xml:space="preserve">Goiás. E-mail: </w:t>
      </w:r>
      <w:hyperlink r:id="rId5" w:history="1">
        <w:r w:rsidRPr="00EE1E8B">
          <w:rPr>
            <w:rStyle w:val="Hyperlink"/>
            <w:rFonts w:ascii="Arial" w:hAnsi="Arial" w:cs="Arial"/>
            <w:color w:val="auto"/>
          </w:rPr>
          <w:t>naiarafonseca2003@gmail.com</w:t>
        </w:r>
      </w:hyperlink>
      <w:r w:rsidRPr="00EE1E8B">
        <w:rPr>
          <w:rFonts w:ascii="Arial" w:hAnsi="Arial" w:cs="Arial"/>
        </w:rPr>
        <w:t xml:space="preserve"> </w:t>
      </w:r>
    </w:p>
  </w:footnote>
  <w:footnote w:id="23">
    <w:p w:rsidR="00C052DD" w:rsidRDefault="00C052DD">
      <w:pPr>
        <w:pStyle w:val="Textodenotaderodap"/>
        <w:jc w:val="both"/>
        <w:rPr>
          <w:rFonts w:ascii="Arial" w:hAnsi="Arial" w:cs="Arial"/>
        </w:rPr>
      </w:pPr>
      <w:r>
        <w:rPr>
          <w:rStyle w:val="Refdenotaderodap"/>
          <w:rFonts w:ascii="Arial" w:hAnsi="Arial" w:cs="Arial"/>
        </w:rPr>
        <w:footnoteRef/>
      </w:r>
      <w:r>
        <w:rPr>
          <w:rFonts w:ascii="Arial" w:hAnsi="Arial" w:cs="Arial"/>
        </w:rPr>
        <w:t xml:space="preserve"> Advogad</w:t>
      </w:r>
      <w:r>
        <w:rPr>
          <w:rFonts w:ascii="Arial" w:hAnsi="Arial" w:cs="Arial"/>
          <w:lang w:val="pt-BR"/>
        </w:rPr>
        <w:t>o</w:t>
      </w:r>
      <w:r>
        <w:rPr>
          <w:rFonts w:ascii="Arial" w:hAnsi="Arial" w:cs="Arial"/>
        </w:rPr>
        <w:t xml:space="preserve">. Professor Orientador da Faculdade Evangélica Raízes. Anápolis, Goiás, Brasil. E-mail: </w:t>
      </w:r>
      <w:r>
        <w:rPr>
          <w:rFonts w:ascii="Arial" w:hAnsi="Arial" w:cs="Arial"/>
          <w:lang w:val="pt-BR"/>
        </w:rPr>
        <w:t>helder.calaca</w:t>
      </w:r>
      <w:r>
        <w:rPr>
          <w:rFonts w:ascii="Arial" w:hAnsi="Arial" w:cs="Arial"/>
        </w:rPr>
        <w:t>@faculdaderaizes.edu.br.</w:t>
      </w:r>
    </w:p>
  </w:footnote>
  <w:footnote w:id="24">
    <w:p w:rsidR="00C052DD" w:rsidRPr="00230FFD" w:rsidRDefault="00C052DD">
      <w:pPr>
        <w:jc w:val="both"/>
        <w:rPr>
          <w:rFonts w:ascii="Arial" w:eastAsia="Arial" w:hAnsi="Arial" w:cs="Arial"/>
          <w:sz w:val="18"/>
          <w:szCs w:val="18"/>
        </w:rPr>
      </w:pPr>
      <w:r w:rsidRPr="00230FFD">
        <w:rPr>
          <w:rStyle w:val="Caracteresdenotaderodap"/>
          <w:rFonts w:ascii="Arial" w:hAnsi="Arial" w:cs="Arial"/>
          <w:sz w:val="18"/>
          <w:szCs w:val="18"/>
        </w:rPr>
        <w:footnoteRef/>
      </w:r>
      <w:r w:rsidRPr="00230FFD">
        <w:rPr>
          <w:rFonts w:ascii="Arial" w:eastAsia="Arial" w:hAnsi="Arial" w:cs="Arial"/>
          <w:sz w:val="18"/>
          <w:szCs w:val="18"/>
        </w:rPr>
        <w:t xml:space="preserve">Graduanda em Direito pela Faculdade Evangélica Raízes, Anápolis, Goiás, e-mail: </w:t>
      </w:r>
      <w:hyperlink r:id="rId6">
        <w:r w:rsidRPr="00230FFD">
          <w:rPr>
            <w:rStyle w:val="Hyperlink1"/>
            <w:rFonts w:ascii="Arial" w:eastAsia="Arial" w:hAnsi="Arial" w:cs="Arial"/>
            <w:color w:val="1155CC"/>
            <w:sz w:val="18"/>
            <w:szCs w:val="18"/>
          </w:rPr>
          <w:t>lisboaaninha17@gmail.com</w:t>
        </w:r>
      </w:hyperlink>
      <w:r w:rsidRPr="00230FFD">
        <w:rPr>
          <w:rFonts w:ascii="Arial" w:eastAsia="Arial" w:hAnsi="Arial" w:cs="Arial"/>
          <w:sz w:val="18"/>
          <w:szCs w:val="18"/>
        </w:rPr>
        <w:t xml:space="preserve"> </w:t>
      </w:r>
    </w:p>
  </w:footnote>
  <w:footnote w:id="25">
    <w:p w:rsidR="00C052DD" w:rsidRPr="00230FFD" w:rsidRDefault="00C052DD">
      <w:pPr>
        <w:jc w:val="both"/>
        <w:rPr>
          <w:rFonts w:ascii="Arial" w:eastAsia="Arial" w:hAnsi="Arial" w:cs="Arial"/>
          <w:sz w:val="18"/>
          <w:szCs w:val="18"/>
        </w:rPr>
      </w:pPr>
      <w:r w:rsidRPr="00230FFD">
        <w:rPr>
          <w:rStyle w:val="Caracteresdenotaderodap"/>
          <w:rFonts w:ascii="Arial" w:hAnsi="Arial" w:cs="Arial"/>
          <w:sz w:val="18"/>
          <w:szCs w:val="18"/>
        </w:rPr>
        <w:footnoteRef/>
      </w:r>
      <w:r w:rsidRPr="00230FFD">
        <w:rPr>
          <w:rFonts w:ascii="Arial" w:eastAsia="Arial" w:hAnsi="Arial" w:cs="Arial"/>
          <w:sz w:val="18"/>
          <w:szCs w:val="18"/>
        </w:rPr>
        <w:t xml:space="preserve">Graduando em Direito pela Faculdade Evangélica Raízes, Anápolis, Goiás, e-mail: </w:t>
      </w:r>
      <w:hyperlink r:id="rId7">
        <w:r w:rsidRPr="00230FFD">
          <w:rPr>
            <w:rStyle w:val="Hyperlink1"/>
            <w:rFonts w:ascii="Arial" w:eastAsia="Arial" w:hAnsi="Arial" w:cs="Arial"/>
            <w:color w:val="1155CC"/>
            <w:sz w:val="18"/>
            <w:szCs w:val="18"/>
          </w:rPr>
          <w:t>thiagocarmoimoveis@gmail.com</w:t>
        </w:r>
      </w:hyperlink>
      <w:r w:rsidRPr="00230FFD">
        <w:rPr>
          <w:rFonts w:ascii="Arial" w:eastAsia="Arial" w:hAnsi="Arial" w:cs="Arial"/>
          <w:sz w:val="18"/>
          <w:szCs w:val="18"/>
        </w:rPr>
        <w:t xml:space="preserve"> </w:t>
      </w:r>
    </w:p>
  </w:footnote>
  <w:footnote w:id="26">
    <w:p w:rsidR="00C052DD" w:rsidRDefault="00C052DD">
      <w:pPr>
        <w:jc w:val="both"/>
        <w:rPr>
          <w:rFonts w:ascii="Arial" w:eastAsia="Arial" w:hAnsi="Arial" w:cs="Arial"/>
          <w:color w:val="000000"/>
          <w:sz w:val="20"/>
          <w:szCs w:val="20"/>
        </w:rPr>
      </w:pPr>
      <w:r w:rsidRPr="00230FFD">
        <w:rPr>
          <w:rStyle w:val="Caracteresdenotaderodap"/>
          <w:rFonts w:ascii="Arial" w:hAnsi="Arial" w:cs="Arial"/>
          <w:sz w:val="18"/>
          <w:szCs w:val="18"/>
        </w:rPr>
        <w:footnoteRef/>
      </w:r>
      <w:r w:rsidRPr="00230FFD">
        <w:rPr>
          <w:rFonts w:ascii="Arial" w:eastAsia="Arial" w:hAnsi="Arial" w:cs="Arial"/>
          <w:color w:val="000000"/>
          <w:sz w:val="18"/>
          <w:szCs w:val="18"/>
        </w:rPr>
        <w:t xml:space="preserve">Mestra pela Universidade Estadual de Goiás em Territórios e Expressões Culturais no Cerrado, </w:t>
      </w:r>
      <w:r w:rsidRPr="00230FFD">
        <w:rPr>
          <w:rFonts w:ascii="Arial" w:eastAsia="Arial" w:hAnsi="Arial" w:cs="Arial"/>
          <w:sz w:val="18"/>
          <w:szCs w:val="18"/>
        </w:rPr>
        <w:t xml:space="preserve">professora na Faculdade Evangélica Raízes, Anápolis, Goiás, </w:t>
      </w:r>
      <w:hyperlink r:id="rId8">
        <w:r w:rsidRPr="00230FFD">
          <w:rPr>
            <w:rStyle w:val="Hyperlink1"/>
            <w:rFonts w:ascii="Arial" w:eastAsia="Arial" w:hAnsi="Arial" w:cs="Arial"/>
            <w:color w:val="1155CC"/>
            <w:sz w:val="18"/>
            <w:szCs w:val="18"/>
          </w:rPr>
          <w:t>brunafelipedocente@gmail.com</w:t>
        </w:r>
      </w:hyperlink>
      <w:r w:rsidRPr="00230FFD">
        <w:rPr>
          <w:rFonts w:ascii="Arial" w:eastAsia="Arial" w:hAnsi="Arial" w:cs="Arial"/>
          <w:sz w:val="18"/>
          <w:szCs w:val="18"/>
        </w:rPr>
        <w:t xml:space="preserve"> </w:t>
      </w:r>
    </w:p>
  </w:footnote>
  <w:footnote w:id="27">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 xml:space="preserve"> Acadêmica do curso de Direito da Faculdade Evangélica Raízes. E-mail: amandagabrielaa5@gmail.com</w:t>
      </w:r>
    </w:p>
  </w:footnote>
  <w:footnote w:id="28">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 xml:space="preserve"> Acadêmica do curso de Direito da Faculdade Evangélica Raízes. E-mail: simonebm29@gmail.com</w:t>
      </w:r>
    </w:p>
  </w:footnote>
  <w:footnote w:id="29">
    <w:p w:rsidR="00C052DD" w:rsidRDefault="00C052DD">
      <w:pPr>
        <w:pStyle w:val="Textodenotaderodap"/>
        <w:jc w:val="both"/>
      </w:pPr>
      <w:r>
        <w:rPr>
          <w:rStyle w:val="Caracteresdenotaderodap"/>
        </w:rPr>
        <w:footnoteRef/>
      </w:r>
      <w:r>
        <w:rPr>
          <w:rFonts w:ascii="Times New Roman" w:hAnsi="Times New Roman" w:cs="Times New Roman"/>
        </w:rPr>
        <w:t xml:space="preserve"> Professora. Mestre, Especialista em Direito Penal e Processo Penal (UniEvangélica). Professora Orientadora da Faculdade Evangélica Raízes. Anápolis, Goiás, Brasil. E-mail: cristiane.bonfim@docente.faculdaderaizes.edu.br.</w:t>
      </w:r>
    </w:p>
  </w:footnote>
  <w:footnote w:id="30">
    <w:p w:rsidR="00C052DD" w:rsidRDefault="00C052DD">
      <w:pPr>
        <w:spacing w:before="109"/>
        <w:ind w:left="127"/>
      </w:pPr>
      <w:r>
        <w:rPr>
          <w:rStyle w:val="Caracteresdenotaderodap"/>
        </w:rPr>
        <w:footnoteRef/>
      </w:r>
      <w:r>
        <w:rPr>
          <w:sz w:val="16"/>
          <w:szCs w:val="16"/>
        </w:rPr>
        <w:t xml:space="preserve"> Discente</w:t>
      </w:r>
      <w:r>
        <w:rPr>
          <w:spacing w:val="-8"/>
          <w:sz w:val="16"/>
          <w:szCs w:val="16"/>
        </w:rPr>
        <w:t xml:space="preserve"> </w:t>
      </w:r>
      <w:r>
        <w:rPr>
          <w:sz w:val="16"/>
          <w:szCs w:val="16"/>
        </w:rPr>
        <w:t>em</w:t>
      </w:r>
      <w:r>
        <w:rPr>
          <w:spacing w:val="-8"/>
          <w:sz w:val="16"/>
          <w:szCs w:val="16"/>
        </w:rPr>
        <w:t xml:space="preserve"> </w:t>
      </w:r>
      <w:r>
        <w:rPr>
          <w:sz w:val="16"/>
          <w:szCs w:val="16"/>
        </w:rPr>
        <w:t>Direito</w:t>
      </w:r>
      <w:r>
        <w:rPr>
          <w:spacing w:val="-7"/>
          <w:sz w:val="16"/>
          <w:szCs w:val="16"/>
        </w:rPr>
        <w:t xml:space="preserve"> </w:t>
      </w:r>
      <w:r>
        <w:rPr>
          <w:sz w:val="16"/>
          <w:szCs w:val="16"/>
        </w:rPr>
        <w:t>pela</w:t>
      </w:r>
      <w:r>
        <w:rPr>
          <w:spacing w:val="-8"/>
          <w:sz w:val="16"/>
          <w:szCs w:val="16"/>
        </w:rPr>
        <w:t xml:space="preserve"> </w:t>
      </w:r>
      <w:r>
        <w:rPr>
          <w:sz w:val="16"/>
          <w:szCs w:val="16"/>
        </w:rPr>
        <w:t>Faculdade</w:t>
      </w:r>
      <w:r>
        <w:rPr>
          <w:spacing w:val="-7"/>
          <w:sz w:val="16"/>
          <w:szCs w:val="16"/>
        </w:rPr>
        <w:t xml:space="preserve"> </w:t>
      </w:r>
      <w:r>
        <w:rPr>
          <w:sz w:val="16"/>
          <w:szCs w:val="16"/>
        </w:rPr>
        <w:t>Evangélica</w:t>
      </w:r>
      <w:r>
        <w:rPr>
          <w:spacing w:val="-8"/>
          <w:sz w:val="16"/>
          <w:szCs w:val="16"/>
        </w:rPr>
        <w:t xml:space="preserve"> </w:t>
      </w:r>
      <w:r>
        <w:rPr>
          <w:sz w:val="16"/>
          <w:szCs w:val="16"/>
        </w:rPr>
        <w:t>Raízes,</w:t>
      </w:r>
      <w:r>
        <w:rPr>
          <w:spacing w:val="-8"/>
          <w:sz w:val="16"/>
          <w:szCs w:val="16"/>
        </w:rPr>
        <w:t xml:space="preserve"> </w:t>
      </w:r>
      <w:r>
        <w:rPr>
          <w:sz w:val="16"/>
          <w:szCs w:val="16"/>
        </w:rPr>
        <w:t>Anápolis,</w:t>
      </w:r>
      <w:r>
        <w:rPr>
          <w:spacing w:val="-7"/>
          <w:sz w:val="16"/>
          <w:szCs w:val="16"/>
        </w:rPr>
        <w:t xml:space="preserve"> </w:t>
      </w:r>
      <w:r>
        <w:rPr>
          <w:sz w:val="16"/>
          <w:szCs w:val="16"/>
        </w:rPr>
        <w:t>Goiás,</w:t>
      </w:r>
      <w:r>
        <w:rPr>
          <w:spacing w:val="-8"/>
          <w:sz w:val="16"/>
          <w:szCs w:val="16"/>
        </w:rPr>
        <w:t xml:space="preserve"> </w:t>
      </w:r>
      <w:r>
        <w:rPr>
          <w:color w:val="1154CC"/>
          <w:spacing w:val="-2"/>
          <w:sz w:val="16"/>
          <w:szCs w:val="16"/>
          <w:u w:val="thick" w:color="1154CC"/>
        </w:rPr>
        <w:t>isabelakarina40@gmail.com</w:t>
      </w:r>
    </w:p>
  </w:footnote>
  <w:footnote w:id="31">
    <w:p w:rsidR="00C052DD" w:rsidRDefault="00C052DD">
      <w:pPr>
        <w:pStyle w:val="Textodenotaderodap"/>
      </w:pPr>
      <w:r>
        <w:rPr>
          <w:rStyle w:val="Refdenotaderodap"/>
        </w:rPr>
        <w:footnoteRef/>
      </w:r>
      <w:r>
        <w:t xml:space="preserve"> </w:t>
      </w:r>
      <w:r>
        <w:rPr>
          <w:sz w:val="16"/>
          <w:szCs w:val="16"/>
        </w:rPr>
        <w:t xml:space="preserve">Discente em Direito pela Faculdade Evangélica Raízes, Anápolis, Goiás, </w:t>
      </w:r>
      <w:hyperlink r:id="rId9">
        <w:r>
          <w:rPr>
            <w:rStyle w:val="Hyperlink1"/>
            <w:sz w:val="16"/>
            <w:szCs w:val="16"/>
          </w:rPr>
          <w:t>amandda005@gmail.com</w:t>
        </w:r>
      </w:hyperlink>
      <w:r>
        <w:rPr>
          <w:sz w:val="16"/>
          <w:szCs w:val="16"/>
        </w:rPr>
        <w:t xml:space="preserve"> </w:t>
      </w:r>
    </w:p>
  </w:footnote>
  <w:footnote w:id="32">
    <w:p w:rsidR="00C052DD" w:rsidRDefault="00C052DD">
      <w:pPr>
        <w:pStyle w:val="Textodenotaderodap"/>
      </w:pPr>
      <w:r>
        <w:rPr>
          <w:rStyle w:val="Refdenotaderodap"/>
        </w:rPr>
        <w:footnoteRef/>
      </w:r>
      <w:r>
        <w:t xml:space="preserve"> </w:t>
      </w:r>
      <w:r>
        <w:rPr>
          <w:sz w:val="16"/>
          <w:szCs w:val="16"/>
        </w:rPr>
        <w:t>Especialista</w:t>
      </w:r>
      <w:r>
        <w:rPr>
          <w:spacing w:val="80"/>
          <w:w w:val="150"/>
          <w:sz w:val="16"/>
          <w:szCs w:val="16"/>
        </w:rPr>
        <w:t xml:space="preserve"> </w:t>
      </w:r>
      <w:r>
        <w:rPr>
          <w:sz w:val="16"/>
          <w:szCs w:val="16"/>
        </w:rPr>
        <w:t>em</w:t>
      </w:r>
      <w:r>
        <w:rPr>
          <w:spacing w:val="80"/>
          <w:w w:val="150"/>
          <w:sz w:val="16"/>
          <w:szCs w:val="16"/>
        </w:rPr>
        <w:t xml:space="preserve"> </w:t>
      </w:r>
      <w:r>
        <w:rPr>
          <w:sz w:val="16"/>
          <w:szCs w:val="16"/>
        </w:rPr>
        <w:t>Direito</w:t>
      </w:r>
      <w:r>
        <w:rPr>
          <w:spacing w:val="80"/>
          <w:w w:val="150"/>
          <w:sz w:val="16"/>
          <w:szCs w:val="16"/>
        </w:rPr>
        <w:t xml:space="preserve"> </w:t>
      </w:r>
      <w:r>
        <w:rPr>
          <w:sz w:val="16"/>
          <w:szCs w:val="16"/>
        </w:rPr>
        <w:t>Penal</w:t>
      </w:r>
      <w:r>
        <w:rPr>
          <w:spacing w:val="80"/>
          <w:w w:val="150"/>
          <w:sz w:val="16"/>
          <w:szCs w:val="16"/>
        </w:rPr>
        <w:t xml:space="preserve"> </w:t>
      </w:r>
      <w:r>
        <w:rPr>
          <w:sz w:val="16"/>
          <w:szCs w:val="16"/>
        </w:rPr>
        <w:t>e</w:t>
      </w:r>
      <w:r>
        <w:rPr>
          <w:spacing w:val="80"/>
          <w:w w:val="150"/>
          <w:sz w:val="16"/>
          <w:szCs w:val="16"/>
        </w:rPr>
        <w:t xml:space="preserve"> </w:t>
      </w:r>
      <w:r>
        <w:rPr>
          <w:sz w:val="16"/>
          <w:szCs w:val="16"/>
        </w:rPr>
        <w:t>Processo</w:t>
      </w:r>
      <w:r>
        <w:rPr>
          <w:spacing w:val="80"/>
          <w:w w:val="150"/>
          <w:sz w:val="16"/>
          <w:szCs w:val="16"/>
        </w:rPr>
        <w:t xml:space="preserve"> </w:t>
      </w:r>
      <w:r>
        <w:rPr>
          <w:sz w:val="16"/>
          <w:szCs w:val="16"/>
        </w:rPr>
        <w:t>Penal,</w:t>
      </w:r>
      <w:r>
        <w:rPr>
          <w:spacing w:val="80"/>
          <w:w w:val="150"/>
          <w:sz w:val="16"/>
          <w:szCs w:val="16"/>
        </w:rPr>
        <w:t xml:space="preserve"> </w:t>
      </w:r>
      <w:r>
        <w:rPr>
          <w:sz w:val="16"/>
          <w:szCs w:val="16"/>
        </w:rPr>
        <w:t>Mestrado</w:t>
      </w:r>
      <w:r>
        <w:rPr>
          <w:spacing w:val="80"/>
          <w:w w:val="150"/>
          <w:sz w:val="16"/>
          <w:szCs w:val="16"/>
        </w:rPr>
        <w:t xml:space="preserve"> </w:t>
      </w:r>
      <w:r>
        <w:rPr>
          <w:sz w:val="16"/>
          <w:szCs w:val="16"/>
        </w:rPr>
        <w:t>(Universidade</w:t>
      </w:r>
      <w:r>
        <w:rPr>
          <w:spacing w:val="80"/>
          <w:w w:val="150"/>
          <w:sz w:val="16"/>
          <w:szCs w:val="16"/>
        </w:rPr>
        <w:t xml:space="preserve"> </w:t>
      </w:r>
      <w:r>
        <w:rPr>
          <w:sz w:val="16"/>
          <w:szCs w:val="16"/>
        </w:rPr>
        <w:t>Evangélica</w:t>
      </w:r>
      <w:r>
        <w:rPr>
          <w:spacing w:val="80"/>
          <w:w w:val="150"/>
          <w:sz w:val="16"/>
          <w:szCs w:val="16"/>
        </w:rPr>
        <w:t xml:space="preserve"> </w:t>
      </w:r>
      <w:r>
        <w:rPr>
          <w:sz w:val="16"/>
          <w:szCs w:val="16"/>
        </w:rPr>
        <w:t>de</w:t>
      </w:r>
      <w:r>
        <w:rPr>
          <w:spacing w:val="80"/>
          <w:w w:val="150"/>
          <w:sz w:val="16"/>
          <w:szCs w:val="16"/>
        </w:rPr>
        <w:t xml:space="preserve"> </w:t>
      </w:r>
      <w:r>
        <w:rPr>
          <w:sz w:val="16"/>
          <w:szCs w:val="16"/>
        </w:rPr>
        <w:t>Goiás</w:t>
      </w:r>
      <w:r>
        <w:rPr>
          <w:spacing w:val="80"/>
          <w:sz w:val="16"/>
          <w:szCs w:val="16"/>
        </w:rPr>
        <w:t xml:space="preserve"> </w:t>
      </w:r>
      <w:r>
        <w:rPr>
          <w:sz w:val="16"/>
          <w:szCs w:val="16"/>
        </w:rPr>
        <w:t xml:space="preserve">- </w:t>
      </w:r>
      <w:r>
        <w:rPr>
          <w:spacing w:val="-2"/>
          <w:sz w:val="16"/>
          <w:szCs w:val="16"/>
        </w:rPr>
        <w:t>UniEVANGÉLICA),</w:t>
      </w:r>
      <w:r>
        <w:rPr>
          <w:spacing w:val="-2"/>
          <w:sz w:val="16"/>
          <w:szCs w:val="16"/>
          <w:lang w:val="pt-BR"/>
        </w:rPr>
        <w:t xml:space="preserve"> advogada e </w:t>
      </w:r>
      <w:r>
        <w:rPr>
          <w:spacing w:val="-2"/>
          <w:sz w:val="16"/>
          <w:szCs w:val="16"/>
        </w:rPr>
        <w:t>docente,</w:t>
      </w:r>
      <w:r>
        <w:rPr>
          <w:spacing w:val="-2"/>
          <w:sz w:val="16"/>
          <w:szCs w:val="16"/>
          <w:lang w:val="pt-BR"/>
        </w:rPr>
        <w:t xml:space="preserve"> </w:t>
      </w:r>
      <w:r>
        <w:rPr>
          <w:spacing w:val="-2"/>
          <w:sz w:val="16"/>
          <w:szCs w:val="16"/>
        </w:rPr>
        <w:t>Faculdade</w:t>
      </w:r>
      <w:r>
        <w:rPr>
          <w:spacing w:val="-2"/>
          <w:sz w:val="16"/>
          <w:szCs w:val="16"/>
          <w:lang w:val="pt-BR"/>
        </w:rPr>
        <w:t xml:space="preserve"> </w:t>
      </w:r>
      <w:r>
        <w:rPr>
          <w:spacing w:val="-2"/>
          <w:sz w:val="16"/>
          <w:szCs w:val="16"/>
        </w:rPr>
        <w:t>Evangélica</w:t>
      </w:r>
      <w:r>
        <w:rPr>
          <w:spacing w:val="-2"/>
          <w:sz w:val="16"/>
          <w:szCs w:val="16"/>
          <w:lang w:val="pt-BR"/>
        </w:rPr>
        <w:t xml:space="preserve"> </w:t>
      </w:r>
      <w:r>
        <w:rPr>
          <w:spacing w:val="-2"/>
          <w:sz w:val="16"/>
          <w:szCs w:val="16"/>
        </w:rPr>
        <w:t>Raízes,</w:t>
      </w:r>
      <w:r>
        <w:rPr>
          <w:spacing w:val="-2"/>
          <w:sz w:val="16"/>
          <w:szCs w:val="16"/>
          <w:lang w:val="pt-BR"/>
        </w:rPr>
        <w:t xml:space="preserve"> </w:t>
      </w:r>
      <w:r>
        <w:rPr>
          <w:spacing w:val="-2"/>
          <w:sz w:val="16"/>
          <w:szCs w:val="16"/>
        </w:rPr>
        <w:t>Anápolis,</w:t>
      </w:r>
      <w:r>
        <w:rPr>
          <w:spacing w:val="-2"/>
          <w:sz w:val="16"/>
          <w:szCs w:val="16"/>
          <w:lang w:val="pt-BR"/>
        </w:rPr>
        <w:t xml:space="preserve"> </w:t>
      </w:r>
      <w:r>
        <w:rPr>
          <w:spacing w:val="-2"/>
          <w:sz w:val="16"/>
          <w:szCs w:val="16"/>
        </w:rPr>
        <w:t xml:space="preserve">Goiás, </w:t>
      </w:r>
      <w:hyperlink r:id="rId10">
        <w:r>
          <w:rPr>
            <w:rStyle w:val="Hyperlink1"/>
            <w:color w:val="0462C1"/>
            <w:spacing w:val="-2"/>
            <w:sz w:val="16"/>
            <w:szCs w:val="16"/>
            <w:u w:val="thick" w:color="0462C1"/>
          </w:rPr>
          <w:t>cristiane.bonfim@docente.faculdaderaizes.edu.br</w:t>
        </w:r>
      </w:hyperlink>
      <w:r>
        <w:rPr>
          <w:spacing w:val="-2"/>
          <w:sz w:val="16"/>
          <w:szCs w:val="16"/>
        </w:rPr>
        <w:t>.</w:t>
      </w:r>
    </w:p>
  </w:footnote>
  <w:footnote w:id="33">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Acadêmica do Curso de Direito da Faculdade Evangélica Raízes, Anápolis, Goiás, emanuellyguerres@icloud.com.</w:t>
      </w:r>
    </w:p>
  </w:footnote>
  <w:footnote w:id="34">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Acadêmica do Curso de Direito da Faculdade Evangélica Raízes, Anápolis, Goiás, laiskarlaabade@gmail.com.</w:t>
      </w:r>
    </w:p>
  </w:footnote>
  <w:footnote w:id="35">
    <w:p w:rsidR="00C052DD" w:rsidRDefault="00C052DD">
      <w:pPr>
        <w:pStyle w:val="Textodenotaderodap"/>
        <w:jc w:val="both"/>
        <w:rPr>
          <w:rFonts w:ascii="Times New Roman" w:hAnsi="Times New Roman" w:cs="Times New Roman"/>
        </w:rPr>
      </w:pPr>
      <w:r>
        <w:rPr>
          <w:rStyle w:val="Caracteresdenotaderodap"/>
        </w:rPr>
        <w:footnoteRef/>
      </w:r>
      <w:r>
        <w:rPr>
          <w:rFonts w:ascii="Times New Roman" w:hAnsi="Times New Roman" w:cs="Times New Roman"/>
        </w:rPr>
        <w:t xml:space="preserve">Graduação em Direito pela UniEVANGÉLICA, Anápolis-GO (2000); especialista em Direito Tributário pela Unisul Universidade do Sul de Santa Catarina; Mestrando em Sociedade, Tecnologia e Meio- Ambiente pelo PPGSTMA UniEvangélica; Professor da Associação Educativa Evangélica, em exercício na Faculdade Evangélica Raízes; Advogado com experiência na área de Direito, com ênfase em Direito Civil, Penal e Processual. Orientação: Estágio Curricular Supervisionado e Trabalho de Curso. E- mail: </w:t>
      </w:r>
      <w:hyperlink r:id="rId11" w:history="1">
        <w:r w:rsidR="00FF67C0" w:rsidRPr="00933623">
          <w:rPr>
            <w:rStyle w:val="Hyperlink"/>
            <w:rFonts w:ascii="Times New Roman" w:hAnsi="Times New Roman" w:cs="Times New Roman"/>
          </w:rPr>
          <w:t>cesar.oliveira@faculdaderaizes.edu.br</w:t>
        </w:r>
      </w:hyperlink>
      <w:r w:rsidR="00FF67C0">
        <w:rPr>
          <w:rFonts w:ascii="Times New Roman" w:hAnsi="Times New Roman" w:cs="Times New Roman"/>
        </w:rPr>
        <w:t xml:space="preserve">                                                        </w:t>
      </w:r>
    </w:p>
  </w:footnote>
  <w:footnote w:id="36">
    <w:p w:rsidR="00C052DD" w:rsidRDefault="00C052DD">
      <w:pPr>
        <w:rPr>
          <w:rFonts w:ascii="Arial" w:eastAsia="Arial" w:hAnsi="Arial" w:cs="Arial"/>
          <w:color w:val="000000"/>
          <w:sz w:val="16"/>
          <w:szCs w:val="16"/>
        </w:rPr>
      </w:pPr>
      <w:r>
        <w:rPr>
          <w:rStyle w:val="Caracteresdenotaderodap"/>
        </w:rPr>
        <w:footnoteRef/>
      </w:r>
      <w:r>
        <w:rPr>
          <w:rFonts w:ascii="Arial" w:eastAsia="Arial" w:hAnsi="Arial" w:cs="Arial"/>
          <w:color w:val="000000"/>
          <w:sz w:val="16"/>
          <w:szCs w:val="16"/>
        </w:rPr>
        <w:t xml:space="preserve"> Bacharelando em Direito pela Faculdade Evangélica Raízes, Anápolis, Goiás,</w:t>
      </w:r>
      <w:r>
        <w:rPr>
          <w:rFonts w:ascii="Roboto" w:hAnsi="Roboto"/>
          <w:color w:val="222222"/>
          <w:sz w:val="21"/>
          <w:szCs w:val="21"/>
          <w:shd w:val="clear" w:color="auto" w:fill="FFFFFF"/>
        </w:rPr>
        <w:t xml:space="preserve"> </w:t>
      </w:r>
      <w:r>
        <w:rPr>
          <w:rFonts w:ascii="Arial" w:eastAsia="Arial" w:hAnsi="Arial" w:cs="Arial"/>
          <w:color w:val="000000"/>
          <w:sz w:val="16"/>
          <w:szCs w:val="16"/>
        </w:rPr>
        <w:t>osielsantos190@hotmail.com.</w:t>
      </w:r>
    </w:p>
  </w:footnote>
  <w:footnote w:id="37">
    <w:p w:rsidR="00C052DD" w:rsidRDefault="00C052DD">
      <w:pPr>
        <w:rPr>
          <w:color w:val="000000"/>
          <w:sz w:val="20"/>
          <w:szCs w:val="20"/>
        </w:rPr>
      </w:pPr>
      <w:r>
        <w:rPr>
          <w:rStyle w:val="Caracteresdenotaderodap"/>
        </w:rPr>
        <w:footnoteRef/>
      </w:r>
      <w:r>
        <w:rPr>
          <w:rFonts w:ascii="Arial" w:eastAsia="Arial" w:hAnsi="Arial" w:cs="Arial"/>
          <w:color w:val="000000"/>
          <w:sz w:val="16"/>
          <w:szCs w:val="16"/>
        </w:rPr>
        <w:t xml:space="preserve"> Bacharelando em Direito pela Faculdade Evangélica Raízes, Anápolis, Goiás, sergiofigueiredo.gabriel@gmail.com.</w:t>
      </w:r>
    </w:p>
  </w:footnote>
  <w:footnote w:id="38">
    <w:p w:rsidR="00C052DD" w:rsidRDefault="00C052DD">
      <w:pPr>
        <w:rPr>
          <w:rFonts w:ascii="Arial" w:eastAsia="Arial" w:hAnsi="Arial" w:cs="Arial"/>
          <w:color w:val="000000"/>
          <w:sz w:val="16"/>
          <w:szCs w:val="16"/>
        </w:rPr>
      </w:pPr>
      <w:r>
        <w:rPr>
          <w:rStyle w:val="Caracteresdenotaderodap"/>
        </w:rPr>
        <w:footnoteRef/>
      </w:r>
      <w:r>
        <w:rPr>
          <w:rFonts w:ascii="Arial" w:eastAsia="Arial" w:hAnsi="Arial" w:cs="Arial"/>
          <w:color w:val="000000"/>
          <w:sz w:val="16"/>
          <w:szCs w:val="16"/>
        </w:rPr>
        <w:t xml:space="preserve"> Especialista em Direito Público com ênfase em Processo Civil, professor na Faculdade Evangélica Raízes, Anápolis, Goiás, lucas.lima@docente.faculdaderaizes.edu.br.</w:t>
      </w:r>
    </w:p>
  </w:footnote>
  <w:footnote w:id="39">
    <w:p w:rsidR="00C052DD" w:rsidRDefault="00C052DD">
      <w:pPr>
        <w:pStyle w:val="Textodenotaderodap"/>
        <w:jc w:val="both"/>
        <w:rPr>
          <w:rFonts w:ascii="Arial" w:hAnsi="Arial" w:cs="Arial"/>
          <w:lang w:val="pt-BR"/>
        </w:rPr>
      </w:pPr>
      <w:r>
        <w:rPr>
          <w:rStyle w:val="Caracteresdenotaderodap"/>
          <w:rFonts w:ascii="Arial" w:hAnsi="Arial" w:cs="Arial"/>
        </w:rPr>
        <w:footnoteRef/>
      </w:r>
      <w:r>
        <w:rPr>
          <w:rFonts w:ascii="Arial" w:hAnsi="Arial" w:cs="Arial"/>
        </w:rPr>
        <w:t xml:space="preserve"> Graduanda</w:t>
      </w:r>
      <w:r>
        <w:rPr>
          <w:rFonts w:ascii="Arial" w:hAnsi="Arial" w:cs="Arial"/>
          <w:spacing w:val="-8"/>
        </w:rPr>
        <w:t xml:space="preserve"> </w:t>
      </w:r>
      <w:r>
        <w:rPr>
          <w:rFonts w:ascii="Arial" w:hAnsi="Arial" w:cs="Arial"/>
        </w:rPr>
        <w:t>em</w:t>
      </w:r>
      <w:r>
        <w:rPr>
          <w:rFonts w:ascii="Arial" w:hAnsi="Arial" w:cs="Arial"/>
          <w:spacing w:val="-8"/>
        </w:rPr>
        <w:t xml:space="preserve"> </w:t>
      </w:r>
      <w:r>
        <w:rPr>
          <w:rFonts w:ascii="Arial" w:hAnsi="Arial" w:cs="Arial"/>
        </w:rPr>
        <w:t>Direito</w:t>
      </w:r>
      <w:r>
        <w:rPr>
          <w:rFonts w:ascii="Arial" w:hAnsi="Arial" w:cs="Arial"/>
          <w:spacing w:val="-7"/>
        </w:rPr>
        <w:t xml:space="preserve"> </w:t>
      </w:r>
      <w:r>
        <w:rPr>
          <w:rFonts w:ascii="Arial" w:hAnsi="Arial" w:cs="Arial"/>
        </w:rPr>
        <w:t>pela</w:t>
      </w:r>
      <w:r>
        <w:rPr>
          <w:rFonts w:ascii="Arial" w:hAnsi="Arial" w:cs="Arial"/>
          <w:spacing w:val="-8"/>
        </w:rPr>
        <w:t xml:space="preserve"> </w:t>
      </w:r>
      <w:r>
        <w:rPr>
          <w:rFonts w:ascii="Arial" w:hAnsi="Arial" w:cs="Arial"/>
        </w:rPr>
        <w:t>Faculdade</w:t>
      </w:r>
      <w:r>
        <w:rPr>
          <w:rFonts w:ascii="Arial" w:hAnsi="Arial" w:cs="Arial"/>
          <w:spacing w:val="-7"/>
        </w:rPr>
        <w:t xml:space="preserve"> </w:t>
      </w:r>
      <w:r>
        <w:rPr>
          <w:rFonts w:ascii="Arial" w:hAnsi="Arial" w:cs="Arial"/>
        </w:rPr>
        <w:t>Evangélica</w:t>
      </w:r>
      <w:r>
        <w:rPr>
          <w:rFonts w:ascii="Arial" w:hAnsi="Arial" w:cs="Arial"/>
          <w:spacing w:val="-8"/>
        </w:rPr>
        <w:t xml:space="preserve"> </w:t>
      </w:r>
      <w:r>
        <w:rPr>
          <w:rFonts w:ascii="Arial" w:hAnsi="Arial" w:cs="Arial"/>
        </w:rPr>
        <w:t>Raízes,</w:t>
      </w:r>
      <w:r>
        <w:rPr>
          <w:rFonts w:ascii="Arial" w:hAnsi="Arial" w:cs="Arial"/>
          <w:spacing w:val="-8"/>
        </w:rPr>
        <w:t xml:space="preserve"> </w:t>
      </w:r>
      <w:r>
        <w:rPr>
          <w:rFonts w:ascii="Arial" w:hAnsi="Arial" w:cs="Arial"/>
        </w:rPr>
        <w:t>Anápolis,</w:t>
      </w:r>
      <w:r>
        <w:rPr>
          <w:rFonts w:ascii="Arial" w:hAnsi="Arial" w:cs="Arial"/>
          <w:spacing w:val="-7"/>
        </w:rPr>
        <w:t xml:space="preserve"> </w:t>
      </w:r>
      <w:r>
        <w:rPr>
          <w:rFonts w:ascii="Arial" w:hAnsi="Arial" w:cs="Arial"/>
        </w:rPr>
        <w:t xml:space="preserve">Goiás, </w:t>
      </w:r>
      <w:r>
        <w:rPr>
          <w:rFonts w:ascii="Arial" w:hAnsi="Arial" w:cs="Arial"/>
          <w:spacing w:val="-2"/>
          <w:sz w:val="20"/>
          <w:lang w:val="pt-BR"/>
        </w:rPr>
        <w:t>e-mail:</w:t>
      </w:r>
      <w:r>
        <w:rPr>
          <w:rFonts w:ascii="Arial" w:hAnsi="Arial" w:cs="Arial"/>
          <w:spacing w:val="-2"/>
          <w:sz w:val="20"/>
        </w:rPr>
        <w:t xml:space="preserve"> </w:t>
      </w:r>
      <w:r>
        <w:rPr>
          <w:rFonts w:ascii="Arial" w:hAnsi="Arial" w:cs="Arial"/>
        </w:rPr>
        <w:t>annaclaramirandalps12@gmail.com</w:t>
      </w:r>
    </w:p>
  </w:footnote>
  <w:footnote w:id="40">
    <w:p w:rsidR="00C052DD" w:rsidRDefault="00C052DD">
      <w:pPr>
        <w:pStyle w:val="Textodenotaderodap"/>
        <w:jc w:val="both"/>
        <w:rPr>
          <w:rFonts w:ascii="Arial" w:hAnsi="Arial" w:cs="Arial"/>
          <w:lang w:val="pt-BR"/>
        </w:rPr>
      </w:pPr>
      <w:r>
        <w:rPr>
          <w:rStyle w:val="Caracteresdenotaderodap"/>
          <w:rFonts w:ascii="Arial" w:hAnsi="Arial" w:cs="Arial"/>
        </w:rPr>
        <w:footnoteRef/>
      </w:r>
      <w:r>
        <w:rPr>
          <w:rFonts w:ascii="Arial" w:hAnsi="Arial" w:cs="Arial"/>
        </w:rPr>
        <w:t xml:space="preserve"> Graduanda</w:t>
      </w:r>
      <w:r>
        <w:rPr>
          <w:rFonts w:ascii="Arial" w:hAnsi="Arial" w:cs="Arial"/>
          <w:spacing w:val="-8"/>
        </w:rPr>
        <w:t xml:space="preserve"> </w:t>
      </w:r>
      <w:r>
        <w:rPr>
          <w:rFonts w:ascii="Arial" w:hAnsi="Arial" w:cs="Arial"/>
        </w:rPr>
        <w:t>em</w:t>
      </w:r>
      <w:r>
        <w:rPr>
          <w:rFonts w:ascii="Arial" w:hAnsi="Arial" w:cs="Arial"/>
          <w:spacing w:val="-8"/>
        </w:rPr>
        <w:t xml:space="preserve"> </w:t>
      </w:r>
      <w:r>
        <w:rPr>
          <w:rFonts w:ascii="Arial" w:hAnsi="Arial" w:cs="Arial"/>
        </w:rPr>
        <w:t>Direito</w:t>
      </w:r>
      <w:r>
        <w:rPr>
          <w:rFonts w:ascii="Arial" w:hAnsi="Arial" w:cs="Arial"/>
          <w:spacing w:val="-7"/>
        </w:rPr>
        <w:t xml:space="preserve"> </w:t>
      </w:r>
      <w:r>
        <w:rPr>
          <w:rFonts w:ascii="Arial" w:hAnsi="Arial" w:cs="Arial"/>
        </w:rPr>
        <w:t>pela</w:t>
      </w:r>
      <w:r>
        <w:rPr>
          <w:rFonts w:ascii="Arial" w:hAnsi="Arial" w:cs="Arial"/>
          <w:spacing w:val="-8"/>
        </w:rPr>
        <w:t xml:space="preserve"> </w:t>
      </w:r>
      <w:r>
        <w:rPr>
          <w:rFonts w:ascii="Arial" w:hAnsi="Arial" w:cs="Arial"/>
        </w:rPr>
        <w:t>Faculdade</w:t>
      </w:r>
      <w:r>
        <w:rPr>
          <w:rFonts w:ascii="Arial" w:hAnsi="Arial" w:cs="Arial"/>
          <w:spacing w:val="-7"/>
        </w:rPr>
        <w:t xml:space="preserve"> </w:t>
      </w:r>
      <w:r>
        <w:rPr>
          <w:rFonts w:ascii="Arial" w:hAnsi="Arial" w:cs="Arial"/>
        </w:rPr>
        <w:t>Evangélica</w:t>
      </w:r>
      <w:r>
        <w:rPr>
          <w:rFonts w:ascii="Arial" w:hAnsi="Arial" w:cs="Arial"/>
          <w:spacing w:val="-8"/>
        </w:rPr>
        <w:t xml:space="preserve"> </w:t>
      </w:r>
      <w:r>
        <w:rPr>
          <w:rFonts w:ascii="Arial" w:hAnsi="Arial" w:cs="Arial"/>
        </w:rPr>
        <w:t>Raízes,</w:t>
      </w:r>
      <w:r>
        <w:rPr>
          <w:rFonts w:ascii="Arial" w:hAnsi="Arial" w:cs="Arial"/>
          <w:spacing w:val="-8"/>
        </w:rPr>
        <w:t xml:space="preserve"> </w:t>
      </w:r>
      <w:r>
        <w:rPr>
          <w:rFonts w:ascii="Arial" w:hAnsi="Arial" w:cs="Arial"/>
        </w:rPr>
        <w:t>Anápolis,</w:t>
      </w:r>
      <w:r>
        <w:rPr>
          <w:rFonts w:ascii="Arial" w:hAnsi="Arial" w:cs="Arial"/>
          <w:spacing w:val="-7"/>
        </w:rPr>
        <w:t xml:space="preserve"> </w:t>
      </w:r>
      <w:r>
        <w:rPr>
          <w:rFonts w:ascii="Arial" w:hAnsi="Arial" w:cs="Arial"/>
        </w:rPr>
        <w:t xml:space="preserve">Goiás, </w:t>
      </w:r>
      <w:r>
        <w:rPr>
          <w:rFonts w:ascii="Arial" w:hAnsi="Arial" w:cs="Arial"/>
          <w:spacing w:val="-2"/>
          <w:sz w:val="20"/>
          <w:lang w:val="pt-BR"/>
        </w:rPr>
        <w:t>e-mail:</w:t>
      </w:r>
      <w:r>
        <w:rPr>
          <w:rFonts w:ascii="Arial" w:hAnsi="Arial" w:cs="Arial"/>
          <w:spacing w:val="-2"/>
          <w:sz w:val="20"/>
        </w:rPr>
        <w:t xml:space="preserve"> </w:t>
      </w:r>
      <w:r>
        <w:rPr>
          <w:rFonts w:ascii="Arial" w:hAnsi="Arial" w:cs="Arial"/>
        </w:rPr>
        <w:t>ana04beatriz05santos@gmail.com</w:t>
      </w:r>
    </w:p>
  </w:footnote>
  <w:footnote w:id="41">
    <w:p w:rsidR="00C052DD" w:rsidRDefault="00C052DD">
      <w:pPr>
        <w:pStyle w:val="Textodenotaderodap"/>
        <w:jc w:val="both"/>
        <w:rPr>
          <w:rFonts w:ascii="Arial" w:hAnsi="Arial" w:cs="Arial"/>
          <w:lang w:val="pt-BR"/>
        </w:rPr>
      </w:pPr>
      <w:r>
        <w:rPr>
          <w:rStyle w:val="Caracteresdenotaderodap"/>
          <w:rFonts w:ascii="Arial" w:hAnsi="Arial" w:cs="Arial"/>
        </w:rPr>
        <w:footnoteRef/>
      </w:r>
      <w:r>
        <w:rPr>
          <w:rFonts w:ascii="Arial" w:hAnsi="Arial" w:cs="Arial"/>
        </w:rPr>
        <w:t xml:space="preserve"> Graduanda</w:t>
      </w:r>
      <w:r>
        <w:rPr>
          <w:rFonts w:ascii="Arial" w:hAnsi="Arial" w:cs="Arial"/>
          <w:spacing w:val="-8"/>
        </w:rPr>
        <w:t xml:space="preserve"> </w:t>
      </w:r>
      <w:r>
        <w:rPr>
          <w:rFonts w:ascii="Arial" w:hAnsi="Arial" w:cs="Arial"/>
        </w:rPr>
        <w:t>em</w:t>
      </w:r>
      <w:r>
        <w:rPr>
          <w:rFonts w:ascii="Arial" w:hAnsi="Arial" w:cs="Arial"/>
          <w:spacing w:val="-8"/>
        </w:rPr>
        <w:t xml:space="preserve"> </w:t>
      </w:r>
      <w:r>
        <w:rPr>
          <w:rFonts w:ascii="Arial" w:hAnsi="Arial" w:cs="Arial"/>
        </w:rPr>
        <w:t>Direito</w:t>
      </w:r>
      <w:r>
        <w:rPr>
          <w:rFonts w:ascii="Arial" w:hAnsi="Arial" w:cs="Arial"/>
          <w:spacing w:val="-7"/>
        </w:rPr>
        <w:t xml:space="preserve"> </w:t>
      </w:r>
      <w:r>
        <w:rPr>
          <w:rFonts w:ascii="Arial" w:hAnsi="Arial" w:cs="Arial"/>
        </w:rPr>
        <w:t>pela</w:t>
      </w:r>
      <w:r>
        <w:rPr>
          <w:rFonts w:ascii="Arial" w:hAnsi="Arial" w:cs="Arial"/>
          <w:spacing w:val="-8"/>
        </w:rPr>
        <w:t xml:space="preserve"> </w:t>
      </w:r>
      <w:r>
        <w:rPr>
          <w:rFonts w:ascii="Arial" w:hAnsi="Arial" w:cs="Arial"/>
        </w:rPr>
        <w:t>Faculdade</w:t>
      </w:r>
      <w:r>
        <w:rPr>
          <w:rFonts w:ascii="Arial" w:hAnsi="Arial" w:cs="Arial"/>
          <w:spacing w:val="-7"/>
        </w:rPr>
        <w:t xml:space="preserve"> </w:t>
      </w:r>
      <w:r>
        <w:rPr>
          <w:rFonts w:ascii="Arial" w:hAnsi="Arial" w:cs="Arial"/>
        </w:rPr>
        <w:t>Evangélica</w:t>
      </w:r>
      <w:r>
        <w:rPr>
          <w:rFonts w:ascii="Arial" w:hAnsi="Arial" w:cs="Arial"/>
          <w:spacing w:val="-8"/>
        </w:rPr>
        <w:t xml:space="preserve"> </w:t>
      </w:r>
      <w:r>
        <w:rPr>
          <w:rFonts w:ascii="Arial" w:hAnsi="Arial" w:cs="Arial"/>
        </w:rPr>
        <w:t>Raízes,</w:t>
      </w:r>
      <w:r>
        <w:rPr>
          <w:rFonts w:ascii="Arial" w:hAnsi="Arial" w:cs="Arial"/>
          <w:spacing w:val="-8"/>
        </w:rPr>
        <w:t xml:space="preserve"> </w:t>
      </w:r>
      <w:r>
        <w:rPr>
          <w:rFonts w:ascii="Arial" w:hAnsi="Arial" w:cs="Arial"/>
        </w:rPr>
        <w:t>Anápolis,</w:t>
      </w:r>
      <w:r>
        <w:rPr>
          <w:rFonts w:ascii="Arial" w:hAnsi="Arial" w:cs="Arial"/>
          <w:spacing w:val="-7"/>
        </w:rPr>
        <w:t xml:space="preserve"> </w:t>
      </w:r>
      <w:r>
        <w:rPr>
          <w:rFonts w:ascii="Arial" w:hAnsi="Arial" w:cs="Arial"/>
        </w:rPr>
        <w:t xml:space="preserve">Goiás, </w:t>
      </w:r>
      <w:r>
        <w:rPr>
          <w:rFonts w:ascii="Arial" w:hAnsi="Arial" w:cs="Arial"/>
          <w:spacing w:val="-2"/>
          <w:sz w:val="20"/>
          <w:lang w:val="pt-BR"/>
        </w:rPr>
        <w:t>e-mail:</w:t>
      </w:r>
      <w:r>
        <w:rPr>
          <w:rFonts w:ascii="Arial" w:hAnsi="Arial" w:cs="Arial"/>
          <w:spacing w:val="-2"/>
          <w:sz w:val="20"/>
        </w:rPr>
        <w:t xml:space="preserve"> </w:t>
      </w:r>
      <w:r>
        <w:rPr>
          <w:rFonts w:ascii="Arial" w:hAnsi="Arial" w:cs="Arial"/>
        </w:rPr>
        <w:t>fellipevianadias@gmail.com</w:t>
      </w:r>
    </w:p>
  </w:footnote>
  <w:footnote w:id="42">
    <w:p w:rsidR="00C052DD" w:rsidRDefault="00C052DD">
      <w:pPr>
        <w:pStyle w:val="Textodenotaderodap"/>
        <w:jc w:val="both"/>
        <w:rPr>
          <w:rFonts w:ascii="Arial" w:hAnsi="Arial" w:cs="Arial"/>
          <w:lang w:val="pt-BR"/>
        </w:rPr>
      </w:pPr>
      <w:r>
        <w:rPr>
          <w:rStyle w:val="Caracteresdenotaderodap"/>
          <w:rFonts w:ascii="Arial" w:hAnsi="Arial" w:cs="Arial"/>
        </w:rPr>
        <w:footnoteRef/>
      </w:r>
      <w:r>
        <w:rPr>
          <w:rFonts w:ascii="Arial" w:hAnsi="Arial" w:cs="Arial"/>
        </w:rPr>
        <w:t xml:space="preserve"> Graduando</w:t>
      </w:r>
      <w:r>
        <w:rPr>
          <w:rFonts w:ascii="Arial" w:hAnsi="Arial" w:cs="Arial"/>
          <w:spacing w:val="-8"/>
        </w:rPr>
        <w:t xml:space="preserve"> </w:t>
      </w:r>
      <w:r>
        <w:rPr>
          <w:rFonts w:ascii="Arial" w:hAnsi="Arial" w:cs="Arial"/>
        </w:rPr>
        <w:t>em</w:t>
      </w:r>
      <w:r>
        <w:rPr>
          <w:rFonts w:ascii="Arial" w:hAnsi="Arial" w:cs="Arial"/>
          <w:spacing w:val="-8"/>
        </w:rPr>
        <w:t xml:space="preserve"> </w:t>
      </w:r>
      <w:r>
        <w:rPr>
          <w:rFonts w:ascii="Arial" w:hAnsi="Arial" w:cs="Arial"/>
        </w:rPr>
        <w:t>Direito</w:t>
      </w:r>
      <w:r>
        <w:rPr>
          <w:rFonts w:ascii="Arial" w:hAnsi="Arial" w:cs="Arial"/>
          <w:spacing w:val="-7"/>
        </w:rPr>
        <w:t xml:space="preserve"> </w:t>
      </w:r>
      <w:r>
        <w:rPr>
          <w:rFonts w:ascii="Arial" w:hAnsi="Arial" w:cs="Arial"/>
        </w:rPr>
        <w:t>pela</w:t>
      </w:r>
      <w:r>
        <w:rPr>
          <w:rFonts w:ascii="Arial" w:hAnsi="Arial" w:cs="Arial"/>
          <w:spacing w:val="-8"/>
        </w:rPr>
        <w:t xml:space="preserve"> </w:t>
      </w:r>
      <w:r>
        <w:rPr>
          <w:rFonts w:ascii="Arial" w:hAnsi="Arial" w:cs="Arial"/>
        </w:rPr>
        <w:t>Faculdade</w:t>
      </w:r>
      <w:r>
        <w:rPr>
          <w:rFonts w:ascii="Arial" w:hAnsi="Arial" w:cs="Arial"/>
          <w:spacing w:val="-7"/>
        </w:rPr>
        <w:t xml:space="preserve"> </w:t>
      </w:r>
      <w:r>
        <w:rPr>
          <w:rFonts w:ascii="Arial" w:hAnsi="Arial" w:cs="Arial"/>
        </w:rPr>
        <w:t>Evangélica</w:t>
      </w:r>
      <w:r>
        <w:rPr>
          <w:rFonts w:ascii="Arial" w:hAnsi="Arial" w:cs="Arial"/>
          <w:spacing w:val="-8"/>
        </w:rPr>
        <w:t xml:space="preserve"> </w:t>
      </w:r>
      <w:r>
        <w:rPr>
          <w:rFonts w:ascii="Arial" w:hAnsi="Arial" w:cs="Arial"/>
        </w:rPr>
        <w:t>Raízes,</w:t>
      </w:r>
      <w:r>
        <w:rPr>
          <w:rFonts w:ascii="Arial" w:hAnsi="Arial" w:cs="Arial"/>
          <w:spacing w:val="-8"/>
        </w:rPr>
        <w:t xml:space="preserve"> </w:t>
      </w:r>
      <w:r>
        <w:rPr>
          <w:rFonts w:ascii="Arial" w:hAnsi="Arial" w:cs="Arial"/>
        </w:rPr>
        <w:t>Anápolis,</w:t>
      </w:r>
      <w:r>
        <w:rPr>
          <w:rFonts w:ascii="Arial" w:hAnsi="Arial" w:cs="Arial"/>
          <w:spacing w:val="-7"/>
        </w:rPr>
        <w:t xml:space="preserve"> </w:t>
      </w:r>
      <w:r>
        <w:rPr>
          <w:rFonts w:ascii="Arial" w:hAnsi="Arial" w:cs="Arial"/>
        </w:rPr>
        <w:t>Goiás,</w:t>
      </w:r>
      <w:r>
        <w:rPr>
          <w:rFonts w:ascii="Arial" w:hAnsi="Arial" w:cs="Arial"/>
          <w:lang w:val="pt-BR"/>
        </w:rPr>
        <w:t xml:space="preserve"> </w:t>
      </w:r>
      <w:r>
        <w:rPr>
          <w:rFonts w:ascii="Arial" w:hAnsi="Arial" w:cs="Arial"/>
          <w:spacing w:val="-2"/>
          <w:sz w:val="20"/>
          <w:lang w:val="pt-BR"/>
        </w:rPr>
        <w:t>e-mail:</w:t>
      </w:r>
      <w:r>
        <w:rPr>
          <w:rFonts w:ascii="Arial" w:hAnsi="Arial" w:cs="Arial"/>
        </w:rPr>
        <w:t xml:space="preserve"> jennifersousamorais2@gmail.com</w:t>
      </w:r>
    </w:p>
  </w:footnote>
  <w:footnote w:id="43">
    <w:p w:rsidR="00C052DD" w:rsidRDefault="00C052DD">
      <w:pPr>
        <w:tabs>
          <w:tab w:val="left" w:pos="2305"/>
          <w:tab w:val="left" w:pos="3673"/>
          <w:tab w:val="left" w:pos="4979"/>
          <w:tab w:val="left" w:pos="6352"/>
          <w:tab w:val="left" w:pos="7420"/>
          <w:tab w:val="left" w:pos="8677"/>
        </w:tabs>
        <w:ind w:right="154"/>
        <w:jc w:val="both"/>
        <w:rPr>
          <w:rFonts w:ascii="Arial" w:hAnsi="Arial" w:cs="Arial"/>
          <w:sz w:val="20"/>
        </w:rPr>
      </w:pPr>
      <w:r>
        <w:rPr>
          <w:rStyle w:val="Caracteresdenotaderodap"/>
          <w:rFonts w:ascii="Arial" w:hAnsi="Arial" w:cs="Arial"/>
        </w:rPr>
        <w:footnoteRef/>
      </w:r>
      <w:r>
        <w:rPr>
          <w:rFonts w:ascii="Arial" w:hAnsi="Arial" w:cs="Arial"/>
        </w:rPr>
        <w:t xml:space="preserve"> </w:t>
      </w:r>
      <w:r>
        <w:rPr>
          <w:rFonts w:ascii="Arial" w:hAnsi="Arial" w:cs="Arial"/>
          <w:sz w:val="20"/>
        </w:rPr>
        <w:t>Especialista</w:t>
      </w:r>
      <w:r>
        <w:rPr>
          <w:rFonts w:ascii="Arial" w:hAnsi="Arial" w:cs="Arial"/>
          <w:spacing w:val="80"/>
          <w:w w:val="150"/>
          <w:sz w:val="20"/>
        </w:rPr>
        <w:t xml:space="preserve"> </w:t>
      </w:r>
      <w:r>
        <w:rPr>
          <w:rFonts w:ascii="Arial" w:hAnsi="Arial" w:cs="Arial"/>
          <w:sz w:val="20"/>
        </w:rPr>
        <w:t>em</w:t>
      </w:r>
      <w:r>
        <w:rPr>
          <w:rFonts w:ascii="Arial" w:hAnsi="Arial" w:cs="Arial"/>
          <w:spacing w:val="80"/>
          <w:w w:val="150"/>
          <w:sz w:val="20"/>
        </w:rPr>
        <w:t xml:space="preserve"> </w:t>
      </w:r>
      <w:r>
        <w:rPr>
          <w:rFonts w:ascii="Arial" w:hAnsi="Arial" w:cs="Arial"/>
          <w:sz w:val="20"/>
        </w:rPr>
        <w:t>Direito</w:t>
      </w:r>
      <w:r>
        <w:rPr>
          <w:rFonts w:ascii="Arial" w:hAnsi="Arial" w:cs="Arial"/>
          <w:spacing w:val="80"/>
          <w:w w:val="150"/>
          <w:sz w:val="20"/>
        </w:rPr>
        <w:t xml:space="preserve"> </w:t>
      </w:r>
      <w:r>
        <w:rPr>
          <w:rFonts w:ascii="Arial" w:hAnsi="Arial" w:cs="Arial"/>
          <w:sz w:val="20"/>
        </w:rPr>
        <w:t>Penal</w:t>
      </w:r>
      <w:r>
        <w:rPr>
          <w:rFonts w:ascii="Arial" w:hAnsi="Arial" w:cs="Arial"/>
          <w:spacing w:val="80"/>
          <w:w w:val="150"/>
          <w:sz w:val="20"/>
        </w:rPr>
        <w:t xml:space="preserve"> </w:t>
      </w:r>
      <w:r>
        <w:rPr>
          <w:rFonts w:ascii="Arial" w:hAnsi="Arial" w:cs="Arial"/>
          <w:sz w:val="20"/>
        </w:rPr>
        <w:t>e</w:t>
      </w:r>
      <w:r>
        <w:rPr>
          <w:rFonts w:ascii="Arial" w:hAnsi="Arial" w:cs="Arial"/>
          <w:spacing w:val="80"/>
          <w:w w:val="150"/>
          <w:sz w:val="20"/>
        </w:rPr>
        <w:t xml:space="preserve"> </w:t>
      </w:r>
      <w:r>
        <w:rPr>
          <w:rFonts w:ascii="Arial" w:hAnsi="Arial" w:cs="Arial"/>
          <w:sz w:val="20"/>
        </w:rPr>
        <w:t>Processo</w:t>
      </w:r>
      <w:r>
        <w:rPr>
          <w:rFonts w:ascii="Arial" w:hAnsi="Arial" w:cs="Arial"/>
          <w:spacing w:val="80"/>
          <w:w w:val="150"/>
          <w:sz w:val="20"/>
        </w:rPr>
        <w:t xml:space="preserve"> </w:t>
      </w:r>
      <w:r>
        <w:rPr>
          <w:rFonts w:ascii="Arial" w:hAnsi="Arial" w:cs="Arial"/>
          <w:sz w:val="20"/>
        </w:rPr>
        <w:t>Penal,</w:t>
      </w:r>
      <w:r>
        <w:rPr>
          <w:rFonts w:ascii="Arial" w:hAnsi="Arial" w:cs="Arial"/>
          <w:spacing w:val="80"/>
          <w:w w:val="150"/>
          <w:sz w:val="20"/>
        </w:rPr>
        <w:t xml:space="preserve"> </w:t>
      </w:r>
      <w:r>
        <w:rPr>
          <w:rFonts w:ascii="Arial" w:hAnsi="Arial" w:cs="Arial"/>
          <w:sz w:val="20"/>
        </w:rPr>
        <w:t>Mestrado</w:t>
      </w:r>
      <w:r>
        <w:rPr>
          <w:rFonts w:ascii="Arial" w:hAnsi="Arial" w:cs="Arial"/>
          <w:spacing w:val="80"/>
          <w:w w:val="150"/>
          <w:sz w:val="20"/>
        </w:rPr>
        <w:t xml:space="preserve"> </w:t>
      </w:r>
      <w:r>
        <w:rPr>
          <w:rFonts w:ascii="Arial" w:hAnsi="Arial" w:cs="Arial"/>
          <w:sz w:val="20"/>
        </w:rPr>
        <w:t>(Universidade</w:t>
      </w:r>
      <w:r>
        <w:rPr>
          <w:rFonts w:ascii="Arial" w:hAnsi="Arial" w:cs="Arial"/>
          <w:spacing w:val="80"/>
          <w:w w:val="150"/>
          <w:sz w:val="20"/>
        </w:rPr>
        <w:t xml:space="preserve"> </w:t>
      </w:r>
      <w:r>
        <w:rPr>
          <w:rFonts w:ascii="Arial" w:hAnsi="Arial" w:cs="Arial"/>
          <w:sz w:val="20"/>
        </w:rPr>
        <w:t>Evangélica</w:t>
      </w:r>
      <w:r>
        <w:rPr>
          <w:rFonts w:ascii="Arial" w:hAnsi="Arial" w:cs="Arial"/>
          <w:spacing w:val="80"/>
          <w:w w:val="150"/>
          <w:sz w:val="20"/>
        </w:rPr>
        <w:t xml:space="preserve"> </w:t>
      </w:r>
      <w:r>
        <w:rPr>
          <w:rFonts w:ascii="Arial" w:hAnsi="Arial" w:cs="Arial"/>
          <w:sz w:val="20"/>
        </w:rPr>
        <w:t>de</w:t>
      </w:r>
      <w:r>
        <w:rPr>
          <w:rFonts w:ascii="Arial" w:hAnsi="Arial" w:cs="Arial"/>
          <w:spacing w:val="80"/>
          <w:w w:val="150"/>
          <w:sz w:val="20"/>
        </w:rPr>
        <w:t xml:space="preserve"> </w:t>
      </w:r>
      <w:r>
        <w:rPr>
          <w:rFonts w:ascii="Arial" w:hAnsi="Arial" w:cs="Arial"/>
          <w:sz w:val="20"/>
        </w:rPr>
        <w:t>Goiás</w:t>
      </w:r>
      <w:r>
        <w:rPr>
          <w:rFonts w:ascii="Arial" w:hAnsi="Arial" w:cs="Arial"/>
          <w:spacing w:val="80"/>
          <w:sz w:val="20"/>
        </w:rPr>
        <w:t xml:space="preserve"> </w:t>
      </w:r>
      <w:r>
        <w:rPr>
          <w:rFonts w:ascii="Arial" w:hAnsi="Arial" w:cs="Arial"/>
          <w:sz w:val="20"/>
        </w:rPr>
        <w:t xml:space="preserve">- </w:t>
      </w:r>
      <w:r>
        <w:rPr>
          <w:rFonts w:ascii="Arial" w:hAnsi="Arial" w:cs="Arial"/>
          <w:spacing w:val="-2"/>
          <w:sz w:val="20"/>
        </w:rPr>
        <w:t>UniEVANGÉLICA),</w:t>
      </w:r>
      <w:r>
        <w:rPr>
          <w:rFonts w:ascii="Arial" w:hAnsi="Arial" w:cs="Arial"/>
          <w:sz w:val="20"/>
        </w:rPr>
        <w:tab/>
      </w:r>
      <w:r>
        <w:rPr>
          <w:rFonts w:ascii="Arial" w:hAnsi="Arial" w:cs="Arial"/>
          <w:spacing w:val="-2"/>
          <w:sz w:val="20"/>
        </w:rPr>
        <w:t>professora,</w:t>
      </w:r>
      <w:r>
        <w:rPr>
          <w:rFonts w:ascii="Arial" w:hAnsi="Arial" w:cs="Arial"/>
          <w:sz w:val="20"/>
        </w:rPr>
        <w:tab/>
      </w:r>
      <w:r>
        <w:rPr>
          <w:rFonts w:ascii="Arial" w:hAnsi="Arial" w:cs="Arial"/>
          <w:spacing w:val="-2"/>
          <w:sz w:val="20"/>
        </w:rPr>
        <w:t>Faculdade</w:t>
      </w:r>
      <w:r>
        <w:rPr>
          <w:rFonts w:ascii="Arial" w:hAnsi="Arial" w:cs="Arial"/>
          <w:sz w:val="20"/>
        </w:rPr>
        <w:tab/>
      </w:r>
      <w:r>
        <w:rPr>
          <w:rFonts w:ascii="Arial" w:hAnsi="Arial" w:cs="Arial"/>
          <w:spacing w:val="-2"/>
          <w:sz w:val="20"/>
        </w:rPr>
        <w:t>Evangélica</w:t>
      </w:r>
      <w:r>
        <w:rPr>
          <w:rFonts w:ascii="Arial" w:hAnsi="Arial" w:cs="Arial"/>
          <w:sz w:val="20"/>
        </w:rPr>
        <w:tab/>
      </w:r>
      <w:r>
        <w:rPr>
          <w:rFonts w:ascii="Arial" w:hAnsi="Arial" w:cs="Arial"/>
          <w:spacing w:val="-2"/>
          <w:sz w:val="20"/>
        </w:rPr>
        <w:t>Raízes,</w:t>
      </w:r>
      <w:r>
        <w:rPr>
          <w:rFonts w:ascii="Arial" w:hAnsi="Arial" w:cs="Arial"/>
          <w:spacing w:val="-2"/>
          <w:sz w:val="20"/>
          <w:lang w:val="pt-BR"/>
        </w:rPr>
        <w:t xml:space="preserve"> </w:t>
      </w:r>
      <w:r>
        <w:rPr>
          <w:rFonts w:ascii="Arial" w:hAnsi="Arial" w:cs="Arial"/>
          <w:spacing w:val="-2"/>
          <w:sz w:val="20"/>
        </w:rPr>
        <w:t>Anápolis,</w:t>
      </w:r>
      <w:r>
        <w:rPr>
          <w:rFonts w:ascii="Arial" w:hAnsi="Arial" w:cs="Arial"/>
          <w:spacing w:val="-2"/>
          <w:sz w:val="20"/>
          <w:lang w:val="pt-BR"/>
        </w:rPr>
        <w:t xml:space="preserve"> </w:t>
      </w:r>
      <w:r>
        <w:rPr>
          <w:rFonts w:ascii="Arial" w:hAnsi="Arial" w:cs="Arial"/>
          <w:spacing w:val="-2"/>
          <w:sz w:val="20"/>
        </w:rPr>
        <w:t>G</w:t>
      </w:r>
      <w:r>
        <w:rPr>
          <w:rFonts w:ascii="Arial" w:hAnsi="Arial" w:cs="Arial"/>
          <w:spacing w:val="-2"/>
          <w:sz w:val="20"/>
          <w:lang w:val="pt-BR"/>
        </w:rPr>
        <w:t>O</w:t>
      </w:r>
      <w:r>
        <w:rPr>
          <w:rFonts w:ascii="Arial" w:hAnsi="Arial" w:cs="Arial"/>
          <w:spacing w:val="-2"/>
          <w:sz w:val="20"/>
        </w:rPr>
        <w:t>,</w:t>
      </w:r>
      <w:r>
        <w:rPr>
          <w:rFonts w:ascii="Arial" w:hAnsi="Arial" w:cs="Arial"/>
          <w:spacing w:val="-2"/>
          <w:sz w:val="20"/>
          <w:lang w:val="pt-BR"/>
        </w:rPr>
        <w:t xml:space="preserve"> e-mail:</w:t>
      </w:r>
      <w:r>
        <w:rPr>
          <w:rFonts w:ascii="Arial" w:hAnsi="Arial" w:cs="Arial"/>
          <w:spacing w:val="-2"/>
          <w:sz w:val="20"/>
        </w:rPr>
        <w:t xml:space="preserve"> </w:t>
      </w:r>
      <w:hyperlink r:id="rId12">
        <w:r>
          <w:rPr>
            <w:rStyle w:val="Hyperlink1"/>
            <w:rFonts w:ascii="Arial" w:hAnsi="Arial" w:cs="Arial"/>
            <w:color w:val="0462C1"/>
            <w:spacing w:val="-2"/>
            <w:sz w:val="20"/>
            <w:u w:val="thick" w:color="0462C1"/>
          </w:rPr>
          <w:t>cristiane.bonfim@docente.faculdaderaizes.edu.br</w:t>
        </w:r>
      </w:hyperlink>
      <w:r>
        <w:rPr>
          <w:rFonts w:ascii="Arial" w:hAnsi="Arial" w:cs="Arial"/>
          <w:spacing w:val="-2"/>
          <w:sz w:val="20"/>
        </w:rPr>
        <w:t>.</w:t>
      </w:r>
    </w:p>
    <w:p w:rsidR="00C052DD" w:rsidRDefault="00C052DD">
      <w:pPr>
        <w:pStyle w:val="Textodenotaderodap"/>
        <w:rPr>
          <w:lang w:val="pt-BR"/>
        </w:rPr>
      </w:pPr>
    </w:p>
  </w:footnote>
  <w:footnote w:id="44">
    <w:p w:rsidR="00C052DD" w:rsidRDefault="00C052DD">
      <w:pPr>
        <w:pStyle w:val="Textodenotaderodap"/>
        <w:rPr>
          <w:rFonts w:ascii="Arial" w:hAnsi="Arial" w:cs="Arial"/>
          <w:highlight w:val="yellow"/>
          <w:lang w:val="pt-BR"/>
        </w:rPr>
      </w:pPr>
      <w:r>
        <w:rPr>
          <w:rStyle w:val="Refdenotaderodap"/>
          <w:rFonts w:ascii="Arial" w:hAnsi="Arial" w:cs="Arial"/>
        </w:rPr>
        <w:footnoteRef/>
      </w:r>
      <w:r>
        <w:rPr>
          <w:rFonts w:ascii="Arial" w:hAnsi="Arial" w:cs="Arial"/>
        </w:rPr>
        <w:t xml:space="preserve"> </w:t>
      </w:r>
      <w:r>
        <w:rPr>
          <w:rFonts w:ascii="Arial" w:hAnsi="Arial" w:cs="Arial"/>
          <w:lang w:val="pt-BR"/>
        </w:rPr>
        <w:t>Acadêmico do curso de Direito da Faculdade Evangélica Raízes. E-mail: joalissousanunes@outlook.com</w:t>
      </w:r>
    </w:p>
  </w:footnote>
  <w:footnote w:id="45">
    <w:p w:rsidR="00C052DD" w:rsidRDefault="00C052DD">
      <w:pPr>
        <w:pStyle w:val="Textodenotaderodap"/>
        <w:rPr>
          <w:rFonts w:ascii="Arial" w:hAnsi="Arial" w:cs="Arial"/>
        </w:rPr>
      </w:pPr>
      <w:r>
        <w:rPr>
          <w:rStyle w:val="Refdenotaderodap"/>
          <w:rFonts w:ascii="Arial" w:hAnsi="Arial" w:cs="Arial"/>
        </w:rPr>
        <w:footnoteRef/>
      </w:r>
      <w:r>
        <w:rPr>
          <w:rFonts w:ascii="Arial" w:hAnsi="Arial" w:cs="Arial"/>
        </w:rPr>
        <w:t xml:space="preserve"> </w:t>
      </w:r>
      <w:r>
        <w:rPr>
          <w:rFonts w:ascii="Arial" w:hAnsi="Arial" w:cs="Arial"/>
          <w:lang w:val="pt-BR"/>
        </w:rPr>
        <w:t>Acadêmico do curso de Direito da Faculdade Evangélica Raízes. E-mail: luanamartinsdosantos922@gmail.com</w:t>
      </w:r>
    </w:p>
  </w:footnote>
  <w:footnote w:id="46">
    <w:p w:rsidR="00C052DD" w:rsidRDefault="00C052DD">
      <w:pPr>
        <w:pStyle w:val="Textodenotaderodap"/>
        <w:rPr>
          <w:rFonts w:ascii="Arial" w:hAnsi="Arial" w:cs="Arial"/>
        </w:rPr>
      </w:pPr>
      <w:r>
        <w:rPr>
          <w:rStyle w:val="Refdenotaderodap"/>
          <w:rFonts w:ascii="Arial" w:hAnsi="Arial" w:cs="Arial"/>
        </w:rPr>
        <w:footnoteRef/>
      </w:r>
      <w:r>
        <w:rPr>
          <w:rFonts w:ascii="Arial" w:hAnsi="Arial" w:cs="Arial"/>
        </w:rPr>
        <w:t xml:space="preserve"> Advogada</w:t>
      </w:r>
      <w:r>
        <w:rPr>
          <w:rFonts w:ascii="Arial" w:hAnsi="Arial" w:cs="Arial"/>
          <w:spacing w:val="-6"/>
        </w:rPr>
        <w:t xml:space="preserve"> </w:t>
      </w:r>
      <w:r>
        <w:rPr>
          <w:rFonts w:ascii="Arial" w:hAnsi="Arial" w:cs="Arial"/>
        </w:rPr>
        <w:t>e</w:t>
      </w:r>
      <w:r>
        <w:rPr>
          <w:rFonts w:ascii="Arial" w:hAnsi="Arial" w:cs="Arial"/>
          <w:spacing w:val="-3"/>
        </w:rPr>
        <w:t xml:space="preserve"> </w:t>
      </w:r>
      <w:r>
        <w:rPr>
          <w:rFonts w:ascii="Arial" w:hAnsi="Arial" w:cs="Arial"/>
        </w:rPr>
        <w:t>professora</w:t>
      </w:r>
      <w:r>
        <w:rPr>
          <w:rFonts w:ascii="Arial" w:hAnsi="Arial" w:cs="Arial"/>
          <w:spacing w:val="-6"/>
        </w:rPr>
        <w:t xml:space="preserve"> </w:t>
      </w:r>
      <w:r>
        <w:rPr>
          <w:rFonts w:ascii="Arial" w:hAnsi="Arial" w:cs="Arial"/>
        </w:rPr>
        <w:t>universitária.</w:t>
      </w:r>
      <w:r>
        <w:rPr>
          <w:rFonts w:ascii="Arial" w:hAnsi="Arial" w:cs="Arial"/>
          <w:spacing w:val="-2"/>
        </w:rPr>
        <w:t xml:space="preserve"> </w:t>
      </w:r>
      <w:r>
        <w:rPr>
          <w:rFonts w:ascii="Arial" w:hAnsi="Arial" w:cs="Arial"/>
        </w:rPr>
        <w:t>Mestre</w:t>
      </w:r>
      <w:r>
        <w:rPr>
          <w:rFonts w:ascii="Arial" w:hAnsi="Arial" w:cs="Arial"/>
          <w:spacing w:val="-3"/>
        </w:rPr>
        <w:t xml:space="preserve"> </w:t>
      </w:r>
      <w:r>
        <w:rPr>
          <w:rFonts w:ascii="Arial" w:hAnsi="Arial" w:cs="Arial"/>
        </w:rPr>
        <w:t>em</w:t>
      </w:r>
      <w:r>
        <w:rPr>
          <w:rFonts w:ascii="Arial" w:hAnsi="Arial" w:cs="Arial"/>
          <w:spacing w:val="-1"/>
        </w:rPr>
        <w:t xml:space="preserve"> </w:t>
      </w:r>
      <w:r>
        <w:rPr>
          <w:rFonts w:ascii="Arial" w:hAnsi="Arial" w:cs="Arial"/>
        </w:rPr>
        <w:t>Direito</w:t>
      </w:r>
      <w:r>
        <w:rPr>
          <w:rFonts w:ascii="Arial" w:hAnsi="Arial" w:cs="Arial"/>
          <w:spacing w:val="-4"/>
        </w:rPr>
        <w:t xml:space="preserve"> </w:t>
      </w:r>
      <w:r>
        <w:rPr>
          <w:rFonts w:ascii="Arial" w:hAnsi="Arial" w:cs="Arial"/>
        </w:rPr>
        <w:t>pela</w:t>
      </w:r>
      <w:r>
        <w:rPr>
          <w:rFonts w:ascii="Arial" w:hAnsi="Arial" w:cs="Arial"/>
          <w:spacing w:val="-3"/>
        </w:rPr>
        <w:t xml:space="preserve"> </w:t>
      </w:r>
      <w:r>
        <w:rPr>
          <w:rFonts w:ascii="Arial" w:hAnsi="Arial" w:cs="Arial"/>
        </w:rPr>
        <w:t>Universidade</w:t>
      </w:r>
      <w:r>
        <w:rPr>
          <w:rFonts w:ascii="Arial" w:hAnsi="Arial" w:cs="Arial"/>
          <w:spacing w:val="-3"/>
        </w:rPr>
        <w:t xml:space="preserve"> </w:t>
      </w:r>
      <w:r>
        <w:rPr>
          <w:rFonts w:ascii="Arial" w:hAnsi="Arial" w:cs="Arial"/>
        </w:rPr>
        <w:t>de</w:t>
      </w:r>
      <w:r>
        <w:rPr>
          <w:rFonts w:ascii="Arial" w:hAnsi="Arial" w:cs="Arial"/>
          <w:spacing w:val="-5"/>
        </w:rPr>
        <w:t xml:space="preserve"> </w:t>
      </w:r>
      <w:r>
        <w:rPr>
          <w:rFonts w:ascii="Arial" w:hAnsi="Arial" w:cs="Arial"/>
        </w:rPr>
        <w:t>Coimbra, pós-graduada</w:t>
      </w:r>
      <w:r>
        <w:rPr>
          <w:rFonts w:ascii="Arial" w:hAnsi="Arial" w:cs="Arial"/>
          <w:spacing w:val="-1"/>
        </w:rPr>
        <w:t xml:space="preserve"> </w:t>
      </w:r>
      <w:r>
        <w:rPr>
          <w:rFonts w:ascii="Arial" w:hAnsi="Arial" w:cs="Arial"/>
        </w:rPr>
        <w:t>em</w:t>
      </w:r>
      <w:r>
        <w:rPr>
          <w:rFonts w:ascii="Arial" w:hAnsi="Arial" w:cs="Arial"/>
          <w:spacing w:val="-3"/>
        </w:rPr>
        <w:t xml:space="preserve"> </w:t>
      </w:r>
      <w:r>
        <w:rPr>
          <w:rFonts w:ascii="Arial" w:hAnsi="Arial" w:cs="Arial"/>
        </w:rPr>
        <w:t>Relações do curso de Direito da Faculdade Evangélica Raízes.</w:t>
      </w:r>
      <w:r>
        <w:rPr>
          <w:rFonts w:ascii="Arial" w:hAnsi="Arial" w:cs="Arial"/>
          <w:lang w:val="pt-BR"/>
        </w:rPr>
        <w:t>e-mail: maxilenecorrea@faculdaderaizes.edu.br</w:t>
      </w:r>
    </w:p>
  </w:footnote>
  <w:footnote w:id="47">
    <w:p w:rsidR="00C052DD" w:rsidRDefault="00C052DD">
      <w:pPr>
        <w:jc w:val="both"/>
        <w:rPr>
          <w:rFonts w:ascii="Arial" w:hAnsi="Arial" w:cs="Arial"/>
        </w:rPr>
      </w:pPr>
      <w:r>
        <w:rPr>
          <w:rStyle w:val="Refdenotaderodap"/>
          <w:rFonts w:ascii="Arial" w:hAnsi="Arial" w:cs="Arial"/>
        </w:rPr>
        <w:footnoteRef/>
      </w:r>
      <w:r>
        <w:rPr>
          <w:rFonts w:ascii="Arial" w:hAnsi="Arial" w:cs="Arial"/>
          <w:color w:val="000000" w:themeColor="dark1"/>
          <w:spacing w:val="-2"/>
          <w:sz w:val="18"/>
          <w:szCs w:val="18"/>
        </w:rPr>
        <w:t>Graduanda</w:t>
      </w:r>
      <w:r>
        <w:rPr>
          <w:rFonts w:ascii="Arial" w:hAnsi="Arial" w:cs="Arial"/>
          <w:color w:val="000000" w:themeColor="dark1"/>
          <w:spacing w:val="-1"/>
          <w:sz w:val="18"/>
          <w:szCs w:val="18"/>
        </w:rPr>
        <w:t xml:space="preserve"> </w:t>
      </w:r>
      <w:r>
        <w:rPr>
          <w:rFonts w:ascii="Arial" w:hAnsi="Arial" w:cs="Arial"/>
          <w:color w:val="000000" w:themeColor="dark1"/>
          <w:spacing w:val="-2"/>
          <w:sz w:val="18"/>
          <w:szCs w:val="18"/>
        </w:rPr>
        <w:t>em</w:t>
      </w:r>
      <w:r>
        <w:rPr>
          <w:rFonts w:ascii="Arial" w:hAnsi="Arial" w:cs="Arial"/>
          <w:color w:val="000000" w:themeColor="dark1"/>
          <w:spacing w:val="3"/>
          <w:sz w:val="18"/>
          <w:szCs w:val="18"/>
        </w:rPr>
        <w:t xml:space="preserve"> </w:t>
      </w:r>
      <w:r>
        <w:rPr>
          <w:rFonts w:ascii="Arial" w:hAnsi="Arial" w:cs="Arial"/>
          <w:color w:val="000000" w:themeColor="dark1"/>
          <w:spacing w:val="-2"/>
          <w:sz w:val="18"/>
          <w:szCs w:val="18"/>
        </w:rPr>
        <w:t>Direito</w:t>
      </w:r>
      <w:r>
        <w:rPr>
          <w:rFonts w:ascii="Arial" w:hAnsi="Arial" w:cs="Arial"/>
          <w:color w:val="000000" w:themeColor="dark1"/>
          <w:spacing w:val="-6"/>
          <w:sz w:val="18"/>
          <w:szCs w:val="18"/>
        </w:rPr>
        <w:t xml:space="preserve"> </w:t>
      </w:r>
      <w:r>
        <w:rPr>
          <w:rFonts w:ascii="Arial" w:hAnsi="Arial" w:cs="Arial"/>
          <w:color w:val="000000" w:themeColor="dark1"/>
          <w:spacing w:val="-2"/>
          <w:sz w:val="18"/>
          <w:szCs w:val="18"/>
        </w:rPr>
        <w:t>pela</w:t>
      </w:r>
      <w:r>
        <w:rPr>
          <w:rFonts w:ascii="Arial" w:hAnsi="Arial" w:cs="Arial"/>
          <w:color w:val="000000" w:themeColor="dark1"/>
          <w:spacing w:val="2"/>
          <w:sz w:val="18"/>
          <w:szCs w:val="18"/>
        </w:rPr>
        <w:t xml:space="preserve"> </w:t>
      </w:r>
      <w:r>
        <w:rPr>
          <w:rFonts w:ascii="Arial" w:hAnsi="Arial" w:cs="Arial"/>
          <w:color w:val="000000" w:themeColor="dark1"/>
          <w:spacing w:val="-2"/>
          <w:sz w:val="18"/>
          <w:szCs w:val="18"/>
        </w:rPr>
        <w:t>Faculdade</w:t>
      </w:r>
      <w:r>
        <w:rPr>
          <w:rFonts w:ascii="Arial" w:hAnsi="Arial" w:cs="Arial"/>
          <w:color w:val="000000" w:themeColor="dark1"/>
          <w:spacing w:val="-3"/>
          <w:sz w:val="18"/>
          <w:szCs w:val="18"/>
        </w:rPr>
        <w:t xml:space="preserve"> </w:t>
      </w:r>
      <w:r>
        <w:rPr>
          <w:rFonts w:ascii="Arial" w:hAnsi="Arial" w:cs="Arial"/>
          <w:color w:val="000000" w:themeColor="dark1"/>
          <w:spacing w:val="-2"/>
          <w:sz w:val="18"/>
          <w:szCs w:val="18"/>
        </w:rPr>
        <w:t>Evangélica</w:t>
      </w:r>
      <w:r>
        <w:rPr>
          <w:rFonts w:ascii="Arial" w:hAnsi="Arial" w:cs="Arial"/>
          <w:color w:val="000000" w:themeColor="dark1"/>
          <w:spacing w:val="-1"/>
          <w:sz w:val="18"/>
          <w:szCs w:val="18"/>
        </w:rPr>
        <w:t xml:space="preserve"> </w:t>
      </w:r>
      <w:r>
        <w:rPr>
          <w:rFonts w:ascii="Arial" w:hAnsi="Arial" w:cs="Arial"/>
          <w:color w:val="000000" w:themeColor="dark1"/>
          <w:spacing w:val="-2"/>
          <w:sz w:val="18"/>
          <w:szCs w:val="18"/>
        </w:rPr>
        <w:t>Raízes,</w:t>
      </w:r>
      <w:r>
        <w:rPr>
          <w:rFonts w:ascii="Arial" w:hAnsi="Arial" w:cs="Arial"/>
          <w:color w:val="000000" w:themeColor="dark1"/>
          <w:spacing w:val="1"/>
          <w:sz w:val="18"/>
          <w:szCs w:val="18"/>
        </w:rPr>
        <w:t xml:space="preserve"> </w:t>
      </w:r>
      <w:r>
        <w:rPr>
          <w:rFonts w:ascii="Arial" w:hAnsi="Arial" w:cs="Arial"/>
          <w:color w:val="000000" w:themeColor="dark1"/>
          <w:spacing w:val="-2"/>
          <w:sz w:val="18"/>
          <w:szCs w:val="18"/>
        </w:rPr>
        <w:t>Anápolis,</w:t>
      </w:r>
      <w:r>
        <w:rPr>
          <w:rFonts w:ascii="Arial" w:hAnsi="Arial" w:cs="Arial"/>
          <w:color w:val="000000" w:themeColor="dark1"/>
          <w:sz w:val="18"/>
          <w:szCs w:val="18"/>
        </w:rPr>
        <w:t xml:space="preserve"> </w:t>
      </w:r>
      <w:r>
        <w:rPr>
          <w:rFonts w:ascii="Arial" w:hAnsi="Arial" w:cs="Arial"/>
          <w:color w:val="000000" w:themeColor="dark1"/>
          <w:spacing w:val="-2"/>
          <w:sz w:val="18"/>
          <w:szCs w:val="18"/>
        </w:rPr>
        <w:t>Goiás,</w:t>
      </w:r>
      <w:r>
        <w:rPr>
          <w:rFonts w:ascii="Arial" w:hAnsi="Arial" w:cs="Arial"/>
          <w:color w:val="000000" w:themeColor="dark1"/>
          <w:spacing w:val="1"/>
          <w:sz w:val="18"/>
          <w:szCs w:val="18"/>
        </w:rPr>
        <w:t xml:space="preserve"> </w:t>
      </w:r>
      <w:r>
        <w:rPr>
          <w:rFonts w:ascii="Arial" w:hAnsi="Arial" w:cs="Arial"/>
          <w:color w:val="000000" w:themeColor="dark1"/>
          <w:spacing w:val="1"/>
          <w:sz w:val="18"/>
          <w:szCs w:val="18"/>
          <w:lang w:val="pt-BR"/>
        </w:rPr>
        <w:t>mariaeduardaguilhermesantana3@gmail.com</w:t>
      </w:r>
    </w:p>
  </w:footnote>
  <w:footnote w:id="48">
    <w:p w:rsidR="00C052DD" w:rsidRDefault="00C052DD">
      <w:pPr>
        <w:pStyle w:val="Contedodoquadrouser"/>
        <w:ind w:right="1317"/>
        <w:jc w:val="both"/>
        <w:rPr>
          <w:rFonts w:ascii="Arial" w:hAnsi="Arial" w:cs="Arial"/>
        </w:rPr>
      </w:pPr>
      <w:r>
        <w:rPr>
          <w:rStyle w:val="Refdenotaderodap"/>
          <w:rFonts w:ascii="Arial" w:hAnsi="Arial" w:cs="Arial"/>
        </w:rPr>
        <w:footnoteRef/>
      </w:r>
      <w:r>
        <w:rPr>
          <w:rFonts w:ascii="Arial" w:hAnsi="Arial" w:cs="Arial"/>
          <w:color w:val="000000" w:themeColor="dark1"/>
          <w:sz w:val="18"/>
          <w:szCs w:val="18"/>
        </w:rPr>
        <w:t>Graduando</w:t>
      </w:r>
      <w:r>
        <w:rPr>
          <w:rFonts w:ascii="Arial" w:hAnsi="Arial" w:cs="Arial"/>
          <w:color w:val="000000" w:themeColor="dark1"/>
          <w:spacing w:val="-4"/>
          <w:sz w:val="18"/>
          <w:szCs w:val="18"/>
        </w:rPr>
        <w:t xml:space="preserve"> </w:t>
      </w:r>
      <w:r>
        <w:rPr>
          <w:rFonts w:ascii="Arial" w:hAnsi="Arial" w:cs="Arial"/>
          <w:color w:val="000000" w:themeColor="dark1"/>
          <w:sz w:val="18"/>
          <w:szCs w:val="18"/>
        </w:rPr>
        <w:t>em</w:t>
      </w:r>
      <w:r>
        <w:rPr>
          <w:rFonts w:ascii="Arial" w:hAnsi="Arial" w:cs="Arial"/>
          <w:color w:val="000000" w:themeColor="dark1"/>
          <w:spacing w:val="-1"/>
          <w:sz w:val="18"/>
          <w:szCs w:val="18"/>
        </w:rPr>
        <w:t xml:space="preserve"> </w:t>
      </w:r>
      <w:r>
        <w:rPr>
          <w:rFonts w:ascii="Arial" w:hAnsi="Arial" w:cs="Arial"/>
          <w:color w:val="000000" w:themeColor="dark1"/>
          <w:sz w:val="18"/>
          <w:szCs w:val="18"/>
        </w:rPr>
        <w:t>Direito</w:t>
      </w:r>
      <w:r>
        <w:rPr>
          <w:rFonts w:ascii="Arial" w:hAnsi="Arial" w:cs="Arial"/>
          <w:color w:val="000000" w:themeColor="dark1"/>
          <w:spacing w:val="-8"/>
          <w:sz w:val="18"/>
          <w:szCs w:val="18"/>
        </w:rPr>
        <w:t xml:space="preserve"> </w:t>
      </w:r>
      <w:r>
        <w:rPr>
          <w:rFonts w:ascii="Arial" w:hAnsi="Arial" w:cs="Arial"/>
          <w:color w:val="000000" w:themeColor="dark1"/>
          <w:sz w:val="18"/>
          <w:szCs w:val="18"/>
        </w:rPr>
        <w:t>pela Faculdade</w:t>
      </w:r>
      <w:r>
        <w:rPr>
          <w:rFonts w:ascii="Arial" w:hAnsi="Arial" w:cs="Arial"/>
          <w:color w:val="000000" w:themeColor="dark1"/>
          <w:spacing w:val="-2"/>
          <w:sz w:val="18"/>
          <w:szCs w:val="18"/>
        </w:rPr>
        <w:t xml:space="preserve"> </w:t>
      </w:r>
      <w:r>
        <w:rPr>
          <w:rFonts w:ascii="Arial" w:hAnsi="Arial" w:cs="Arial"/>
          <w:color w:val="000000" w:themeColor="dark1"/>
          <w:sz w:val="18"/>
          <w:szCs w:val="18"/>
        </w:rPr>
        <w:t>Evangélica</w:t>
      </w:r>
      <w:r>
        <w:rPr>
          <w:rFonts w:ascii="Arial" w:hAnsi="Arial" w:cs="Arial"/>
          <w:color w:val="000000" w:themeColor="dark1"/>
          <w:spacing w:val="-2"/>
          <w:sz w:val="18"/>
          <w:szCs w:val="18"/>
        </w:rPr>
        <w:t xml:space="preserve"> </w:t>
      </w:r>
      <w:r>
        <w:rPr>
          <w:rFonts w:ascii="Arial" w:hAnsi="Arial" w:cs="Arial"/>
          <w:color w:val="000000" w:themeColor="dark1"/>
          <w:sz w:val="18"/>
          <w:szCs w:val="18"/>
        </w:rPr>
        <w:t>Raízes,</w:t>
      </w:r>
      <w:r>
        <w:rPr>
          <w:rFonts w:ascii="Arial" w:hAnsi="Arial" w:cs="Arial"/>
          <w:color w:val="000000" w:themeColor="dark1"/>
          <w:spacing w:val="-1"/>
          <w:sz w:val="18"/>
          <w:szCs w:val="18"/>
        </w:rPr>
        <w:t xml:space="preserve"> </w:t>
      </w:r>
      <w:r>
        <w:rPr>
          <w:rFonts w:ascii="Arial" w:hAnsi="Arial" w:cs="Arial"/>
          <w:color w:val="000000" w:themeColor="dark1"/>
          <w:sz w:val="18"/>
          <w:szCs w:val="18"/>
        </w:rPr>
        <w:t>Anápolis,</w:t>
      </w:r>
      <w:r>
        <w:rPr>
          <w:rFonts w:ascii="Arial" w:hAnsi="Arial" w:cs="Arial"/>
          <w:color w:val="000000" w:themeColor="dark1"/>
          <w:spacing w:val="-3"/>
          <w:sz w:val="18"/>
          <w:szCs w:val="18"/>
        </w:rPr>
        <w:t xml:space="preserve"> </w:t>
      </w:r>
      <w:r>
        <w:rPr>
          <w:rFonts w:ascii="Arial" w:hAnsi="Arial" w:cs="Arial"/>
          <w:color w:val="000000" w:themeColor="dark1"/>
          <w:sz w:val="18"/>
          <w:szCs w:val="18"/>
        </w:rPr>
        <w:t>Goiás,</w:t>
      </w:r>
      <w:r>
        <w:rPr>
          <w:rFonts w:ascii="Arial" w:hAnsi="Arial" w:cs="Arial"/>
          <w:color w:val="000000" w:themeColor="dark1"/>
          <w:spacing w:val="-2"/>
          <w:sz w:val="18"/>
          <w:szCs w:val="18"/>
        </w:rPr>
        <w:t xml:space="preserve"> </w:t>
      </w:r>
      <w:r>
        <w:rPr>
          <w:rFonts w:ascii="Arial" w:hAnsi="Arial" w:cs="Arial"/>
          <w:color w:val="000000" w:themeColor="dark1"/>
          <w:spacing w:val="-2"/>
          <w:sz w:val="18"/>
          <w:szCs w:val="18"/>
          <w:lang w:val="pt-BR"/>
        </w:rPr>
        <w:t>victorlorenco38@gmail.com</w:t>
      </w:r>
    </w:p>
  </w:footnote>
  <w:footnote w:id="49">
    <w:p w:rsidR="00C052DD" w:rsidRDefault="00C052DD">
      <w:pPr>
        <w:pStyle w:val="Contedodoquadrouser"/>
        <w:ind w:right="1317"/>
        <w:jc w:val="both"/>
        <w:rPr>
          <w:rFonts w:ascii="Arial" w:hAnsi="Arial" w:cs="Arial"/>
          <w:color w:val="000000" w:themeColor="dark1"/>
          <w:spacing w:val="-10"/>
          <w:sz w:val="18"/>
          <w:szCs w:val="18"/>
          <w:lang w:val="pt-BR"/>
        </w:rPr>
      </w:pPr>
      <w:r>
        <w:rPr>
          <w:rStyle w:val="Refdenotaderodap"/>
          <w:rFonts w:ascii="Arial" w:hAnsi="Arial" w:cs="Arial"/>
        </w:rPr>
        <w:footnoteRef/>
      </w:r>
      <w:r>
        <w:rPr>
          <w:rFonts w:ascii="Arial" w:hAnsi="Arial" w:cs="Arial"/>
        </w:rPr>
        <w:t xml:space="preserve"> </w:t>
      </w:r>
      <w:r>
        <w:rPr>
          <w:rFonts w:ascii="Arial" w:hAnsi="Arial" w:cs="Arial"/>
          <w:color w:val="000000" w:themeColor="dark1"/>
          <w:sz w:val="18"/>
          <w:szCs w:val="18"/>
        </w:rPr>
        <w:t>Especialista</w:t>
      </w:r>
      <w:r>
        <w:rPr>
          <w:rFonts w:ascii="Arial" w:hAnsi="Arial" w:cs="Arial"/>
          <w:color w:val="000000" w:themeColor="dark1"/>
          <w:spacing w:val="80"/>
          <w:sz w:val="18"/>
          <w:szCs w:val="18"/>
        </w:rPr>
        <w:t xml:space="preserve"> </w:t>
      </w:r>
      <w:r>
        <w:rPr>
          <w:rFonts w:ascii="Arial" w:hAnsi="Arial" w:cs="Arial"/>
          <w:color w:val="000000" w:themeColor="dark1"/>
          <w:sz w:val="18"/>
          <w:szCs w:val="18"/>
        </w:rPr>
        <w:t>em</w:t>
      </w:r>
      <w:r>
        <w:rPr>
          <w:rFonts w:ascii="Arial" w:hAnsi="Arial" w:cs="Arial"/>
          <w:color w:val="000000" w:themeColor="dark1"/>
          <w:spacing w:val="79"/>
          <w:w w:val="150"/>
          <w:sz w:val="18"/>
          <w:szCs w:val="18"/>
        </w:rPr>
        <w:t xml:space="preserve"> </w:t>
      </w:r>
      <w:r>
        <w:rPr>
          <w:rFonts w:ascii="Arial" w:hAnsi="Arial" w:cs="Arial"/>
          <w:color w:val="000000" w:themeColor="dark1"/>
          <w:sz w:val="18"/>
          <w:szCs w:val="18"/>
        </w:rPr>
        <w:t>Direito</w:t>
      </w:r>
      <w:r>
        <w:rPr>
          <w:rFonts w:ascii="Arial" w:hAnsi="Arial" w:cs="Arial"/>
          <w:color w:val="000000" w:themeColor="dark1"/>
          <w:spacing w:val="80"/>
          <w:sz w:val="18"/>
          <w:szCs w:val="18"/>
        </w:rPr>
        <w:t xml:space="preserve"> </w:t>
      </w:r>
      <w:r>
        <w:rPr>
          <w:rFonts w:ascii="Arial" w:hAnsi="Arial" w:cs="Arial"/>
          <w:color w:val="000000" w:themeColor="dark1"/>
          <w:sz w:val="18"/>
          <w:szCs w:val="18"/>
        </w:rPr>
        <w:t>Penal</w:t>
      </w:r>
      <w:r>
        <w:rPr>
          <w:rFonts w:ascii="Arial" w:hAnsi="Arial" w:cs="Arial"/>
          <w:color w:val="000000" w:themeColor="dark1"/>
          <w:spacing w:val="40"/>
          <w:sz w:val="18"/>
          <w:szCs w:val="18"/>
        </w:rPr>
        <w:t xml:space="preserve"> </w:t>
      </w:r>
      <w:r>
        <w:rPr>
          <w:rFonts w:ascii="Arial" w:hAnsi="Arial" w:cs="Arial"/>
          <w:color w:val="000000" w:themeColor="dark1"/>
          <w:sz w:val="18"/>
          <w:szCs w:val="18"/>
        </w:rPr>
        <w:t>e</w:t>
      </w:r>
      <w:r>
        <w:rPr>
          <w:rFonts w:ascii="Arial" w:hAnsi="Arial" w:cs="Arial"/>
          <w:color w:val="000000" w:themeColor="dark1"/>
          <w:spacing w:val="80"/>
          <w:sz w:val="18"/>
          <w:szCs w:val="18"/>
        </w:rPr>
        <w:t xml:space="preserve"> </w:t>
      </w:r>
      <w:r>
        <w:rPr>
          <w:rFonts w:ascii="Arial" w:hAnsi="Arial" w:cs="Arial"/>
          <w:color w:val="000000" w:themeColor="dark1"/>
          <w:sz w:val="18"/>
          <w:szCs w:val="18"/>
        </w:rPr>
        <w:t>Processo</w:t>
      </w:r>
      <w:r>
        <w:rPr>
          <w:rFonts w:ascii="Arial" w:hAnsi="Arial" w:cs="Arial"/>
          <w:color w:val="000000" w:themeColor="dark1"/>
          <w:spacing w:val="80"/>
          <w:sz w:val="18"/>
          <w:szCs w:val="18"/>
        </w:rPr>
        <w:t xml:space="preserve"> </w:t>
      </w:r>
      <w:r>
        <w:rPr>
          <w:rFonts w:ascii="Arial" w:hAnsi="Arial" w:cs="Arial"/>
          <w:color w:val="000000" w:themeColor="dark1"/>
          <w:sz w:val="18"/>
          <w:szCs w:val="18"/>
        </w:rPr>
        <w:t>Penal,</w:t>
      </w:r>
      <w:r>
        <w:rPr>
          <w:rFonts w:ascii="Arial" w:hAnsi="Arial" w:cs="Arial"/>
          <w:color w:val="000000" w:themeColor="dark1"/>
          <w:spacing w:val="80"/>
          <w:sz w:val="18"/>
          <w:szCs w:val="18"/>
        </w:rPr>
        <w:t xml:space="preserve"> </w:t>
      </w:r>
      <w:r>
        <w:rPr>
          <w:rFonts w:ascii="Arial" w:hAnsi="Arial" w:cs="Arial"/>
          <w:color w:val="000000" w:themeColor="dark1"/>
          <w:sz w:val="18"/>
          <w:szCs w:val="18"/>
        </w:rPr>
        <w:t>advogad</w:t>
      </w:r>
      <w:r>
        <w:rPr>
          <w:rFonts w:ascii="Arial" w:hAnsi="Arial" w:cs="Arial"/>
          <w:color w:val="000000" w:themeColor="dark1"/>
          <w:sz w:val="18"/>
          <w:szCs w:val="18"/>
          <w:lang w:val="pt-BR"/>
        </w:rPr>
        <w:t>o</w:t>
      </w:r>
      <w:r>
        <w:rPr>
          <w:rFonts w:ascii="Arial" w:hAnsi="Arial" w:cs="Arial"/>
          <w:color w:val="000000" w:themeColor="dark1"/>
          <w:spacing w:val="-8"/>
          <w:sz w:val="18"/>
          <w:szCs w:val="18"/>
        </w:rPr>
        <w:t xml:space="preserve"> </w:t>
      </w:r>
      <w:r>
        <w:rPr>
          <w:rFonts w:ascii="Arial" w:hAnsi="Arial" w:cs="Arial"/>
          <w:color w:val="000000" w:themeColor="dark1"/>
          <w:sz w:val="18"/>
          <w:szCs w:val="18"/>
        </w:rPr>
        <w:t>e</w:t>
      </w:r>
      <w:r>
        <w:rPr>
          <w:rFonts w:ascii="Arial" w:hAnsi="Arial" w:cs="Arial"/>
          <w:color w:val="000000" w:themeColor="dark1"/>
          <w:spacing w:val="-3"/>
          <w:sz w:val="18"/>
          <w:szCs w:val="18"/>
        </w:rPr>
        <w:t xml:space="preserve"> </w:t>
      </w:r>
      <w:r>
        <w:rPr>
          <w:rFonts w:ascii="Arial" w:hAnsi="Arial" w:cs="Arial"/>
          <w:color w:val="000000" w:themeColor="dark1"/>
          <w:sz w:val="18"/>
          <w:szCs w:val="18"/>
        </w:rPr>
        <w:t>professor,</w:t>
      </w:r>
      <w:r>
        <w:rPr>
          <w:rFonts w:ascii="Arial" w:hAnsi="Arial" w:cs="Arial"/>
          <w:color w:val="000000" w:themeColor="dark1"/>
          <w:spacing w:val="-2"/>
          <w:sz w:val="18"/>
          <w:szCs w:val="18"/>
        </w:rPr>
        <w:t xml:space="preserve"> </w:t>
      </w:r>
      <w:r>
        <w:rPr>
          <w:rFonts w:ascii="Arial" w:hAnsi="Arial" w:cs="Arial"/>
          <w:color w:val="000000" w:themeColor="dark1"/>
          <w:sz w:val="18"/>
          <w:szCs w:val="18"/>
        </w:rPr>
        <w:t>Faculdade</w:t>
      </w:r>
      <w:r>
        <w:rPr>
          <w:rFonts w:ascii="Arial" w:hAnsi="Arial" w:cs="Arial"/>
          <w:color w:val="000000" w:themeColor="dark1"/>
          <w:spacing w:val="40"/>
          <w:sz w:val="18"/>
          <w:szCs w:val="18"/>
        </w:rPr>
        <w:t xml:space="preserve"> </w:t>
      </w:r>
      <w:r>
        <w:rPr>
          <w:rFonts w:ascii="Arial" w:hAnsi="Arial" w:cs="Arial"/>
          <w:color w:val="000000" w:themeColor="dark1"/>
          <w:sz w:val="18"/>
          <w:szCs w:val="18"/>
        </w:rPr>
        <w:t>Evangélica</w:t>
      </w:r>
      <w:r>
        <w:rPr>
          <w:rFonts w:ascii="Arial" w:hAnsi="Arial" w:cs="Arial"/>
          <w:color w:val="000000" w:themeColor="dark1"/>
          <w:spacing w:val="-10"/>
          <w:sz w:val="18"/>
          <w:szCs w:val="18"/>
        </w:rPr>
        <w:t xml:space="preserve"> </w:t>
      </w:r>
      <w:r>
        <w:rPr>
          <w:rFonts w:ascii="Arial" w:hAnsi="Arial" w:cs="Arial"/>
          <w:color w:val="000000" w:themeColor="dark1"/>
          <w:sz w:val="18"/>
          <w:szCs w:val="18"/>
        </w:rPr>
        <w:t>Raízes,</w:t>
      </w:r>
      <w:r>
        <w:rPr>
          <w:rFonts w:ascii="Arial" w:hAnsi="Arial" w:cs="Arial"/>
          <w:color w:val="000000" w:themeColor="dark1"/>
          <w:spacing w:val="-10"/>
          <w:sz w:val="18"/>
          <w:szCs w:val="18"/>
        </w:rPr>
        <w:t xml:space="preserve"> </w:t>
      </w:r>
      <w:r>
        <w:rPr>
          <w:rFonts w:ascii="Arial" w:hAnsi="Arial" w:cs="Arial"/>
          <w:color w:val="000000" w:themeColor="dark1"/>
          <w:sz w:val="18"/>
          <w:szCs w:val="18"/>
        </w:rPr>
        <w:t>Anápolis,</w:t>
      </w:r>
      <w:r>
        <w:rPr>
          <w:rFonts w:ascii="Arial" w:hAnsi="Arial" w:cs="Arial"/>
          <w:color w:val="000000" w:themeColor="dark1"/>
          <w:spacing w:val="-10"/>
          <w:sz w:val="18"/>
          <w:szCs w:val="18"/>
        </w:rPr>
        <w:t xml:space="preserve"> </w:t>
      </w:r>
      <w:r>
        <w:rPr>
          <w:rFonts w:ascii="Arial" w:hAnsi="Arial" w:cs="Arial"/>
          <w:color w:val="000000" w:themeColor="dark1"/>
          <w:sz w:val="18"/>
          <w:szCs w:val="18"/>
        </w:rPr>
        <w:t>Goiás,</w:t>
      </w:r>
      <w:r>
        <w:rPr>
          <w:rFonts w:ascii="Arial" w:hAnsi="Arial" w:cs="Arial"/>
          <w:color w:val="000000" w:themeColor="dark1"/>
          <w:spacing w:val="-10"/>
          <w:sz w:val="18"/>
          <w:szCs w:val="18"/>
        </w:rPr>
        <w:t xml:space="preserve"> </w:t>
      </w:r>
      <w:r>
        <w:rPr>
          <w:rFonts w:ascii="Arial" w:hAnsi="Arial" w:cs="Arial"/>
          <w:color w:val="000000" w:themeColor="dark1"/>
          <w:spacing w:val="-10"/>
          <w:sz w:val="18"/>
          <w:szCs w:val="18"/>
          <w:lang w:val="pt-BR"/>
        </w:rPr>
        <w:t>gcborgesreis@hotmail.com</w:t>
      </w:r>
    </w:p>
    <w:p w:rsidR="00C052DD" w:rsidRDefault="00C052DD">
      <w:pPr>
        <w:pStyle w:val="Textodenotaderodap"/>
      </w:pPr>
    </w:p>
  </w:footnote>
  <w:footnote w:id="50">
    <w:p w:rsidR="00C052DD" w:rsidRDefault="00C052DD">
      <w:pPr>
        <w:pStyle w:val="Contedodoquadrouser"/>
        <w:ind w:left="260" w:right="1317" w:hanging="1"/>
        <w:jc w:val="both"/>
        <w:rPr>
          <w:rFonts w:ascii="Arial" w:hAnsi="Arial" w:cs="Arial"/>
          <w:color w:val="000000" w:themeColor="dark1"/>
          <w:spacing w:val="-10"/>
          <w:sz w:val="18"/>
          <w:szCs w:val="18"/>
          <w:lang w:val="pt-BR"/>
        </w:rPr>
      </w:pPr>
    </w:p>
    <w:p w:rsidR="00C052DD" w:rsidRDefault="00C052DD">
      <w:pPr>
        <w:pStyle w:val="Contedodoquadrouser"/>
        <w:rPr>
          <w:color w:val="000000" w:themeColor="dark1"/>
        </w:rPr>
      </w:pPr>
    </w:p>
  </w:footnote>
  <w:footnote w:id="51">
    <w:p w:rsidR="00C052DD" w:rsidRDefault="00C052DD">
      <w:pPr>
        <w:pStyle w:val="Textodenotaderodap"/>
        <w:rPr>
          <w:rFonts w:ascii="Times New Roman" w:hAnsi="Times New Roman" w:cs="Times New Roman"/>
        </w:rPr>
      </w:pPr>
      <w:r>
        <w:rPr>
          <w:rStyle w:val="Caracteresdenotaderodap"/>
        </w:rPr>
        <w:footnoteRef/>
      </w:r>
      <w:r>
        <w:rPr>
          <w:rFonts w:ascii="Times New Roman" w:hAnsi="Times New Roman" w:cs="Times New Roman"/>
        </w:rPr>
        <w:t>Acadêmica do Curso de Direito da Faculdade Evangélica Raízes, Anápolis, Goiás, anajuliarodriguesr@icloud.com.</w:t>
      </w:r>
    </w:p>
  </w:footnote>
  <w:footnote w:id="52">
    <w:p w:rsidR="00C052DD" w:rsidRDefault="00C052DD">
      <w:pPr>
        <w:pStyle w:val="Textodenotaderodap"/>
        <w:rPr>
          <w:rFonts w:ascii="Times New Roman" w:hAnsi="Times New Roman" w:cs="Times New Roman"/>
        </w:rPr>
      </w:pPr>
      <w:r>
        <w:rPr>
          <w:rStyle w:val="Caracteresdenotaderodap"/>
        </w:rPr>
        <w:footnoteRef/>
      </w:r>
      <w:r>
        <w:rPr>
          <w:rFonts w:ascii="Times New Roman" w:hAnsi="Times New Roman" w:cs="Times New Roman"/>
        </w:rPr>
        <w:t>Acadêmica do Curso de Direito da Faculdade Evangélica Raízes, Anápolis, Goiás, cribeirogegislene@gmail.com.</w:t>
      </w:r>
    </w:p>
  </w:footnote>
  <w:footnote w:id="53">
    <w:p w:rsidR="00C052DD" w:rsidRDefault="00C052DD">
      <w:pPr>
        <w:pStyle w:val="Textodenotaderodap"/>
        <w:rPr>
          <w:rFonts w:ascii="Times New Roman" w:hAnsi="Times New Roman" w:cs="Times New Roman"/>
        </w:rPr>
      </w:pPr>
      <w:r>
        <w:rPr>
          <w:rStyle w:val="Caracteresdenotaderodap"/>
        </w:rPr>
        <w:footnoteRef/>
      </w:r>
      <w:r>
        <w:rPr>
          <w:rFonts w:ascii="Times New Roman" w:hAnsi="Times New Roman" w:cs="Times New Roman"/>
        </w:rPr>
        <w:t>Professora. Mestre, Especialista em Direito Penal e Processo Penal (UniEvangélica). Professora Orientadora da Faculdade Evangélica Raízes. Anápolis, Goiás, Brasil. E-mail: cristiane.bonfim@docente.faculdaderaizes.edu.br.</w:t>
      </w:r>
    </w:p>
  </w:footnote>
  <w:footnote w:id="54">
    <w:p w:rsidR="00C052DD" w:rsidRDefault="00C052DD">
      <w:pPr>
        <w:rPr>
          <w:sz w:val="18"/>
          <w:szCs w:val="18"/>
        </w:rPr>
      </w:pPr>
      <w:r>
        <w:rPr>
          <w:rStyle w:val="Refdenotaderodap"/>
          <w:sz w:val="18"/>
          <w:szCs w:val="18"/>
        </w:rPr>
        <w:footnoteRef/>
      </w:r>
      <w:r>
        <w:rPr>
          <w:sz w:val="18"/>
          <w:szCs w:val="18"/>
        </w:rPr>
        <w:t xml:space="preserve"> </w:t>
      </w:r>
      <w:r>
        <w:rPr>
          <w:rFonts w:ascii="Times New Roman" w:eastAsia="Times New Roman" w:hAnsi="Times New Roman" w:cs="Times New Roman"/>
          <w:sz w:val="18"/>
          <w:szCs w:val="18"/>
        </w:rPr>
        <w:t xml:space="preserve">Graduanda do Curso de Direito da Faculdade Evangélica Raízes. E-mail: </w:t>
      </w:r>
      <w:hyperlink r:id="rId13">
        <w:r>
          <w:rPr>
            <w:rFonts w:ascii="Times New Roman" w:eastAsia="Times New Roman" w:hAnsi="Times New Roman" w:cs="Times New Roman"/>
            <w:color w:val="1155CC"/>
            <w:sz w:val="18"/>
            <w:szCs w:val="18"/>
            <w:u w:val="single"/>
          </w:rPr>
          <w:t>rafaelagrare2003@gmail.com</w:t>
        </w:r>
      </w:hyperlink>
    </w:p>
  </w:footnote>
  <w:footnote w:id="55">
    <w:p w:rsidR="00C052DD" w:rsidRDefault="00C052DD">
      <w:pPr>
        <w:pStyle w:val="Textodenotaderodap"/>
      </w:pPr>
      <w:r>
        <w:rPr>
          <w:rStyle w:val="Refdenotaderodap"/>
        </w:rPr>
        <w:footnoteRef/>
      </w:r>
      <w:r>
        <w:t xml:space="preserve"> </w:t>
      </w:r>
      <w:r>
        <w:rPr>
          <w:rFonts w:ascii="Times New Roman" w:eastAsia="Times New Roman" w:hAnsi="Times New Roman" w:cs="Times New Roman"/>
        </w:rPr>
        <w:t xml:space="preserve">Graduanda do Curso de Direito da Faculdade Evangélica Raízes. E-mail: </w:t>
      </w:r>
      <w:hyperlink r:id="rId14">
        <w:r>
          <w:rPr>
            <w:rFonts w:ascii="Times New Roman" w:eastAsia="Times New Roman" w:hAnsi="Times New Roman" w:cs="Times New Roman"/>
            <w:color w:val="1155CC"/>
            <w:u w:val="single"/>
          </w:rPr>
          <w:t>luanaluizapeixoto@gmail.com</w:t>
        </w:r>
      </w:hyperlink>
    </w:p>
  </w:footnote>
  <w:footnote w:id="56">
    <w:p w:rsidR="00C052DD" w:rsidRDefault="00C052DD">
      <w:pPr>
        <w:pStyle w:val="Textodenotaderodap"/>
      </w:pPr>
      <w:r>
        <w:rPr>
          <w:rStyle w:val="Refdenotaderodap"/>
        </w:rPr>
        <w:footnoteRef/>
      </w:r>
      <w:r>
        <w:t xml:space="preserve"> </w:t>
      </w:r>
      <w:r>
        <w:rPr>
          <w:rFonts w:ascii="Times New Roman" w:eastAsia="Times New Roman" w:hAnsi="Times New Roman" w:cs="Times New Roman"/>
        </w:rPr>
        <w:t xml:space="preserve">Mestre em direitos humanos, advogado criminalista e criminólogo. E-mail: </w:t>
      </w:r>
      <w:hyperlink r:id="rId15">
        <w:r>
          <w:rPr>
            <w:rFonts w:ascii="Times New Roman" w:eastAsia="Times New Roman" w:hAnsi="Times New Roman" w:cs="Times New Roman"/>
            <w:color w:val="1155CC"/>
            <w:u w:val="single"/>
          </w:rPr>
          <w:t>gcborgesreis@gmail.com</w:t>
        </w:r>
      </w:hyperlink>
    </w:p>
  </w:footnote>
  <w:footnote w:id="57">
    <w:p w:rsidR="00C052DD" w:rsidRPr="00AE065C" w:rsidRDefault="00C052DD" w:rsidP="00AE065C">
      <w:pPr>
        <w:pStyle w:val="Textodenotaderodap"/>
        <w:rPr>
          <w:rFonts w:ascii="Arial" w:hAnsi="Arial" w:cs="Arial"/>
        </w:rPr>
      </w:pPr>
      <w:r w:rsidRPr="00AE065C">
        <w:rPr>
          <w:rStyle w:val="Refdenotaderodap"/>
          <w:rFonts w:ascii="Arial" w:hAnsi="Arial" w:cs="Arial"/>
        </w:rPr>
        <w:footnoteRef/>
      </w:r>
      <w:r w:rsidRPr="00AE065C">
        <w:rPr>
          <w:rFonts w:ascii="Arial" w:hAnsi="Arial" w:cs="Arial"/>
        </w:rPr>
        <w:t xml:space="preserve"> Discente do curso de Direito da Faculdade Evangélica Raízes. E-mail: sayonara.kay@hotmail.com</w:t>
      </w:r>
    </w:p>
  </w:footnote>
  <w:footnote w:id="58">
    <w:p w:rsidR="00C052DD" w:rsidRPr="00AE065C" w:rsidRDefault="00C052DD" w:rsidP="00AE065C">
      <w:pPr>
        <w:ind w:right="197"/>
        <w:rPr>
          <w:rFonts w:ascii="Arial" w:hAnsi="Arial" w:cs="Arial"/>
          <w:sz w:val="18"/>
          <w:szCs w:val="18"/>
        </w:rPr>
      </w:pPr>
      <w:r w:rsidRPr="00AE065C">
        <w:rPr>
          <w:rStyle w:val="Refdenotaderodap"/>
          <w:rFonts w:ascii="Arial" w:hAnsi="Arial" w:cs="Arial"/>
          <w:sz w:val="18"/>
          <w:szCs w:val="18"/>
        </w:rPr>
        <w:footnoteRef/>
      </w:r>
      <w:r w:rsidRPr="00AE065C">
        <w:rPr>
          <w:rFonts w:ascii="Arial" w:hAnsi="Arial" w:cs="Arial"/>
          <w:sz w:val="18"/>
          <w:szCs w:val="18"/>
        </w:rPr>
        <w:t xml:space="preserve">  Advogada</w:t>
      </w:r>
      <w:r w:rsidRPr="00AE065C">
        <w:rPr>
          <w:rFonts w:ascii="Arial" w:hAnsi="Arial" w:cs="Arial"/>
          <w:spacing w:val="-6"/>
          <w:sz w:val="18"/>
          <w:szCs w:val="18"/>
        </w:rPr>
        <w:t xml:space="preserve"> </w:t>
      </w:r>
      <w:r w:rsidRPr="00AE065C">
        <w:rPr>
          <w:rFonts w:ascii="Arial" w:hAnsi="Arial" w:cs="Arial"/>
          <w:sz w:val="18"/>
          <w:szCs w:val="18"/>
        </w:rPr>
        <w:t>e</w:t>
      </w:r>
      <w:r w:rsidRPr="00AE065C">
        <w:rPr>
          <w:rFonts w:ascii="Arial" w:hAnsi="Arial" w:cs="Arial"/>
          <w:spacing w:val="-3"/>
          <w:sz w:val="18"/>
          <w:szCs w:val="18"/>
        </w:rPr>
        <w:t xml:space="preserve"> </w:t>
      </w:r>
      <w:r w:rsidRPr="00AE065C">
        <w:rPr>
          <w:rFonts w:ascii="Arial" w:hAnsi="Arial" w:cs="Arial"/>
          <w:sz w:val="18"/>
          <w:szCs w:val="18"/>
        </w:rPr>
        <w:t>professora</w:t>
      </w:r>
      <w:r w:rsidRPr="00AE065C">
        <w:rPr>
          <w:rFonts w:ascii="Arial" w:hAnsi="Arial" w:cs="Arial"/>
          <w:spacing w:val="-6"/>
          <w:sz w:val="18"/>
          <w:szCs w:val="18"/>
        </w:rPr>
        <w:t xml:space="preserve"> </w:t>
      </w:r>
      <w:r w:rsidRPr="00AE065C">
        <w:rPr>
          <w:rFonts w:ascii="Arial" w:hAnsi="Arial" w:cs="Arial"/>
          <w:sz w:val="18"/>
          <w:szCs w:val="18"/>
        </w:rPr>
        <w:t>universitária.</w:t>
      </w:r>
      <w:r w:rsidRPr="00AE065C">
        <w:rPr>
          <w:rFonts w:ascii="Arial" w:hAnsi="Arial" w:cs="Arial"/>
          <w:spacing w:val="-2"/>
          <w:sz w:val="18"/>
          <w:szCs w:val="18"/>
        </w:rPr>
        <w:t xml:space="preserve"> </w:t>
      </w:r>
      <w:r w:rsidRPr="00AE065C">
        <w:rPr>
          <w:rFonts w:ascii="Arial" w:hAnsi="Arial" w:cs="Arial"/>
          <w:sz w:val="18"/>
          <w:szCs w:val="18"/>
        </w:rPr>
        <w:t>Mestre</w:t>
      </w:r>
      <w:r w:rsidRPr="00AE065C">
        <w:rPr>
          <w:rFonts w:ascii="Arial" w:hAnsi="Arial" w:cs="Arial"/>
          <w:spacing w:val="-3"/>
          <w:sz w:val="18"/>
          <w:szCs w:val="18"/>
        </w:rPr>
        <w:t xml:space="preserve"> </w:t>
      </w:r>
      <w:r w:rsidRPr="00AE065C">
        <w:rPr>
          <w:rFonts w:ascii="Arial" w:hAnsi="Arial" w:cs="Arial"/>
          <w:sz w:val="18"/>
          <w:szCs w:val="18"/>
        </w:rPr>
        <w:t>em</w:t>
      </w:r>
      <w:r w:rsidRPr="00AE065C">
        <w:rPr>
          <w:rFonts w:ascii="Arial" w:hAnsi="Arial" w:cs="Arial"/>
          <w:spacing w:val="-1"/>
          <w:sz w:val="18"/>
          <w:szCs w:val="18"/>
        </w:rPr>
        <w:t xml:space="preserve"> </w:t>
      </w:r>
      <w:r w:rsidRPr="00AE065C">
        <w:rPr>
          <w:rFonts w:ascii="Arial" w:hAnsi="Arial" w:cs="Arial"/>
          <w:sz w:val="18"/>
          <w:szCs w:val="18"/>
        </w:rPr>
        <w:t>Direito</w:t>
      </w:r>
      <w:r w:rsidRPr="00AE065C">
        <w:rPr>
          <w:rFonts w:ascii="Arial" w:hAnsi="Arial" w:cs="Arial"/>
          <w:spacing w:val="-4"/>
          <w:sz w:val="18"/>
          <w:szCs w:val="18"/>
        </w:rPr>
        <w:t xml:space="preserve"> </w:t>
      </w:r>
      <w:r w:rsidRPr="00AE065C">
        <w:rPr>
          <w:rFonts w:ascii="Arial" w:hAnsi="Arial" w:cs="Arial"/>
          <w:sz w:val="18"/>
          <w:szCs w:val="18"/>
        </w:rPr>
        <w:t>pela</w:t>
      </w:r>
      <w:r w:rsidRPr="00AE065C">
        <w:rPr>
          <w:rFonts w:ascii="Arial" w:hAnsi="Arial" w:cs="Arial"/>
          <w:spacing w:val="-3"/>
          <w:sz w:val="18"/>
          <w:szCs w:val="18"/>
        </w:rPr>
        <w:t xml:space="preserve"> </w:t>
      </w:r>
      <w:r w:rsidRPr="00AE065C">
        <w:rPr>
          <w:rFonts w:ascii="Arial" w:hAnsi="Arial" w:cs="Arial"/>
          <w:sz w:val="18"/>
          <w:szCs w:val="18"/>
        </w:rPr>
        <w:t>Universidade</w:t>
      </w:r>
      <w:r w:rsidRPr="00AE065C">
        <w:rPr>
          <w:rFonts w:ascii="Arial" w:hAnsi="Arial" w:cs="Arial"/>
          <w:spacing w:val="-3"/>
          <w:sz w:val="18"/>
          <w:szCs w:val="18"/>
        </w:rPr>
        <w:t xml:space="preserve"> </w:t>
      </w:r>
      <w:r w:rsidRPr="00AE065C">
        <w:rPr>
          <w:rFonts w:ascii="Arial" w:hAnsi="Arial" w:cs="Arial"/>
          <w:sz w:val="18"/>
          <w:szCs w:val="18"/>
        </w:rPr>
        <w:t>de</w:t>
      </w:r>
      <w:r w:rsidRPr="00AE065C">
        <w:rPr>
          <w:rFonts w:ascii="Arial" w:hAnsi="Arial" w:cs="Arial"/>
          <w:spacing w:val="-5"/>
          <w:sz w:val="18"/>
          <w:szCs w:val="18"/>
        </w:rPr>
        <w:t xml:space="preserve"> </w:t>
      </w:r>
      <w:r w:rsidRPr="00AE065C">
        <w:rPr>
          <w:rFonts w:ascii="Arial" w:hAnsi="Arial" w:cs="Arial"/>
          <w:sz w:val="18"/>
          <w:szCs w:val="18"/>
        </w:rPr>
        <w:t>Coimbra, pós-graduada</w:t>
      </w:r>
      <w:r w:rsidRPr="00AE065C">
        <w:rPr>
          <w:rFonts w:ascii="Arial" w:hAnsi="Arial" w:cs="Arial"/>
          <w:spacing w:val="-1"/>
          <w:sz w:val="18"/>
          <w:szCs w:val="18"/>
        </w:rPr>
        <w:t xml:space="preserve"> </w:t>
      </w:r>
      <w:r w:rsidRPr="00AE065C">
        <w:rPr>
          <w:rFonts w:ascii="Arial" w:hAnsi="Arial" w:cs="Arial"/>
          <w:sz w:val="18"/>
          <w:szCs w:val="18"/>
        </w:rPr>
        <w:t>em</w:t>
      </w:r>
      <w:r w:rsidRPr="00AE065C">
        <w:rPr>
          <w:rFonts w:ascii="Arial" w:hAnsi="Arial" w:cs="Arial"/>
          <w:spacing w:val="-3"/>
          <w:sz w:val="18"/>
          <w:szCs w:val="18"/>
        </w:rPr>
        <w:t xml:space="preserve"> </w:t>
      </w:r>
      <w:r w:rsidRPr="00AE065C">
        <w:rPr>
          <w:rFonts w:ascii="Arial" w:hAnsi="Arial" w:cs="Arial"/>
          <w:sz w:val="18"/>
          <w:szCs w:val="18"/>
        </w:rPr>
        <w:t>Relações do curso de Direito da Faculdade Evangélica Raízes.</w:t>
      </w:r>
      <w:r w:rsidRPr="00AE065C">
        <w:rPr>
          <w:rFonts w:ascii="Arial" w:hAnsi="Arial" w:cs="Arial"/>
          <w:sz w:val="18"/>
          <w:szCs w:val="18"/>
          <w:lang w:val="pt-BR"/>
        </w:rPr>
        <w:t>e-mail: maxilenecorrea@faculdaderaizes.edu.br</w:t>
      </w:r>
    </w:p>
  </w:footnote>
  <w:footnote w:id="59">
    <w:p w:rsidR="00C052DD" w:rsidRDefault="00C052DD" w:rsidP="00AE065C">
      <w:pPr>
        <w:pStyle w:val="Textodenotaderodap"/>
      </w:pPr>
      <w:r w:rsidRPr="00AE065C">
        <w:rPr>
          <w:rStyle w:val="Refdenotaderodap"/>
          <w:rFonts w:ascii="Arial" w:hAnsi="Arial" w:cs="Arial"/>
        </w:rPr>
        <w:footnoteRef/>
      </w:r>
      <w:r w:rsidRPr="00AE065C">
        <w:rPr>
          <w:rFonts w:ascii="Arial" w:hAnsi="Arial" w:cs="Arial"/>
        </w:rPr>
        <w:t xml:space="preserve"> Psicóloga e Docente do curso de Direito da Faculdade Evangélica Raízes. E-mail: mstoschi@hotmail.com</w:t>
      </w:r>
    </w:p>
  </w:footnote>
  <w:footnote w:id="60">
    <w:p w:rsidR="00C052DD" w:rsidRDefault="00C052DD">
      <w:pPr>
        <w:pStyle w:val="Textodenotaderodap"/>
      </w:pPr>
      <w:r>
        <w:rPr>
          <w:rStyle w:val="Refdenotaderodap"/>
        </w:rPr>
        <w:footnoteRef/>
      </w:r>
      <w:r>
        <w:t xml:space="preserve"> </w:t>
      </w:r>
      <w:r>
        <w:rPr>
          <w:lang w:val="pt-BR"/>
        </w:rPr>
        <w:t xml:space="preserve">Graduanda do curso de Direito da Faculdade Evangélica Raízes. Email: </w:t>
      </w:r>
      <w:hyperlink r:id="rId16">
        <w:r>
          <w:rPr>
            <w:rStyle w:val="Hyperlink1"/>
            <w:lang w:val="pt-BR"/>
          </w:rPr>
          <w:t>mariaclaragrat@gmai.com</w:t>
        </w:r>
      </w:hyperlink>
      <w:r>
        <w:rPr>
          <w:lang w:val="pt-BR"/>
        </w:rPr>
        <w:t xml:space="preserve"> </w:t>
      </w:r>
    </w:p>
  </w:footnote>
  <w:footnote w:id="61">
    <w:p w:rsidR="00C052DD" w:rsidRDefault="00C052DD">
      <w:pPr>
        <w:pStyle w:val="Textodenotaderodap"/>
      </w:pPr>
      <w:r>
        <w:rPr>
          <w:rStyle w:val="Refdenotaderodap"/>
        </w:rPr>
        <w:footnoteRef/>
      </w:r>
      <w:r>
        <w:t xml:space="preserve"> </w:t>
      </w:r>
      <w:r>
        <w:rPr>
          <w:lang w:val="pt-BR"/>
        </w:rPr>
        <w:t>E</w:t>
      </w:r>
      <w:r>
        <w:t>specialista em Direito Penal e Processo Penal, Mestrado (Universidade Evangélica de Goiás - UniEVANGÉLICA), advogada e docente, Faculdade Evangélica Raízes, Anápolis, Goiás, cristiane.bonfim@docente.faculdaderaizes.edu.br.</w:t>
      </w:r>
    </w:p>
  </w:footnote>
  <w:footnote w:id="62">
    <w:p w:rsidR="00C052DD" w:rsidRPr="00516175" w:rsidRDefault="00C052DD">
      <w:pPr>
        <w:pStyle w:val="Textodenotaderodap"/>
        <w:rPr>
          <w:rFonts w:ascii="Arial" w:hAnsi="Arial" w:cs="Arial"/>
          <w:lang w:val="pt-BR"/>
        </w:rPr>
      </w:pPr>
      <w:r w:rsidRPr="00516175">
        <w:rPr>
          <w:rStyle w:val="Refdenotaderodap"/>
          <w:rFonts w:ascii="Arial" w:hAnsi="Arial" w:cs="Arial"/>
        </w:rPr>
        <w:footnoteRef/>
      </w:r>
      <w:r w:rsidRPr="00516175">
        <w:rPr>
          <w:rFonts w:ascii="Arial" w:hAnsi="Arial" w:cs="Arial"/>
        </w:rPr>
        <w:t xml:space="preserve"> Discente do curso de Direito da Faculdade Evangélica Raízes. E-mail: </w:t>
      </w:r>
      <w:r>
        <w:rPr>
          <w:rFonts w:ascii="Arial" w:hAnsi="Arial" w:cs="Arial"/>
        </w:rPr>
        <w:t>dimasadedilson3@gmail.com</w:t>
      </w:r>
    </w:p>
  </w:footnote>
  <w:footnote w:id="63">
    <w:p w:rsidR="00C052DD" w:rsidRPr="00516175" w:rsidRDefault="00C052DD">
      <w:pPr>
        <w:pStyle w:val="Textodenotaderodap"/>
        <w:rPr>
          <w:rFonts w:ascii="Arial" w:hAnsi="Arial" w:cs="Arial"/>
          <w:lang w:val="pt-BR"/>
        </w:rPr>
      </w:pPr>
      <w:r w:rsidRPr="00516175">
        <w:rPr>
          <w:rStyle w:val="Refdenotaderodap"/>
          <w:rFonts w:ascii="Arial" w:hAnsi="Arial" w:cs="Arial"/>
        </w:rPr>
        <w:footnoteRef/>
      </w:r>
      <w:r w:rsidRPr="00516175">
        <w:rPr>
          <w:rFonts w:ascii="Arial" w:hAnsi="Arial" w:cs="Arial"/>
        </w:rPr>
        <w:t xml:space="preserve"> Discente do curso de Direito da Faculdade Evangélica Raízes. E-mail: </w:t>
      </w:r>
      <w:r>
        <w:rPr>
          <w:rFonts w:ascii="Arial" w:hAnsi="Arial" w:cs="Arial"/>
        </w:rPr>
        <w:t>beneditodocumento26@gmail.com</w:t>
      </w:r>
    </w:p>
  </w:footnote>
  <w:footnote w:id="64">
    <w:p w:rsidR="00C052DD" w:rsidRPr="00516175" w:rsidRDefault="00C052DD">
      <w:pPr>
        <w:pStyle w:val="Textodenotaderodap"/>
        <w:rPr>
          <w:rFonts w:ascii="Arial" w:hAnsi="Arial" w:cs="Arial"/>
          <w:lang w:val="pt-BR"/>
        </w:rPr>
      </w:pPr>
      <w:r w:rsidRPr="00516175">
        <w:rPr>
          <w:rStyle w:val="Refdenotaderodap"/>
          <w:rFonts w:ascii="Arial" w:hAnsi="Arial" w:cs="Arial"/>
        </w:rPr>
        <w:footnoteRef/>
      </w:r>
      <w:r w:rsidRPr="00516175">
        <w:rPr>
          <w:rFonts w:ascii="Arial" w:hAnsi="Arial" w:cs="Arial"/>
        </w:rPr>
        <w:t xml:space="preserve"> Discente do curso de Direito da Faculdade Evangélica Raízes. E-mail: </w:t>
      </w:r>
      <w:r>
        <w:rPr>
          <w:rFonts w:ascii="Arial" w:hAnsi="Arial" w:cs="Arial"/>
        </w:rPr>
        <w:t>marphilippe9@gmail.com</w:t>
      </w:r>
    </w:p>
  </w:footnote>
  <w:footnote w:id="65">
    <w:p w:rsidR="00C052DD" w:rsidRPr="00516175" w:rsidRDefault="00C052DD">
      <w:pPr>
        <w:pStyle w:val="Textodenotaderodap"/>
        <w:rPr>
          <w:rFonts w:ascii="Arial" w:hAnsi="Arial" w:cs="Arial"/>
          <w:lang w:val="pt-BR"/>
        </w:rPr>
      </w:pPr>
      <w:r w:rsidRPr="00516175">
        <w:rPr>
          <w:rStyle w:val="Refdenotaderodap"/>
          <w:rFonts w:ascii="Arial" w:hAnsi="Arial" w:cs="Arial"/>
        </w:rPr>
        <w:footnoteRef/>
      </w:r>
      <w:r w:rsidRPr="00516175">
        <w:rPr>
          <w:rFonts w:ascii="Arial" w:hAnsi="Arial" w:cs="Arial"/>
        </w:rPr>
        <w:t xml:space="preserve"> Discente do curso de Direito da Faculdade Evangélica Raízes. E-mail: </w:t>
      </w:r>
      <w:r>
        <w:rPr>
          <w:rFonts w:ascii="Arial" w:hAnsi="Arial" w:cs="Arial"/>
        </w:rPr>
        <w:t>pedroywata@gmail.com</w:t>
      </w:r>
    </w:p>
  </w:footnote>
  <w:footnote w:id="66">
    <w:p w:rsidR="00C052DD" w:rsidRPr="00746208" w:rsidRDefault="00C052DD">
      <w:pPr>
        <w:pStyle w:val="Textodenotaderodap"/>
        <w:rPr>
          <w:lang w:val="pt-BR"/>
        </w:rPr>
      </w:pPr>
      <w:r w:rsidRPr="00516175">
        <w:rPr>
          <w:rStyle w:val="Refdenotaderodap"/>
          <w:rFonts w:ascii="Arial" w:hAnsi="Arial" w:cs="Arial"/>
        </w:rPr>
        <w:footnoteRef/>
      </w:r>
      <w:r w:rsidRPr="00516175">
        <w:rPr>
          <w:rFonts w:ascii="Arial" w:hAnsi="Arial" w:cs="Arial"/>
        </w:rPr>
        <w:t xml:space="preserve"> Professora. Mestre, Especialista em Direito Penal e Processo Penal (UniEvangélica). Professora Orientadora da Faculdade Evangélica Raízes. Anápolis, Goiás, Brasil. E-mail: cristiane.bonfim@docente.faculdaderaizes.edu.br.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8890" distL="0" distR="0" simplePos="0" relativeHeight="251638784" behindDoc="1" locked="0" layoutInCell="0" allowOverlap="1">
              <wp:simplePos x="0" y="0"/>
              <wp:positionH relativeFrom="page">
                <wp:posOffset>1190625</wp:posOffset>
              </wp:positionH>
              <wp:positionV relativeFrom="page">
                <wp:posOffset>447675</wp:posOffset>
              </wp:positionV>
              <wp:extent cx="5295900" cy="371475"/>
              <wp:effectExtent l="0" t="0" r="0" b="9525"/>
              <wp:wrapNone/>
              <wp:docPr id="4" name="Textbox 1"/>
              <wp:cNvGraphicFramePr/>
              <a:graphic xmlns:a="http://schemas.openxmlformats.org/drawingml/2006/main">
                <a:graphicData uri="http://schemas.microsoft.com/office/word/2010/wordprocessingShape">
                  <wps:wsp>
                    <wps:cNvSpPr/>
                    <wps:spPr>
                      <a:xfrm>
                        <a:off x="0" y="0"/>
                        <a:ext cx="5295960" cy="3715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Textbox 1" o:spid="_x0000_s1030" style="position:absolute;margin-left:93.75pt;margin-top:35.25pt;width:417pt;height:29.25pt;z-index:-251677696;visibility:visible;mso-wrap-style:square;mso-wrap-distance-left:0;mso-wrap-distance-top:0;mso-wrap-distance-right:0;mso-wrap-distance-bottom:.7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" o:allowincell="f" filled="f" stroked="f" strokeweight="0">
              <v:textbox inset="0,0,0,0">
                <w:txbxContent>
                  <w:p w:rsidR="00C052DD" w:rsidRDefault="00C052DD">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6976" behindDoc="1" locked="0" layoutInCell="0" allowOverlap="1">
              <wp:simplePos x="0" y="0"/>
              <wp:positionH relativeFrom="page">
                <wp:posOffset>1190625</wp:posOffset>
              </wp:positionH>
              <wp:positionV relativeFrom="page">
                <wp:posOffset>447674</wp:posOffset>
              </wp:positionV>
              <wp:extent cx="5270400" cy="314325"/>
              <wp:effectExtent l="0" t="0" r="6985" b="9525"/>
              <wp:wrapNone/>
              <wp:docPr id="23" name="Textbox 1"/>
              <wp:cNvGraphicFramePr/>
              <a:graphic xmlns:a="http://schemas.openxmlformats.org/drawingml/2006/main">
                <a:graphicData uri="http://schemas.microsoft.com/office/word/2010/wordprocessingShape">
                  <wps:wsp>
                    <wps:cNvSpPr/>
                    <wps:spPr>
                      <a:xfrm>
                        <a:off x="0" y="0"/>
                        <a:ext cx="5270400" cy="314325"/>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rsidP="00AF45C8">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wrap="square" lIns="0" tIns="0" rIns="0" bIns="0" anchor="t">
                      <a:noAutofit/>
                    </wps:bodyPr>
                  </wps:wsp>
                </a:graphicData>
              </a:graphic>
              <wp14:sizeRelV relativeFrom="margin">
                <wp14:pctHeight>0</wp14:pctHeight>
              </wp14:sizeRelV>
            </wp:anchor>
          </w:drawing>
        </mc:Choice>
        <mc:Fallback>
          <w:pict>
            <v:rect id="_x0000_s1037" style="position:absolute;margin-left:93.75pt;margin-top:35.25pt;width:415pt;height:24.75pt;z-index:-25166950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" o:allowincell="f" filled="f" stroked="f" strokeweight="0">
              <v:textbox inset="0,0,0,0">
                <w:txbxContent>
                  <w:p w:rsidR="00C052DD" w:rsidRDefault="00C052DD" w:rsidP="00AF45C8">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9024"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24"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39" style="position:absolute;margin-left:93.85pt;margin-top:35.2pt;width:415pt;height:12.7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jc w:val="center"/>
      <w:rPr>
        <w:rFonts w:ascii="SimSun" w:eastAsia="SimSun" w:hAnsi="SimSun" w:cs="SimSun"/>
        <w:b/>
        <w:bCs/>
        <w:sz w:val="28"/>
        <w:szCs w:val="28"/>
      </w:rPr>
    </w:pPr>
  </w:p>
  <w:p w:rsidR="00C052DD" w:rsidRDefault="00C052DD">
    <w:pPr>
      <w:pStyle w:val="Cabealho"/>
      <w:jc w:val="center"/>
      <w:rPr>
        <w:b/>
        <w:bCs/>
        <w:sz w:val="28"/>
        <w:szCs w:val="28"/>
        <w:lang w:val="pt-BR"/>
      </w:rPr>
    </w:pPr>
    <w:r>
      <w:rPr>
        <w:rFonts w:ascii="SimSun" w:eastAsia="SimSun" w:hAnsi="SimSun" w:cs="SimSun"/>
        <w:b/>
        <w:bCs/>
        <w:sz w:val="28"/>
        <w:szCs w:val="28"/>
      </w:rPr>
      <w:t>ANAIS DA XXII JORNADA JURÍDICA DA FACULDADE EVANGÉLICA RAÍZES</w:t>
    </w:r>
  </w:p>
  <w:p w:rsidR="00C052DD" w:rsidRDefault="00C052DD">
    <w:pPr>
      <w:pStyle w:val="Cabealh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jc w:val="center"/>
      <w:rPr>
        <w:rFonts w:ascii="SimSun" w:eastAsia="SimSun" w:hAnsi="SimSun" w:cs="SimSun"/>
        <w:b/>
        <w:bCs/>
        <w:sz w:val="28"/>
        <w:szCs w:val="28"/>
      </w:rPr>
    </w:pPr>
  </w:p>
  <w:p w:rsidR="00C052DD" w:rsidRDefault="00C052DD">
    <w:pPr>
      <w:pStyle w:val="Cabealho"/>
      <w:jc w:val="center"/>
      <w:rPr>
        <w:b/>
        <w:bCs/>
        <w:sz w:val="28"/>
        <w:szCs w:val="28"/>
        <w:lang w:val="pt-BR"/>
      </w:rPr>
    </w:pPr>
    <w:r>
      <w:rPr>
        <w:rFonts w:ascii="SimSun" w:eastAsia="SimSun" w:hAnsi="SimSun" w:cs="SimSun"/>
        <w:b/>
        <w:bCs/>
        <w:sz w:val="28"/>
        <w:szCs w:val="28"/>
      </w:rPr>
      <w:t>ANAIS DA XXII JORNADA JURÍDICA DA FACULDADE EVANGÉLICA RAÍZES</w:t>
    </w:r>
  </w:p>
  <w:p w:rsidR="00C052DD" w:rsidRDefault="00C052DD">
    <w:pPr>
      <w:pStyle w:val="Cabealh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3120"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37"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42" style="position:absolute;margin-left:93.85pt;margin-top:35.2pt;width:415pt;height:12.7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5168"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38"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43" style="position:absolute;margin-left:93.85pt;margin-top:35.2pt;width:415pt;height:12.7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7216"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41"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45" style="position:absolute;margin-left:93.85pt;margin-top:35.2pt;width:415pt;height:12.7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8890" distL="0" distR="0" simplePos="0" relativeHeight="251640832" behindDoc="1" locked="0" layoutInCell="0" allowOverlap="1">
              <wp:simplePos x="0" y="0"/>
              <wp:positionH relativeFrom="page">
                <wp:posOffset>1190625</wp:posOffset>
              </wp:positionH>
              <wp:positionV relativeFrom="page">
                <wp:posOffset>447675</wp:posOffset>
              </wp:positionV>
              <wp:extent cx="5295900" cy="371475"/>
              <wp:effectExtent l="0" t="0" r="0" b="9525"/>
              <wp:wrapNone/>
              <wp:docPr id="5" name="Textbox 1"/>
              <wp:cNvGraphicFramePr/>
              <a:graphic xmlns:a="http://schemas.openxmlformats.org/drawingml/2006/main">
                <a:graphicData uri="http://schemas.microsoft.com/office/word/2010/wordprocessingShape">
                  <wps:wsp>
                    <wps:cNvSpPr/>
                    <wps:spPr>
                      <a:xfrm>
                        <a:off x="0" y="0"/>
                        <a:ext cx="5295960" cy="37152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31" style="position:absolute;margin-left:93.75pt;margin-top:35.25pt;width:417pt;height:29.25pt;z-index:-251675648;visibility:visible;mso-wrap-style:square;mso-wrap-distance-left:0;mso-wrap-distance-top:0;mso-wrap-distance-right:0;mso-wrap-distance-bottom:.7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" o:allowincell="f" filled="f" stroked="f" strokeweight="0">
              <v:textbox inset="0,0,0,0">
                <w:txbxContent>
                  <w:p w:rsidR="00C052DD" w:rsidRDefault="00C052DD">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59264"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42"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47" style="position:absolute;margin-left:93.85pt;margin-top:35.2pt;width:415pt;height:12.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65408"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33"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49" style="position:absolute;margin-left:93.85pt;margin-top:35.2pt;width:415pt;height:12.7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67456"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34"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51" style="position:absolute;margin-left:93.85pt;margin-top:35.2pt;width:415pt;height:12.7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69504"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69"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53" style="position:absolute;margin-left:93.85pt;margin-top:35.2pt;width:415pt;height:12.7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71552"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70" name="Textbox 1"/>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55" style="position:absolute;margin-left:93.85pt;margin-top:35.2pt;width:415pt;height:12.7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2880" behindDoc="1" locked="0" layoutInCell="0" allowOverlap="1">
              <wp:simplePos x="0" y="0"/>
              <wp:positionH relativeFrom="page">
                <wp:posOffset>1190625</wp:posOffset>
              </wp:positionH>
              <wp:positionV relativeFrom="page">
                <wp:posOffset>447675</wp:posOffset>
              </wp:positionV>
              <wp:extent cx="5270400" cy="361950"/>
              <wp:effectExtent l="0" t="0" r="6985" b="0"/>
              <wp:wrapNone/>
              <wp:docPr id="11" name="Textbox 4"/>
              <wp:cNvGraphicFramePr/>
              <a:graphic xmlns:a="http://schemas.openxmlformats.org/drawingml/2006/main">
                <a:graphicData uri="http://schemas.microsoft.com/office/word/2010/wordprocessingShape">
                  <wps:wsp>
                    <wps:cNvSpPr/>
                    <wps:spPr>
                      <a:xfrm>
                        <a:off x="0" y="0"/>
                        <a:ext cx="5270400" cy="36195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rsidP="00AF45C8">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wrap="square" lIns="0" tIns="0" rIns="0" bIns="0" anchor="t">
                      <a:noAutofit/>
                    </wps:bodyPr>
                  </wps:wsp>
                </a:graphicData>
              </a:graphic>
              <wp14:sizeRelV relativeFrom="margin">
                <wp14:pctHeight>0</wp14:pctHeight>
              </wp14:sizeRelV>
            </wp:anchor>
          </w:drawing>
        </mc:Choice>
        <mc:Fallback>
          <w:pict>
            <v:rect id="Textbox 4" o:spid="_x0000_s1033" style="position:absolute;margin-left:93.75pt;margin-top:35.25pt;width:415pt;height:28.5pt;z-index:-25167360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" o:allowincell="f" filled="f" stroked="f" strokeweight="0">
              <v:textbox inset="0,0,0,0">
                <w:txbxContent>
                  <w:p w:rsidR="00C052DD" w:rsidRDefault="00C052DD" w:rsidP="00AF45C8">
                    <w:pPr>
                      <w:pStyle w:val="Contedodoquadrouser"/>
                      <w:spacing w:before="20"/>
                      <w:ind w:left="20"/>
                      <w:jc w:val="center"/>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orpodetexto"/>
      <w:spacing w:line="14" w:lineRule="auto"/>
    </w:pPr>
    <w:r>
      <w:rPr>
        <w:noProof/>
      </w:rPr>
      <mc:AlternateContent>
        <mc:Choice Requires="wps">
          <w:drawing>
            <wp:anchor distT="0" distB="0" distL="0" distR="0" simplePos="0" relativeHeight="251644928" behindDoc="1" locked="0" layoutInCell="0" allowOverlap="1">
              <wp:simplePos x="0" y="0"/>
              <wp:positionH relativeFrom="page">
                <wp:posOffset>1191895</wp:posOffset>
              </wp:positionH>
              <wp:positionV relativeFrom="page">
                <wp:posOffset>447040</wp:posOffset>
              </wp:positionV>
              <wp:extent cx="5270500" cy="161290"/>
              <wp:effectExtent l="0" t="0" r="0" b="0"/>
              <wp:wrapNone/>
              <wp:docPr id="12" name="Textbox 4"/>
              <wp:cNvGraphicFramePr/>
              <a:graphic xmlns:a="http://schemas.openxmlformats.org/drawingml/2006/main">
                <a:graphicData uri="http://schemas.microsoft.com/office/word/2010/wordprocessingShape">
                  <wps:wsp>
                    <wps:cNvSpPr/>
                    <wps:spPr>
                      <a:xfrm>
                        <a:off x="0" y="0"/>
                        <a:ext cx="5270400" cy="161280"/>
                      </a:xfrm>
                      <a:prstGeom prst="rect">
                        <a:avLst/>
                      </a:prstGeom>
                      <a:noFill/>
                      <a:ln w="0">
                        <a:noFill/>
                      </a:ln>
                    </wps:spPr>
                    <wps:style>
                      <a:lnRef idx="0">
                        <a:srgbClr val="FFFFFF"/>
                      </a:lnRef>
                      <a:fillRef idx="0">
                        <a:srgbClr val="FFFFFF"/>
                      </a:fillRef>
                      <a:effectRef idx="0">
                        <a:srgbClr val="FFFFFF"/>
                      </a:effectRef>
                      <a:fontRef idx="minor"/>
                    </wps:style>
                    <wps:txbx>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wps:txbx>
                    <wps:bodyPr lIns="0" tIns="0" rIns="0" bIns="0" anchor="t">
                      <a:noAutofit/>
                    </wps:bodyPr>
                  </wps:wsp>
                </a:graphicData>
              </a:graphic>
            </wp:anchor>
          </w:drawing>
        </mc:Choice>
        <mc:Fallback>
          <w:pict>
            <v:rect id="_x0000_s1035" style="position:absolute;margin-left:93.85pt;margin-top:35.2pt;width:415pt;height:12.7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" o:allowincell="f" filled="f" stroked="f" strokeweight="0">
              <v:textbox inset="0,0,0,0">
                <w:txbxContent>
                  <w:p w:rsidR="00C052DD" w:rsidRDefault="00C052DD">
                    <w:pPr>
                      <w:pStyle w:val="Contedodoquadrouser"/>
                      <w:spacing w:before="20"/>
                      <w:ind w:left="20"/>
                      <w:rPr>
                        <w:sz w:val="16"/>
                      </w:rPr>
                    </w:pPr>
                    <w:r>
                      <w:rPr>
                        <w:bCs/>
                        <w:color w:val="00000A"/>
                        <w:sz w:val="16"/>
                        <w:szCs w:val="16"/>
                        <w:lang w:val="pt-BR"/>
                      </w:rPr>
                      <w:t xml:space="preserve">TEMA: </w:t>
                    </w:r>
                    <w:r>
                      <w:rPr>
                        <w:rFonts w:eastAsia="SimSun"/>
                        <w:color w:val="000000"/>
                        <w:sz w:val="16"/>
                        <w:szCs w:val="16"/>
                      </w:rPr>
                      <w:t>“O DIREITO QUE PERMANECE: HUMANIDADE NA ERA DOS ALGORITMOS”</w:t>
                    </w:r>
                    <w:r>
                      <w:rPr>
                        <w:bCs/>
                        <w:color w:val="000000"/>
                        <w:spacing w:val="-4"/>
                        <w:sz w:val="16"/>
                        <w:szCs w:val="16"/>
                      </w:rPr>
                      <w:t xml:space="preserve"> </w:t>
                    </w:r>
                    <w:r>
                      <w:rPr>
                        <w:bCs/>
                        <w:color w:val="000000"/>
                        <w:sz w:val="16"/>
                        <w:szCs w:val="16"/>
                      </w:rPr>
                      <w:t>|</w:t>
                    </w:r>
                    <w:r>
                      <w:rPr>
                        <w:color w:val="000000"/>
                        <w:spacing w:val="-3"/>
                        <w:sz w:val="16"/>
                      </w:rPr>
                      <w:t xml:space="preserve"> </w:t>
                    </w:r>
                    <w:r>
                      <w:rPr>
                        <w:color w:val="000000"/>
                        <w:sz w:val="16"/>
                      </w:rPr>
                      <w:t>XX</w:t>
                    </w:r>
                    <w:r>
                      <w:rPr>
                        <w:color w:val="000000"/>
                        <w:sz w:val="16"/>
                        <w:lang w:val="pt-BR"/>
                      </w:rPr>
                      <w:t>IV</w:t>
                    </w:r>
                    <w:r>
                      <w:rPr>
                        <w:color w:val="000000"/>
                        <w:spacing w:val="-3"/>
                        <w:sz w:val="16"/>
                      </w:rPr>
                      <w:t xml:space="preserve"> </w:t>
                    </w:r>
                    <w:r>
                      <w:rPr>
                        <w:color w:val="000000"/>
                        <w:sz w:val="16"/>
                      </w:rPr>
                      <w:t>JORNADA</w:t>
                    </w:r>
                    <w:r>
                      <w:rPr>
                        <w:color w:val="000000"/>
                        <w:spacing w:val="-3"/>
                        <w:sz w:val="16"/>
                      </w:rPr>
                      <w:t xml:space="preserve"> </w:t>
                    </w:r>
                    <w:r>
                      <w:rPr>
                        <w:color w:val="000000"/>
                        <w:sz w:val="16"/>
                      </w:rPr>
                      <w:t>JURÍDICA</w:t>
                    </w:r>
                    <w:r>
                      <w:rPr>
                        <w:color w:val="000000"/>
                        <w:spacing w:val="-3"/>
                        <w:sz w:val="16"/>
                      </w:rPr>
                      <w:t xml:space="preserve"> </w:t>
                    </w:r>
                    <w:r>
                      <w:rPr>
                        <w:color w:val="000000"/>
                        <w:sz w:val="16"/>
                      </w:rPr>
                      <w:t>DA</w:t>
                    </w:r>
                    <w:r>
                      <w:rPr>
                        <w:color w:val="000000"/>
                        <w:spacing w:val="-3"/>
                        <w:sz w:val="16"/>
                      </w:rPr>
                      <w:t xml:space="preserve"> </w:t>
                    </w:r>
                    <w:r>
                      <w:rPr>
                        <w:color w:val="000000"/>
                        <w:sz w:val="16"/>
                      </w:rPr>
                      <w:t>FACULDADE</w:t>
                    </w:r>
                    <w:r>
                      <w:rPr>
                        <w:color w:val="000000"/>
                        <w:spacing w:val="-3"/>
                        <w:sz w:val="16"/>
                      </w:rPr>
                      <w:t xml:space="preserve"> </w:t>
                    </w:r>
                    <w:r>
                      <w:rPr>
                        <w:color w:val="000000"/>
                        <w:sz w:val="16"/>
                      </w:rPr>
                      <w:t>EVANGÉLICA</w:t>
                    </w:r>
                    <w:r>
                      <w:rPr>
                        <w:color w:val="000000"/>
                        <w:spacing w:val="-2"/>
                        <w:sz w:val="16"/>
                      </w:rPr>
                      <w:t xml:space="preserve"> RAÍZES</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jc w:val="center"/>
      <w:rPr>
        <w:bCs/>
        <w:color w:val="00000A"/>
        <w:sz w:val="16"/>
        <w:szCs w:val="16"/>
        <w:lang w:val="pt-BR"/>
      </w:rPr>
    </w:pPr>
  </w:p>
  <w:p w:rsidR="00C052DD" w:rsidRDefault="00C052DD">
    <w:pPr>
      <w:pStyle w:val="Cabealho"/>
      <w:jc w:val="center"/>
      <w:rPr>
        <w:bCs/>
        <w:color w:val="00000A"/>
        <w:sz w:val="16"/>
        <w:szCs w:val="16"/>
        <w:lang w:val="pt-BR"/>
      </w:rPr>
    </w:pPr>
  </w:p>
  <w:p w:rsidR="00C052DD" w:rsidRDefault="00C052DD">
    <w:pPr>
      <w:pStyle w:val="Cabealho"/>
      <w:jc w:val="center"/>
      <w:rPr>
        <w:rFonts w:ascii="SimSun" w:eastAsia="SimSun" w:hAnsi="SimSun" w:cs="SimSun"/>
        <w:sz w:val="14"/>
        <w:szCs w:val="14"/>
        <w:lang w:val="pt-BR"/>
      </w:rPr>
    </w:pPr>
    <w:r>
      <w:rPr>
        <w:bCs/>
        <w:color w:val="00000A"/>
        <w:sz w:val="14"/>
        <w:szCs w:val="14"/>
        <w:lang w:val="pt-BR"/>
      </w:rPr>
      <w:t xml:space="preserve">TEMA: </w:t>
    </w:r>
    <w:r>
      <w:rPr>
        <w:rFonts w:ascii="SimSun" w:eastAsia="SimSun" w:hAnsi="SimSun" w:cs="SimSun"/>
        <w:color w:val="000000"/>
        <w:sz w:val="14"/>
        <w:szCs w:val="14"/>
      </w:rPr>
      <w:t>“</w:t>
    </w:r>
    <w:r>
      <w:rPr>
        <w:rFonts w:eastAsia="SimSun"/>
        <w:color w:val="000000"/>
        <w:sz w:val="14"/>
        <w:szCs w:val="14"/>
      </w:rPr>
      <w:t>O DIREITO QUE PERMANECE: HUMANIDADE NA ERA DOS ALGORITMOS”</w:t>
    </w:r>
    <w:r>
      <w:rPr>
        <w:bCs/>
        <w:spacing w:val="-4"/>
        <w:sz w:val="14"/>
        <w:szCs w:val="14"/>
      </w:rPr>
      <w:t xml:space="preserve"> </w:t>
    </w:r>
    <w:r>
      <w:rPr>
        <w:bCs/>
        <w:sz w:val="14"/>
        <w:szCs w:val="14"/>
      </w:rPr>
      <w:t>|</w:t>
    </w:r>
    <w:r>
      <w:rPr>
        <w:spacing w:val="-3"/>
        <w:sz w:val="14"/>
        <w:szCs w:val="14"/>
      </w:rPr>
      <w:t xml:space="preserve"> </w:t>
    </w:r>
    <w:r>
      <w:rPr>
        <w:sz w:val="14"/>
        <w:szCs w:val="14"/>
      </w:rPr>
      <w:t>XX</w:t>
    </w:r>
    <w:r>
      <w:rPr>
        <w:sz w:val="14"/>
        <w:szCs w:val="14"/>
        <w:lang w:val="pt-BR"/>
      </w:rPr>
      <w:t>II</w:t>
    </w:r>
    <w:r>
      <w:rPr>
        <w:spacing w:val="-3"/>
        <w:sz w:val="14"/>
        <w:szCs w:val="14"/>
      </w:rPr>
      <w:t xml:space="preserve"> </w:t>
    </w:r>
    <w:r>
      <w:rPr>
        <w:sz w:val="14"/>
        <w:szCs w:val="14"/>
      </w:rPr>
      <w:t>JORNADA</w:t>
    </w:r>
    <w:r>
      <w:rPr>
        <w:spacing w:val="-3"/>
        <w:sz w:val="14"/>
        <w:szCs w:val="14"/>
      </w:rPr>
      <w:t xml:space="preserve"> </w:t>
    </w:r>
    <w:r>
      <w:rPr>
        <w:sz w:val="14"/>
        <w:szCs w:val="14"/>
      </w:rPr>
      <w:t>JURÍDICA</w:t>
    </w:r>
    <w:r>
      <w:rPr>
        <w:spacing w:val="-3"/>
        <w:sz w:val="14"/>
        <w:szCs w:val="14"/>
      </w:rPr>
      <w:t xml:space="preserve"> </w:t>
    </w:r>
    <w:r>
      <w:rPr>
        <w:sz w:val="14"/>
        <w:szCs w:val="14"/>
      </w:rPr>
      <w:t>DA</w:t>
    </w:r>
    <w:r>
      <w:rPr>
        <w:spacing w:val="-3"/>
        <w:sz w:val="14"/>
        <w:szCs w:val="14"/>
      </w:rPr>
      <w:t xml:space="preserve"> </w:t>
    </w:r>
    <w:r>
      <w:rPr>
        <w:sz w:val="14"/>
        <w:szCs w:val="14"/>
      </w:rPr>
      <w:t>FACULDADE</w:t>
    </w:r>
    <w:r>
      <w:rPr>
        <w:spacing w:val="-3"/>
        <w:sz w:val="14"/>
        <w:szCs w:val="14"/>
      </w:rPr>
      <w:t xml:space="preserve"> </w:t>
    </w:r>
    <w:r>
      <w:rPr>
        <w:sz w:val="14"/>
        <w:szCs w:val="14"/>
      </w:rPr>
      <w:t>EVANGÉLICA</w:t>
    </w:r>
    <w:r>
      <w:rPr>
        <w:spacing w:val="-2"/>
        <w:sz w:val="14"/>
        <w:szCs w:val="14"/>
      </w:rPr>
      <w:t xml:space="preserve"> </w:t>
    </w:r>
    <w:r w:rsidR="00AF45C8">
      <w:rPr>
        <w:spacing w:val="-2"/>
        <w:sz w:val="14"/>
        <w:szCs w:val="14"/>
      </w:rPr>
      <w:t>RAÍZES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jc w:val="center"/>
      <w:rPr>
        <w:bCs/>
        <w:color w:val="00000A"/>
        <w:sz w:val="16"/>
        <w:szCs w:val="16"/>
        <w:lang w:val="pt-BR"/>
      </w:rPr>
    </w:pPr>
  </w:p>
  <w:p w:rsidR="00C052DD" w:rsidRDefault="00C052DD">
    <w:pPr>
      <w:pStyle w:val="Cabealho"/>
      <w:jc w:val="center"/>
      <w:rPr>
        <w:bCs/>
        <w:color w:val="00000A"/>
        <w:sz w:val="16"/>
        <w:szCs w:val="16"/>
        <w:lang w:val="pt-BR"/>
      </w:rPr>
    </w:pPr>
  </w:p>
  <w:p w:rsidR="00C052DD" w:rsidRDefault="00C052DD">
    <w:pPr>
      <w:pStyle w:val="Cabealho"/>
      <w:jc w:val="center"/>
      <w:rPr>
        <w:rFonts w:ascii="SimSun" w:eastAsia="SimSun" w:hAnsi="SimSun" w:cs="SimSun"/>
        <w:sz w:val="14"/>
        <w:szCs w:val="14"/>
        <w:lang w:val="pt-BR"/>
      </w:rPr>
    </w:pPr>
    <w:r>
      <w:rPr>
        <w:bCs/>
        <w:color w:val="00000A"/>
        <w:sz w:val="14"/>
        <w:szCs w:val="14"/>
        <w:lang w:val="pt-BR"/>
      </w:rPr>
      <w:t xml:space="preserve">TEMA: </w:t>
    </w:r>
    <w:r>
      <w:rPr>
        <w:rFonts w:ascii="SimSun" w:eastAsia="SimSun" w:hAnsi="SimSun" w:cs="SimSun"/>
        <w:color w:val="000000"/>
        <w:sz w:val="14"/>
        <w:szCs w:val="14"/>
      </w:rPr>
      <w:t>“</w:t>
    </w:r>
    <w:r>
      <w:rPr>
        <w:rFonts w:eastAsia="SimSun"/>
        <w:color w:val="000000"/>
        <w:sz w:val="14"/>
        <w:szCs w:val="14"/>
      </w:rPr>
      <w:t>O DIREITO QUE PERMANECE: HUMANIDADE NA ERA DOS ALGORITMOS”</w:t>
    </w:r>
    <w:r>
      <w:rPr>
        <w:bCs/>
        <w:spacing w:val="-4"/>
        <w:sz w:val="14"/>
        <w:szCs w:val="14"/>
      </w:rPr>
      <w:t xml:space="preserve"> </w:t>
    </w:r>
    <w:r>
      <w:rPr>
        <w:bCs/>
        <w:sz w:val="14"/>
        <w:szCs w:val="14"/>
      </w:rPr>
      <w:t>|</w:t>
    </w:r>
    <w:r>
      <w:rPr>
        <w:spacing w:val="-3"/>
        <w:sz w:val="14"/>
        <w:szCs w:val="14"/>
      </w:rPr>
      <w:t xml:space="preserve"> </w:t>
    </w:r>
    <w:r>
      <w:rPr>
        <w:sz w:val="14"/>
        <w:szCs w:val="14"/>
      </w:rPr>
      <w:t>XX</w:t>
    </w:r>
    <w:r>
      <w:rPr>
        <w:sz w:val="14"/>
        <w:szCs w:val="14"/>
        <w:lang w:val="pt-BR"/>
      </w:rPr>
      <w:t>II</w:t>
    </w:r>
    <w:r>
      <w:rPr>
        <w:spacing w:val="-3"/>
        <w:sz w:val="14"/>
        <w:szCs w:val="14"/>
      </w:rPr>
      <w:t xml:space="preserve"> </w:t>
    </w:r>
    <w:r>
      <w:rPr>
        <w:sz w:val="14"/>
        <w:szCs w:val="14"/>
      </w:rPr>
      <w:t>JORNADA</w:t>
    </w:r>
    <w:r>
      <w:rPr>
        <w:spacing w:val="-3"/>
        <w:sz w:val="14"/>
        <w:szCs w:val="14"/>
      </w:rPr>
      <w:t xml:space="preserve"> </w:t>
    </w:r>
    <w:r>
      <w:rPr>
        <w:sz w:val="14"/>
        <w:szCs w:val="14"/>
      </w:rPr>
      <w:t>JURÍDICA</w:t>
    </w:r>
    <w:r>
      <w:rPr>
        <w:spacing w:val="-3"/>
        <w:sz w:val="14"/>
        <w:szCs w:val="14"/>
      </w:rPr>
      <w:t xml:space="preserve"> </w:t>
    </w:r>
    <w:r>
      <w:rPr>
        <w:sz w:val="14"/>
        <w:szCs w:val="14"/>
      </w:rPr>
      <w:t>DA</w:t>
    </w:r>
    <w:r>
      <w:rPr>
        <w:spacing w:val="-3"/>
        <w:sz w:val="14"/>
        <w:szCs w:val="14"/>
      </w:rPr>
      <w:t xml:space="preserve"> </w:t>
    </w:r>
    <w:r>
      <w:rPr>
        <w:sz w:val="14"/>
        <w:szCs w:val="14"/>
      </w:rPr>
      <w:t>FACULDADE</w:t>
    </w:r>
    <w:r>
      <w:rPr>
        <w:spacing w:val="-3"/>
        <w:sz w:val="14"/>
        <w:szCs w:val="14"/>
      </w:rPr>
      <w:t xml:space="preserve"> </w:t>
    </w:r>
    <w:r>
      <w:rPr>
        <w:sz w:val="14"/>
        <w:szCs w:val="14"/>
      </w:rPr>
      <w:t>EVANGÉLICA</w:t>
    </w:r>
    <w:r>
      <w:rPr>
        <w:spacing w:val="-2"/>
        <w:sz w:val="14"/>
        <w:szCs w:val="14"/>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2DD" w:rsidRDefault="00C052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7A3360"/>
    <w:multiLevelType w:val="multilevel"/>
    <w:tmpl w:val="23CE20B2"/>
    <w:lvl w:ilvl="0">
      <w:start w:val="1"/>
      <w:numFmt w:val="decimal"/>
      <w:lvlText w:val="%1."/>
      <w:lvlJc w:val="left"/>
      <w:pPr>
        <w:tabs>
          <w:tab w:val="left" w:pos="0"/>
        </w:tabs>
        <w:ind w:left="220" w:hanging="406"/>
      </w:pPr>
      <w:rPr>
        <w:rFonts w:ascii="Times New Roman" w:eastAsia="Times New Roman" w:hAnsi="Times New Roman" w:cs="Times New Roman"/>
        <w:b w:val="0"/>
        <w:bCs/>
        <w:i w:val="0"/>
        <w:iCs w:val="0"/>
        <w:spacing w:val="0"/>
        <w:w w:val="100"/>
        <w:sz w:val="24"/>
        <w:szCs w:val="24"/>
        <w:lang w:val="pt-PT" w:eastAsia="en-US" w:bidi="ar-SA"/>
      </w:rPr>
    </w:lvl>
    <w:lvl w:ilvl="1">
      <w:start w:val="1"/>
      <w:numFmt w:val="decimal"/>
      <w:lvlText w:val="%1.%2."/>
      <w:lvlJc w:val="left"/>
      <w:pPr>
        <w:tabs>
          <w:tab w:val="left" w:pos="0"/>
        </w:tabs>
        <w:ind w:left="640" w:hanging="420"/>
      </w:pPr>
      <w:rPr>
        <w:rFonts w:ascii="Times New Roman" w:eastAsia="Times New Roman" w:hAnsi="Times New Roman" w:cs="Times New Roman"/>
        <w:b w:val="0"/>
        <w:bCs w:val="0"/>
        <w:i w:val="0"/>
        <w:iCs w:val="0"/>
        <w:spacing w:val="0"/>
        <w:w w:val="100"/>
        <w:sz w:val="24"/>
        <w:szCs w:val="24"/>
        <w:lang w:val="pt-PT" w:eastAsia="en-US" w:bidi="ar-SA"/>
      </w:rPr>
    </w:lvl>
    <w:lvl w:ilvl="2">
      <w:numFmt w:val="bullet"/>
      <w:lvlText w:val=""/>
      <w:lvlJc w:val="left"/>
      <w:pPr>
        <w:tabs>
          <w:tab w:val="left" w:pos="0"/>
        </w:tabs>
        <w:ind w:left="1613" w:hanging="420"/>
      </w:pPr>
      <w:rPr>
        <w:rFonts w:ascii="Symbol" w:hAnsi="Symbol" w:cs="Symbol" w:hint="default"/>
        <w:lang w:val="pt-PT" w:eastAsia="en-US" w:bidi="ar-SA"/>
      </w:rPr>
    </w:lvl>
    <w:lvl w:ilvl="3">
      <w:numFmt w:val="bullet"/>
      <w:lvlText w:val=""/>
      <w:lvlJc w:val="left"/>
      <w:pPr>
        <w:tabs>
          <w:tab w:val="left" w:pos="0"/>
        </w:tabs>
        <w:ind w:left="2589" w:hanging="420"/>
      </w:pPr>
      <w:rPr>
        <w:rFonts w:ascii="Symbol" w:hAnsi="Symbol" w:cs="Symbol" w:hint="default"/>
        <w:lang w:val="pt-PT" w:eastAsia="en-US" w:bidi="ar-SA"/>
      </w:rPr>
    </w:lvl>
    <w:lvl w:ilvl="4">
      <w:numFmt w:val="bullet"/>
      <w:lvlText w:val=""/>
      <w:lvlJc w:val="left"/>
      <w:pPr>
        <w:tabs>
          <w:tab w:val="left" w:pos="0"/>
        </w:tabs>
        <w:ind w:left="3566" w:hanging="420"/>
      </w:pPr>
      <w:rPr>
        <w:rFonts w:ascii="Symbol" w:hAnsi="Symbol" w:cs="Symbol" w:hint="default"/>
        <w:lang w:val="pt-PT" w:eastAsia="en-US" w:bidi="ar-SA"/>
      </w:rPr>
    </w:lvl>
    <w:lvl w:ilvl="5">
      <w:numFmt w:val="bullet"/>
      <w:lvlText w:val=""/>
      <w:lvlJc w:val="left"/>
      <w:pPr>
        <w:tabs>
          <w:tab w:val="left" w:pos="0"/>
        </w:tabs>
        <w:ind w:left="4542" w:hanging="420"/>
      </w:pPr>
      <w:rPr>
        <w:rFonts w:ascii="Symbol" w:hAnsi="Symbol" w:cs="Symbol" w:hint="default"/>
        <w:lang w:val="pt-PT" w:eastAsia="en-US" w:bidi="ar-SA"/>
      </w:rPr>
    </w:lvl>
    <w:lvl w:ilvl="6">
      <w:numFmt w:val="bullet"/>
      <w:lvlText w:val=""/>
      <w:lvlJc w:val="left"/>
      <w:pPr>
        <w:tabs>
          <w:tab w:val="left" w:pos="0"/>
        </w:tabs>
        <w:ind w:left="5519" w:hanging="420"/>
      </w:pPr>
      <w:rPr>
        <w:rFonts w:ascii="Symbol" w:hAnsi="Symbol" w:cs="Symbol" w:hint="default"/>
        <w:lang w:val="pt-PT" w:eastAsia="en-US" w:bidi="ar-SA"/>
      </w:rPr>
    </w:lvl>
    <w:lvl w:ilvl="7">
      <w:numFmt w:val="bullet"/>
      <w:lvlText w:val=""/>
      <w:lvlJc w:val="left"/>
      <w:pPr>
        <w:tabs>
          <w:tab w:val="left" w:pos="0"/>
        </w:tabs>
        <w:ind w:left="6495" w:hanging="420"/>
      </w:pPr>
      <w:rPr>
        <w:rFonts w:ascii="Symbol" w:hAnsi="Symbol" w:cs="Symbol" w:hint="default"/>
        <w:lang w:val="pt-PT" w:eastAsia="en-US" w:bidi="ar-SA"/>
      </w:rPr>
    </w:lvl>
    <w:lvl w:ilvl="8">
      <w:numFmt w:val="bullet"/>
      <w:lvlText w:val=""/>
      <w:lvlJc w:val="left"/>
      <w:pPr>
        <w:tabs>
          <w:tab w:val="left" w:pos="0"/>
        </w:tabs>
        <w:ind w:left="7472" w:hanging="420"/>
      </w:pPr>
      <w:rPr>
        <w:rFonts w:ascii="Symbol" w:hAnsi="Symbol" w:cs="Symbol" w:hint="default"/>
        <w:lang w:val="pt-PT" w:eastAsia="en-US" w:bidi="ar-SA"/>
      </w:rPr>
    </w:lvl>
  </w:abstractNum>
  <w:abstractNum w:abstractNumId="1" w15:restartNumberingAfterBreak="0">
    <w:nsid w:val="CF092B84"/>
    <w:multiLevelType w:val="multilevel"/>
    <w:tmpl w:val="9144862C"/>
    <w:lvl w:ilvl="0">
      <w:start w:val="1"/>
      <w:numFmt w:val="decimal"/>
      <w:lvlText w:val="%1."/>
      <w:lvlJc w:val="left"/>
      <w:pPr>
        <w:tabs>
          <w:tab w:val="left" w:pos="0"/>
        </w:tabs>
        <w:ind w:left="720" w:hanging="360"/>
      </w:pPr>
      <w:rPr>
        <w:rFonts w:hint="default"/>
        <w:b w:val="0"/>
        <w:bC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053208E"/>
    <w:multiLevelType w:val="multilevel"/>
    <w:tmpl w:val="1F4E70EE"/>
    <w:lvl w:ilvl="0">
      <w:start w:val="1"/>
      <w:numFmt w:val="decimal"/>
      <w:lvlText w:val="%1."/>
      <w:lvlJc w:val="left"/>
      <w:pPr>
        <w:tabs>
          <w:tab w:val="left" w:pos="0"/>
        </w:tabs>
        <w:ind w:left="220" w:hanging="406"/>
      </w:pPr>
      <w:rPr>
        <w:rFonts w:ascii="Times New Roman" w:eastAsia="Times New Roman" w:hAnsi="Times New Roman" w:cs="Times New Roman"/>
        <w:b w:val="0"/>
        <w:bCs/>
        <w:i w:val="0"/>
        <w:iCs w:val="0"/>
        <w:spacing w:val="0"/>
        <w:w w:val="100"/>
        <w:sz w:val="24"/>
        <w:szCs w:val="24"/>
        <w:lang w:val="pt-PT" w:eastAsia="en-US" w:bidi="ar-SA"/>
      </w:rPr>
    </w:lvl>
    <w:lvl w:ilvl="1">
      <w:start w:val="1"/>
      <w:numFmt w:val="decimal"/>
      <w:lvlText w:val="%1.%2."/>
      <w:lvlJc w:val="left"/>
      <w:pPr>
        <w:tabs>
          <w:tab w:val="left" w:pos="0"/>
        </w:tabs>
        <w:ind w:left="640" w:hanging="420"/>
      </w:pPr>
      <w:rPr>
        <w:rFonts w:ascii="Times New Roman" w:eastAsia="Times New Roman" w:hAnsi="Times New Roman" w:cs="Times New Roman"/>
        <w:b w:val="0"/>
        <w:bCs w:val="0"/>
        <w:i w:val="0"/>
        <w:iCs w:val="0"/>
        <w:spacing w:val="0"/>
        <w:w w:val="100"/>
        <w:sz w:val="24"/>
        <w:szCs w:val="24"/>
        <w:lang w:val="pt-PT" w:eastAsia="en-US" w:bidi="ar-SA"/>
      </w:rPr>
    </w:lvl>
    <w:lvl w:ilvl="2">
      <w:numFmt w:val="bullet"/>
      <w:lvlText w:val=""/>
      <w:lvlJc w:val="left"/>
      <w:pPr>
        <w:tabs>
          <w:tab w:val="left" w:pos="0"/>
        </w:tabs>
        <w:ind w:left="1613" w:hanging="420"/>
      </w:pPr>
      <w:rPr>
        <w:rFonts w:ascii="Symbol" w:hAnsi="Symbol" w:cs="Symbol" w:hint="default"/>
        <w:lang w:val="pt-PT" w:eastAsia="en-US" w:bidi="ar-SA"/>
      </w:rPr>
    </w:lvl>
    <w:lvl w:ilvl="3">
      <w:numFmt w:val="bullet"/>
      <w:lvlText w:val=""/>
      <w:lvlJc w:val="left"/>
      <w:pPr>
        <w:tabs>
          <w:tab w:val="left" w:pos="0"/>
        </w:tabs>
        <w:ind w:left="2589" w:hanging="420"/>
      </w:pPr>
      <w:rPr>
        <w:rFonts w:ascii="Symbol" w:hAnsi="Symbol" w:cs="Symbol" w:hint="default"/>
        <w:lang w:val="pt-PT" w:eastAsia="en-US" w:bidi="ar-SA"/>
      </w:rPr>
    </w:lvl>
    <w:lvl w:ilvl="4">
      <w:numFmt w:val="bullet"/>
      <w:lvlText w:val=""/>
      <w:lvlJc w:val="left"/>
      <w:pPr>
        <w:tabs>
          <w:tab w:val="left" w:pos="0"/>
        </w:tabs>
        <w:ind w:left="3566" w:hanging="420"/>
      </w:pPr>
      <w:rPr>
        <w:rFonts w:ascii="Symbol" w:hAnsi="Symbol" w:cs="Symbol" w:hint="default"/>
        <w:lang w:val="pt-PT" w:eastAsia="en-US" w:bidi="ar-SA"/>
      </w:rPr>
    </w:lvl>
    <w:lvl w:ilvl="5">
      <w:numFmt w:val="bullet"/>
      <w:lvlText w:val=""/>
      <w:lvlJc w:val="left"/>
      <w:pPr>
        <w:tabs>
          <w:tab w:val="left" w:pos="0"/>
        </w:tabs>
        <w:ind w:left="4542" w:hanging="420"/>
      </w:pPr>
      <w:rPr>
        <w:rFonts w:ascii="Symbol" w:hAnsi="Symbol" w:cs="Symbol" w:hint="default"/>
        <w:lang w:val="pt-PT" w:eastAsia="en-US" w:bidi="ar-SA"/>
      </w:rPr>
    </w:lvl>
    <w:lvl w:ilvl="6">
      <w:numFmt w:val="bullet"/>
      <w:lvlText w:val=""/>
      <w:lvlJc w:val="left"/>
      <w:pPr>
        <w:tabs>
          <w:tab w:val="left" w:pos="0"/>
        </w:tabs>
        <w:ind w:left="5519" w:hanging="420"/>
      </w:pPr>
      <w:rPr>
        <w:rFonts w:ascii="Symbol" w:hAnsi="Symbol" w:cs="Symbol" w:hint="default"/>
        <w:lang w:val="pt-PT" w:eastAsia="en-US" w:bidi="ar-SA"/>
      </w:rPr>
    </w:lvl>
    <w:lvl w:ilvl="7">
      <w:numFmt w:val="bullet"/>
      <w:lvlText w:val=""/>
      <w:lvlJc w:val="left"/>
      <w:pPr>
        <w:tabs>
          <w:tab w:val="left" w:pos="0"/>
        </w:tabs>
        <w:ind w:left="6495" w:hanging="420"/>
      </w:pPr>
      <w:rPr>
        <w:rFonts w:ascii="Symbol" w:hAnsi="Symbol" w:cs="Symbol" w:hint="default"/>
        <w:lang w:val="pt-PT" w:eastAsia="en-US" w:bidi="ar-SA"/>
      </w:rPr>
    </w:lvl>
    <w:lvl w:ilvl="8">
      <w:numFmt w:val="bullet"/>
      <w:lvlText w:val=""/>
      <w:lvlJc w:val="left"/>
      <w:pPr>
        <w:tabs>
          <w:tab w:val="left" w:pos="0"/>
        </w:tabs>
        <w:ind w:left="7472" w:hanging="420"/>
      </w:pPr>
      <w:rPr>
        <w:rFonts w:ascii="Symbol" w:hAnsi="Symbol" w:cs="Symbol" w:hint="default"/>
        <w:lang w:val="pt-PT" w:eastAsia="en-US" w:bidi="ar-SA"/>
      </w:rPr>
    </w:lvl>
  </w:abstractNum>
  <w:abstractNum w:abstractNumId="3" w15:restartNumberingAfterBreak="0">
    <w:nsid w:val="0EBF5E9C"/>
    <w:multiLevelType w:val="hybridMultilevel"/>
    <w:tmpl w:val="C7CA1AD8"/>
    <w:lvl w:ilvl="0" w:tplc="B82862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4C12ECD"/>
    <w:multiLevelType w:val="multilevel"/>
    <w:tmpl w:val="54C12ECD"/>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5AE14160"/>
    <w:multiLevelType w:val="multilevel"/>
    <w:tmpl w:val="06D8F880"/>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rPr>
    </w:lvl>
    <w:lvl w:ilvl="2">
      <w:start w:val="1"/>
      <w:numFmt w:val="decimal"/>
      <w:lvlText w:val="%1.%2.%3"/>
      <w:lvlJc w:val="left"/>
      <w:pPr>
        <w:ind w:left="720" w:hanging="720"/>
      </w:pPr>
      <w:rPr>
        <w:b/>
        <w:bCs/>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6" w15:restartNumberingAfterBreak="0">
    <w:nsid w:val="7C5C3620"/>
    <w:multiLevelType w:val="hybridMultilevel"/>
    <w:tmpl w:val="3E8C0636"/>
    <w:lvl w:ilvl="0" w:tplc="94947AA2">
      <w:start w:val="3"/>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abstractNumId w:val="2"/>
  </w:num>
  <w:num w:numId="2">
    <w:abstractNumId w:val="0"/>
  </w:num>
  <w:num w:numId="3">
    <w:abstractNumId w:val="1"/>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autoHyphenation/>
  <w:hyphenationZone w:val="0"/>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0B7"/>
    <w:rsid w:val="00002891"/>
    <w:rsid w:val="0005585F"/>
    <w:rsid w:val="00060C32"/>
    <w:rsid w:val="00077137"/>
    <w:rsid w:val="0007713E"/>
    <w:rsid w:val="00093B6E"/>
    <w:rsid w:val="000A0034"/>
    <w:rsid w:val="000D2BCD"/>
    <w:rsid w:val="00101406"/>
    <w:rsid w:val="00105474"/>
    <w:rsid w:val="001069A3"/>
    <w:rsid w:val="001229DB"/>
    <w:rsid w:val="0013636D"/>
    <w:rsid w:val="001528C5"/>
    <w:rsid w:val="001753E5"/>
    <w:rsid w:val="00176E51"/>
    <w:rsid w:val="001C4804"/>
    <w:rsid w:val="001C66E0"/>
    <w:rsid w:val="00230FFD"/>
    <w:rsid w:val="002575B4"/>
    <w:rsid w:val="00264E69"/>
    <w:rsid w:val="00297418"/>
    <w:rsid w:val="002A5FA8"/>
    <w:rsid w:val="002B3171"/>
    <w:rsid w:val="002E1403"/>
    <w:rsid w:val="002F3F3E"/>
    <w:rsid w:val="002F6963"/>
    <w:rsid w:val="00302409"/>
    <w:rsid w:val="003208AB"/>
    <w:rsid w:val="00355F7E"/>
    <w:rsid w:val="0036782D"/>
    <w:rsid w:val="003B4EE7"/>
    <w:rsid w:val="003F1554"/>
    <w:rsid w:val="003F2AD6"/>
    <w:rsid w:val="00417E9E"/>
    <w:rsid w:val="00425C09"/>
    <w:rsid w:val="0044516C"/>
    <w:rsid w:val="0046118E"/>
    <w:rsid w:val="00470FD4"/>
    <w:rsid w:val="004841C6"/>
    <w:rsid w:val="004925B1"/>
    <w:rsid w:val="004A636B"/>
    <w:rsid w:val="00516175"/>
    <w:rsid w:val="00525553"/>
    <w:rsid w:val="00526399"/>
    <w:rsid w:val="0055639F"/>
    <w:rsid w:val="005831C4"/>
    <w:rsid w:val="00584F84"/>
    <w:rsid w:val="00586FEC"/>
    <w:rsid w:val="00591931"/>
    <w:rsid w:val="005E28B2"/>
    <w:rsid w:val="00615EA1"/>
    <w:rsid w:val="00641807"/>
    <w:rsid w:val="00653C36"/>
    <w:rsid w:val="00654F65"/>
    <w:rsid w:val="00661883"/>
    <w:rsid w:val="00687A94"/>
    <w:rsid w:val="006B67FF"/>
    <w:rsid w:val="006D53EF"/>
    <w:rsid w:val="006D654C"/>
    <w:rsid w:val="006F1BE9"/>
    <w:rsid w:val="0073048D"/>
    <w:rsid w:val="00731DD4"/>
    <w:rsid w:val="0073302D"/>
    <w:rsid w:val="007349E7"/>
    <w:rsid w:val="00746208"/>
    <w:rsid w:val="00761183"/>
    <w:rsid w:val="007927D4"/>
    <w:rsid w:val="007A0BEE"/>
    <w:rsid w:val="007E5FEA"/>
    <w:rsid w:val="007E6055"/>
    <w:rsid w:val="00804507"/>
    <w:rsid w:val="00822C7F"/>
    <w:rsid w:val="0083409B"/>
    <w:rsid w:val="00841DC0"/>
    <w:rsid w:val="00870BE2"/>
    <w:rsid w:val="00873810"/>
    <w:rsid w:val="008C031B"/>
    <w:rsid w:val="008C2CAE"/>
    <w:rsid w:val="009001FA"/>
    <w:rsid w:val="009358DA"/>
    <w:rsid w:val="00966E4C"/>
    <w:rsid w:val="0098359B"/>
    <w:rsid w:val="0098388D"/>
    <w:rsid w:val="009B4BDD"/>
    <w:rsid w:val="009D28AC"/>
    <w:rsid w:val="009D60B7"/>
    <w:rsid w:val="009E4AC4"/>
    <w:rsid w:val="00A4431F"/>
    <w:rsid w:val="00A76DC3"/>
    <w:rsid w:val="00A94936"/>
    <w:rsid w:val="00AA63EC"/>
    <w:rsid w:val="00AC16A6"/>
    <w:rsid w:val="00AD3378"/>
    <w:rsid w:val="00AE065C"/>
    <w:rsid w:val="00AF45C8"/>
    <w:rsid w:val="00B24E76"/>
    <w:rsid w:val="00B44A52"/>
    <w:rsid w:val="00B46FFA"/>
    <w:rsid w:val="00B763CA"/>
    <w:rsid w:val="00B9257B"/>
    <w:rsid w:val="00BA533E"/>
    <w:rsid w:val="00BE3B15"/>
    <w:rsid w:val="00BE7797"/>
    <w:rsid w:val="00C052DD"/>
    <w:rsid w:val="00C34DBA"/>
    <w:rsid w:val="00CA2A76"/>
    <w:rsid w:val="00CA6BE8"/>
    <w:rsid w:val="00CD2DB9"/>
    <w:rsid w:val="00CF14ED"/>
    <w:rsid w:val="00D01278"/>
    <w:rsid w:val="00D17335"/>
    <w:rsid w:val="00D36C44"/>
    <w:rsid w:val="00D40487"/>
    <w:rsid w:val="00D55E46"/>
    <w:rsid w:val="00D57D5B"/>
    <w:rsid w:val="00D74047"/>
    <w:rsid w:val="00DC254B"/>
    <w:rsid w:val="00DD1E50"/>
    <w:rsid w:val="00DE4318"/>
    <w:rsid w:val="00DE73AD"/>
    <w:rsid w:val="00E05343"/>
    <w:rsid w:val="00E8635F"/>
    <w:rsid w:val="00EB26E2"/>
    <w:rsid w:val="00EB508A"/>
    <w:rsid w:val="00EB7E60"/>
    <w:rsid w:val="00EE1E8B"/>
    <w:rsid w:val="00EF5F78"/>
    <w:rsid w:val="00F56DEE"/>
    <w:rsid w:val="00F81D15"/>
    <w:rsid w:val="00FB21CD"/>
    <w:rsid w:val="00FB4431"/>
    <w:rsid w:val="00FE0368"/>
    <w:rsid w:val="00FE170C"/>
    <w:rsid w:val="00FF67C0"/>
    <w:rsid w:val="010333FC"/>
    <w:rsid w:val="010E0986"/>
    <w:rsid w:val="01505F15"/>
    <w:rsid w:val="018362EB"/>
    <w:rsid w:val="019127B6"/>
    <w:rsid w:val="01AC0269"/>
    <w:rsid w:val="01AF70E0"/>
    <w:rsid w:val="021C29C7"/>
    <w:rsid w:val="023C4E17"/>
    <w:rsid w:val="025629EF"/>
    <w:rsid w:val="029C6F37"/>
    <w:rsid w:val="02A1111E"/>
    <w:rsid w:val="03563CB7"/>
    <w:rsid w:val="03A32C74"/>
    <w:rsid w:val="03C1570F"/>
    <w:rsid w:val="03DA2695"/>
    <w:rsid w:val="04133956"/>
    <w:rsid w:val="04194CE4"/>
    <w:rsid w:val="042F62B6"/>
    <w:rsid w:val="045A77D7"/>
    <w:rsid w:val="045F6B9B"/>
    <w:rsid w:val="04836EC1"/>
    <w:rsid w:val="049251C3"/>
    <w:rsid w:val="049D5915"/>
    <w:rsid w:val="04A561F4"/>
    <w:rsid w:val="04CF70C9"/>
    <w:rsid w:val="04DF5F2E"/>
    <w:rsid w:val="04E0642F"/>
    <w:rsid w:val="04F04544"/>
    <w:rsid w:val="04F419D9"/>
    <w:rsid w:val="05063013"/>
    <w:rsid w:val="051200B1"/>
    <w:rsid w:val="051554AC"/>
    <w:rsid w:val="05237557"/>
    <w:rsid w:val="05340028"/>
    <w:rsid w:val="053F69CD"/>
    <w:rsid w:val="054A15F9"/>
    <w:rsid w:val="055406CA"/>
    <w:rsid w:val="05597A8E"/>
    <w:rsid w:val="05803F6B"/>
    <w:rsid w:val="0580501B"/>
    <w:rsid w:val="05AC4352"/>
    <w:rsid w:val="05CA098C"/>
    <w:rsid w:val="05D62DEC"/>
    <w:rsid w:val="05EF0E73"/>
    <w:rsid w:val="06147E59"/>
    <w:rsid w:val="0619721E"/>
    <w:rsid w:val="063B3638"/>
    <w:rsid w:val="065E2E82"/>
    <w:rsid w:val="067B3A34"/>
    <w:rsid w:val="067F4BD4"/>
    <w:rsid w:val="06AD62E4"/>
    <w:rsid w:val="06E45A7E"/>
    <w:rsid w:val="06EB6E0C"/>
    <w:rsid w:val="06EF05CB"/>
    <w:rsid w:val="07076FBF"/>
    <w:rsid w:val="073841B1"/>
    <w:rsid w:val="07533B82"/>
    <w:rsid w:val="07577FFE"/>
    <w:rsid w:val="07691ADF"/>
    <w:rsid w:val="077E37DC"/>
    <w:rsid w:val="07966D78"/>
    <w:rsid w:val="07A1571D"/>
    <w:rsid w:val="07B2792A"/>
    <w:rsid w:val="07BD6BB5"/>
    <w:rsid w:val="07BE62CF"/>
    <w:rsid w:val="07C03DF5"/>
    <w:rsid w:val="07DE24CD"/>
    <w:rsid w:val="07E26536"/>
    <w:rsid w:val="07EF6488"/>
    <w:rsid w:val="07F67816"/>
    <w:rsid w:val="07FB4E2D"/>
    <w:rsid w:val="087D3A94"/>
    <w:rsid w:val="088842BD"/>
    <w:rsid w:val="08AB6853"/>
    <w:rsid w:val="08D631A4"/>
    <w:rsid w:val="08DA3F17"/>
    <w:rsid w:val="09273EAF"/>
    <w:rsid w:val="093A7BD7"/>
    <w:rsid w:val="097F1A8E"/>
    <w:rsid w:val="09846C27"/>
    <w:rsid w:val="09992B4F"/>
    <w:rsid w:val="09A432A2"/>
    <w:rsid w:val="09C556F2"/>
    <w:rsid w:val="09EF451D"/>
    <w:rsid w:val="0A053D41"/>
    <w:rsid w:val="0A272508"/>
    <w:rsid w:val="0A5E7891"/>
    <w:rsid w:val="0A92134D"/>
    <w:rsid w:val="0AE941D3"/>
    <w:rsid w:val="0B0B35D9"/>
    <w:rsid w:val="0B1B1342"/>
    <w:rsid w:val="0B2B3C7B"/>
    <w:rsid w:val="0B832C7E"/>
    <w:rsid w:val="0BA15DAE"/>
    <w:rsid w:val="0C006EB6"/>
    <w:rsid w:val="0C197F77"/>
    <w:rsid w:val="0C1C1816"/>
    <w:rsid w:val="0C1E10EA"/>
    <w:rsid w:val="0C37664F"/>
    <w:rsid w:val="0C4A1EDF"/>
    <w:rsid w:val="0C566AD6"/>
    <w:rsid w:val="0C5D0644"/>
    <w:rsid w:val="0C70789D"/>
    <w:rsid w:val="0C7158E4"/>
    <w:rsid w:val="0CC9374C"/>
    <w:rsid w:val="0CE7423B"/>
    <w:rsid w:val="0CEA0444"/>
    <w:rsid w:val="0D004C93"/>
    <w:rsid w:val="0D063E2D"/>
    <w:rsid w:val="0D1F511A"/>
    <w:rsid w:val="0D466B4A"/>
    <w:rsid w:val="0D4E3017"/>
    <w:rsid w:val="0D605732"/>
    <w:rsid w:val="0D871776"/>
    <w:rsid w:val="0D8B27AF"/>
    <w:rsid w:val="0D9E2E2F"/>
    <w:rsid w:val="0DB717F6"/>
    <w:rsid w:val="0DC43F13"/>
    <w:rsid w:val="0DC80DEC"/>
    <w:rsid w:val="0E1053AA"/>
    <w:rsid w:val="0E214EC1"/>
    <w:rsid w:val="0E417312"/>
    <w:rsid w:val="0E582F4D"/>
    <w:rsid w:val="0E813BB2"/>
    <w:rsid w:val="0EDB7766"/>
    <w:rsid w:val="0EF3685E"/>
    <w:rsid w:val="0EFB5712"/>
    <w:rsid w:val="0F3C4A69"/>
    <w:rsid w:val="0F4A0448"/>
    <w:rsid w:val="0F580DB7"/>
    <w:rsid w:val="0F7672BB"/>
    <w:rsid w:val="0F7D7666"/>
    <w:rsid w:val="0F9D2C6D"/>
    <w:rsid w:val="0FB12275"/>
    <w:rsid w:val="0FBA71B1"/>
    <w:rsid w:val="0FD348E1"/>
    <w:rsid w:val="0FE268D2"/>
    <w:rsid w:val="0FE4089C"/>
    <w:rsid w:val="0FE4264A"/>
    <w:rsid w:val="100920B1"/>
    <w:rsid w:val="10233173"/>
    <w:rsid w:val="10256733"/>
    <w:rsid w:val="10505F32"/>
    <w:rsid w:val="10645539"/>
    <w:rsid w:val="10B47866"/>
    <w:rsid w:val="10D426BF"/>
    <w:rsid w:val="10E32902"/>
    <w:rsid w:val="10E607D4"/>
    <w:rsid w:val="10F82BC8"/>
    <w:rsid w:val="114C494B"/>
    <w:rsid w:val="11965BC6"/>
    <w:rsid w:val="11B5429E"/>
    <w:rsid w:val="11E84674"/>
    <w:rsid w:val="121951D3"/>
    <w:rsid w:val="1228305C"/>
    <w:rsid w:val="12463148"/>
    <w:rsid w:val="12485B3A"/>
    <w:rsid w:val="125E66E4"/>
    <w:rsid w:val="1296679D"/>
    <w:rsid w:val="12C1522B"/>
    <w:rsid w:val="12C86253"/>
    <w:rsid w:val="12C92986"/>
    <w:rsid w:val="12D746E8"/>
    <w:rsid w:val="12E0359D"/>
    <w:rsid w:val="12EF1A32"/>
    <w:rsid w:val="13250FB0"/>
    <w:rsid w:val="132F0080"/>
    <w:rsid w:val="13412F29"/>
    <w:rsid w:val="1360023A"/>
    <w:rsid w:val="13873A19"/>
    <w:rsid w:val="13912AE9"/>
    <w:rsid w:val="13D12EE6"/>
    <w:rsid w:val="13E9022F"/>
    <w:rsid w:val="140C2170"/>
    <w:rsid w:val="1424570B"/>
    <w:rsid w:val="14661880"/>
    <w:rsid w:val="14951D9C"/>
    <w:rsid w:val="149A59CD"/>
    <w:rsid w:val="14AF1479"/>
    <w:rsid w:val="14C50C9C"/>
    <w:rsid w:val="1534197E"/>
    <w:rsid w:val="157D50D3"/>
    <w:rsid w:val="15A20FDE"/>
    <w:rsid w:val="15B036FB"/>
    <w:rsid w:val="15B64A89"/>
    <w:rsid w:val="15BD5E17"/>
    <w:rsid w:val="160457F4"/>
    <w:rsid w:val="1651030E"/>
    <w:rsid w:val="16551BAC"/>
    <w:rsid w:val="165A5414"/>
    <w:rsid w:val="166444E5"/>
    <w:rsid w:val="16842491"/>
    <w:rsid w:val="16963CDE"/>
    <w:rsid w:val="16B8213B"/>
    <w:rsid w:val="16D51CFA"/>
    <w:rsid w:val="16DB47A7"/>
    <w:rsid w:val="17033CFE"/>
    <w:rsid w:val="172F4AF3"/>
    <w:rsid w:val="173E1020"/>
    <w:rsid w:val="174165D4"/>
    <w:rsid w:val="176B5EB8"/>
    <w:rsid w:val="17742506"/>
    <w:rsid w:val="17B2302E"/>
    <w:rsid w:val="17D631C0"/>
    <w:rsid w:val="180D6FB0"/>
    <w:rsid w:val="182A0E16"/>
    <w:rsid w:val="182B52BA"/>
    <w:rsid w:val="18441ED8"/>
    <w:rsid w:val="18534811"/>
    <w:rsid w:val="18574301"/>
    <w:rsid w:val="18980476"/>
    <w:rsid w:val="189F7A56"/>
    <w:rsid w:val="18CF62D0"/>
    <w:rsid w:val="18D47700"/>
    <w:rsid w:val="18F97167"/>
    <w:rsid w:val="19063631"/>
    <w:rsid w:val="1910625E"/>
    <w:rsid w:val="19265A82"/>
    <w:rsid w:val="19573038"/>
    <w:rsid w:val="196547FC"/>
    <w:rsid w:val="1986319A"/>
    <w:rsid w:val="19A1335A"/>
    <w:rsid w:val="19AA220F"/>
    <w:rsid w:val="19AC425B"/>
    <w:rsid w:val="19B94B48"/>
    <w:rsid w:val="19C00A2E"/>
    <w:rsid w:val="19C10B67"/>
    <w:rsid w:val="1A420699"/>
    <w:rsid w:val="1A654388"/>
    <w:rsid w:val="1A8C7B66"/>
    <w:rsid w:val="1AB25BC6"/>
    <w:rsid w:val="1AC437A4"/>
    <w:rsid w:val="1AD27C6F"/>
    <w:rsid w:val="1AD804B9"/>
    <w:rsid w:val="1B041DF3"/>
    <w:rsid w:val="1B0A58AC"/>
    <w:rsid w:val="1B226512"/>
    <w:rsid w:val="1B486006"/>
    <w:rsid w:val="1B487F31"/>
    <w:rsid w:val="1B727505"/>
    <w:rsid w:val="1B8D2C3F"/>
    <w:rsid w:val="1B9A62B3"/>
    <w:rsid w:val="1BBD01E0"/>
    <w:rsid w:val="1BCC5197"/>
    <w:rsid w:val="1BEF2AA3"/>
    <w:rsid w:val="1C26250D"/>
    <w:rsid w:val="1C381D54"/>
    <w:rsid w:val="1C4032FE"/>
    <w:rsid w:val="1C4640A3"/>
    <w:rsid w:val="1C4701E9"/>
    <w:rsid w:val="1C4921B3"/>
    <w:rsid w:val="1C580648"/>
    <w:rsid w:val="1C597F1C"/>
    <w:rsid w:val="1C6E7E6B"/>
    <w:rsid w:val="1C760ACE"/>
    <w:rsid w:val="1C7865F4"/>
    <w:rsid w:val="1C7A236C"/>
    <w:rsid w:val="1C890801"/>
    <w:rsid w:val="1C940F54"/>
    <w:rsid w:val="1C9B0535"/>
    <w:rsid w:val="1CC21F65"/>
    <w:rsid w:val="1CCA5A6F"/>
    <w:rsid w:val="1CFC7225"/>
    <w:rsid w:val="1D075FA3"/>
    <w:rsid w:val="1D126A49"/>
    <w:rsid w:val="1D1E53EE"/>
    <w:rsid w:val="1D277562"/>
    <w:rsid w:val="1D4B5AB7"/>
    <w:rsid w:val="1D774AFE"/>
    <w:rsid w:val="1D8970E4"/>
    <w:rsid w:val="1DA86E9A"/>
    <w:rsid w:val="1DB418AE"/>
    <w:rsid w:val="1DB45D52"/>
    <w:rsid w:val="1E0C793C"/>
    <w:rsid w:val="1E1660C5"/>
    <w:rsid w:val="1E256308"/>
    <w:rsid w:val="1E4A3FC0"/>
    <w:rsid w:val="1E9A422F"/>
    <w:rsid w:val="1F0B3750"/>
    <w:rsid w:val="1F7312F5"/>
    <w:rsid w:val="1F9A6D80"/>
    <w:rsid w:val="1FB63935"/>
    <w:rsid w:val="1FE972D1"/>
    <w:rsid w:val="20144886"/>
    <w:rsid w:val="20166850"/>
    <w:rsid w:val="202645B9"/>
    <w:rsid w:val="20370574"/>
    <w:rsid w:val="208539D6"/>
    <w:rsid w:val="208D63E6"/>
    <w:rsid w:val="20DA0F73"/>
    <w:rsid w:val="20EC135F"/>
    <w:rsid w:val="212C3E51"/>
    <w:rsid w:val="21AB2FC8"/>
    <w:rsid w:val="21B54AF8"/>
    <w:rsid w:val="21F506E7"/>
    <w:rsid w:val="220152DE"/>
    <w:rsid w:val="220A23E4"/>
    <w:rsid w:val="22535C73"/>
    <w:rsid w:val="225418B2"/>
    <w:rsid w:val="227B299A"/>
    <w:rsid w:val="22873A35"/>
    <w:rsid w:val="229677D4"/>
    <w:rsid w:val="22B83BEE"/>
    <w:rsid w:val="22F4274D"/>
    <w:rsid w:val="231D1CA3"/>
    <w:rsid w:val="231F3C6E"/>
    <w:rsid w:val="23203542"/>
    <w:rsid w:val="23401AC0"/>
    <w:rsid w:val="2345397D"/>
    <w:rsid w:val="23492A98"/>
    <w:rsid w:val="234E00AF"/>
    <w:rsid w:val="235E279D"/>
    <w:rsid w:val="23751ADF"/>
    <w:rsid w:val="23A8180C"/>
    <w:rsid w:val="23BA5744"/>
    <w:rsid w:val="23D74548"/>
    <w:rsid w:val="23D81E02"/>
    <w:rsid w:val="23E25F14"/>
    <w:rsid w:val="246758CC"/>
    <w:rsid w:val="24682759"/>
    <w:rsid w:val="24FD2909"/>
    <w:rsid w:val="25070E5D"/>
    <w:rsid w:val="251E2A7D"/>
    <w:rsid w:val="253A0F98"/>
    <w:rsid w:val="25407ECB"/>
    <w:rsid w:val="255143B7"/>
    <w:rsid w:val="255231DD"/>
    <w:rsid w:val="26086C3B"/>
    <w:rsid w:val="26345C82"/>
    <w:rsid w:val="26435994"/>
    <w:rsid w:val="26445799"/>
    <w:rsid w:val="264B2FCC"/>
    <w:rsid w:val="2666570F"/>
    <w:rsid w:val="266D2F42"/>
    <w:rsid w:val="26C23719"/>
    <w:rsid w:val="26C54B2C"/>
    <w:rsid w:val="26D66D39"/>
    <w:rsid w:val="26D87CD0"/>
    <w:rsid w:val="26DC3C24"/>
    <w:rsid w:val="26F13248"/>
    <w:rsid w:val="270218DC"/>
    <w:rsid w:val="27074D51"/>
    <w:rsid w:val="271B474C"/>
    <w:rsid w:val="273D2914"/>
    <w:rsid w:val="27554102"/>
    <w:rsid w:val="27A97FAA"/>
    <w:rsid w:val="27B16E5E"/>
    <w:rsid w:val="27D019DA"/>
    <w:rsid w:val="28011B94"/>
    <w:rsid w:val="281778A7"/>
    <w:rsid w:val="28180C8B"/>
    <w:rsid w:val="28302479"/>
    <w:rsid w:val="2858552C"/>
    <w:rsid w:val="28836A4D"/>
    <w:rsid w:val="288528F2"/>
    <w:rsid w:val="28AA222B"/>
    <w:rsid w:val="290872A8"/>
    <w:rsid w:val="29475CCC"/>
    <w:rsid w:val="294A57BC"/>
    <w:rsid w:val="29514455"/>
    <w:rsid w:val="296138D0"/>
    <w:rsid w:val="2973086F"/>
    <w:rsid w:val="29761A09"/>
    <w:rsid w:val="29915199"/>
    <w:rsid w:val="29BC2FD3"/>
    <w:rsid w:val="29D70599"/>
    <w:rsid w:val="29FF2103"/>
    <w:rsid w:val="2A007C29"/>
    <w:rsid w:val="2A047719"/>
    <w:rsid w:val="2A107EF5"/>
    <w:rsid w:val="2A351FC9"/>
    <w:rsid w:val="2A3D0E7D"/>
    <w:rsid w:val="2A4E6BE6"/>
    <w:rsid w:val="2A600C3A"/>
    <w:rsid w:val="2A6308E4"/>
    <w:rsid w:val="2A6F54DA"/>
    <w:rsid w:val="2A777C44"/>
    <w:rsid w:val="2A781EB5"/>
    <w:rsid w:val="2AA8279A"/>
    <w:rsid w:val="2AAD6003"/>
    <w:rsid w:val="2AB033FD"/>
    <w:rsid w:val="2AB66624"/>
    <w:rsid w:val="2ACF5F79"/>
    <w:rsid w:val="2AE43028"/>
    <w:rsid w:val="2AFC6642"/>
    <w:rsid w:val="2AFE23BA"/>
    <w:rsid w:val="2B8D373E"/>
    <w:rsid w:val="2BAB6067"/>
    <w:rsid w:val="2BFF288E"/>
    <w:rsid w:val="2C0E487F"/>
    <w:rsid w:val="2C8763E0"/>
    <w:rsid w:val="2C9A602A"/>
    <w:rsid w:val="2C9C1E8B"/>
    <w:rsid w:val="2CC9360B"/>
    <w:rsid w:val="2CCC2E1D"/>
    <w:rsid w:val="2CDC497D"/>
    <w:rsid w:val="2D053ED4"/>
    <w:rsid w:val="2D727090"/>
    <w:rsid w:val="2D7B23E8"/>
    <w:rsid w:val="2DAB6E61"/>
    <w:rsid w:val="2DB31B82"/>
    <w:rsid w:val="2DCC49F2"/>
    <w:rsid w:val="2DD85145"/>
    <w:rsid w:val="2DF13A47"/>
    <w:rsid w:val="2E50117F"/>
    <w:rsid w:val="2E570595"/>
    <w:rsid w:val="2E7E4D3A"/>
    <w:rsid w:val="2EC1207D"/>
    <w:rsid w:val="2EE35699"/>
    <w:rsid w:val="2EEB534C"/>
    <w:rsid w:val="2EFA733D"/>
    <w:rsid w:val="2F234AE5"/>
    <w:rsid w:val="2F522CD5"/>
    <w:rsid w:val="2F7215C9"/>
    <w:rsid w:val="2F77273B"/>
    <w:rsid w:val="2F9D630E"/>
    <w:rsid w:val="2FB219C5"/>
    <w:rsid w:val="2FB32EEE"/>
    <w:rsid w:val="2FC811E9"/>
    <w:rsid w:val="2FCF4325"/>
    <w:rsid w:val="2FEF49C8"/>
    <w:rsid w:val="2FF7387C"/>
    <w:rsid w:val="30247D84"/>
    <w:rsid w:val="30A532D8"/>
    <w:rsid w:val="311F308B"/>
    <w:rsid w:val="313905F0"/>
    <w:rsid w:val="318B24CE"/>
    <w:rsid w:val="31B934DF"/>
    <w:rsid w:val="31F300EE"/>
    <w:rsid w:val="32160058"/>
    <w:rsid w:val="32236110"/>
    <w:rsid w:val="324E7BDE"/>
    <w:rsid w:val="32621481"/>
    <w:rsid w:val="32836488"/>
    <w:rsid w:val="32BB0F9B"/>
    <w:rsid w:val="32C24615"/>
    <w:rsid w:val="32E93950"/>
    <w:rsid w:val="331472F4"/>
    <w:rsid w:val="332350B4"/>
    <w:rsid w:val="333D0CF3"/>
    <w:rsid w:val="334868C9"/>
    <w:rsid w:val="33723946"/>
    <w:rsid w:val="338E676E"/>
    <w:rsid w:val="33C91787"/>
    <w:rsid w:val="33CB2044"/>
    <w:rsid w:val="34126ED7"/>
    <w:rsid w:val="34311A53"/>
    <w:rsid w:val="343D21A6"/>
    <w:rsid w:val="346D35C4"/>
    <w:rsid w:val="348002E4"/>
    <w:rsid w:val="348854FB"/>
    <w:rsid w:val="34885E1A"/>
    <w:rsid w:val="3491429F"/>
    <w:rsid w:val="349F749A"/>
    <w:rsid w:val="34C04B85"/>
    <w:rsid w:val="34D523DE"/>
    <w:rsid w:val="35326D7C"/>
    <w:rsid w:val="357C4F4F"/>
    <w:rsid w:val="35D46B3A"/>
    <w:rsid w:val="35D6794B"/>
    <w:rsid w:val="35E6686D"/>
    <w:rsid w:val="35F9034E"/>
    <w:rsid w:val="35FA1FB3"/>
    <w:rsid w:val="361E7731"/>
    <w:rsid w:val="36392CA2"/>
    <w:rsid w:val="365256CD"/>
    <w:rsid w:val="36981915"/>
    <w:rsid w:val="36A55DE0"/>
    <w:rsid w:val="36A71B58"/>
    <w:rsid w:val="36B204FD"/>
    <w:rsid w:val="36C24BE4"/>
    <w:rsid w:val="37125937"/>
    <w:rsid w:val="37166CDE"/>
    <w:rsid w:val="373E2860"/>
    <w:rsid w:val="37491867"/>
    <w:rsid w:val="376B527C"/>
    <w:rsid w:val="37863F7C"/>
    <w:rsid w:val="37FC5ED4"/>
    <w:rsid w:val="382316B2"/>
    <w:rsid w:val="3845787B"/>
    <w:rsid w:val="385B52F0"/>
    <w:rsid w:val="38694C0F"/>
    <w:rsid w:val="388624A7"/>
    <w:rsid w:val="38912AC0"/>
    <w:rsid w:val="389D1465"/>
    <w:rsid w:val="38AD5420"/>
    <w:rsid w:val="38C033A5"/>
    <w:rsid w:val="38E01351"/>
    <w:rsid w:val="390A65B9"/>
    <w:rsid w:val="39186D3D"/>
    <w:rsid w:val="393D67A4"/>
    <w:rsid w:val="3949339B"/>
    <w:rsid w:val="39513FFD"/>
    <w:rsid w:val="395E022D"/>
    <w:rsid w:val="397A79F8"/>
    <w:rsid w:val="39A64349"/>
    <w:rsid w:val="39CB0253"/>
    <w:rsid w:val="39DA0497"/>
    <w:rsid w:val="39F23A32"/>
    <w:rsid w:val="3A2B7F6D"/>
    <w:rsid w:val="3A5C487D"/>
    <w:rsid w:val="3A80103E"/>
    <w:rsid w:val="3A971EE4"/>
    <w:rsid w:val="3AAA1C17"/>
    <w:rsid w:val="3AC56A51"/>
    <w:rsid w:val="3ADC4ACF"/>
    <w:rsid w:val="3B005CDB"/>
    <w:rsid w:val="3B051543"/>
    <w:rsid w:val="3B330023"/>
    <w:rsid w:val="3B3B4F65"/>
    <w:rsid w:val="3B521C75"/>
    <w:rsid w:val="3B602C1D"/>
    <w:rsid w:val="3B7D557D"/>
    <w:rsid w:val="3B7F4E52"/>
    <w:rsid w:val="3B815EBA"/>
    <w:rsid w:val="3B847D9C"/>
    <w:rsid w:val="3BB23479"/>
    <w:rsid w:val="3BB645EB"/>
    <w:rsid w:val="3BC27434"/>
    <w:rsid w:val="3BEB698B"/>
    <w:rsid w:val="3BFB7A0F"/>
    <w:rsid w:val="3BFE5692"/>
    <w:rsid w:val="3C1852A6"/>
    <w:rsid w:val="3C1B10AA"/>
    <w:rsid w:val="3C4657F0"/>
    <w:rsid w:val="3C756255"/>
    <w:rsid w:val="3C87592E"/>
    <w:rsid w:val="3CEC4769"/>
    <w:rsid w:val="3D0A2E41"/>
    <w:rsid w:val="3D0A362A"/>
    <w:rsid w:val="3D141F11"/>
    <w:rsid w:val="3D1B504E"/>
    <w:rsid w:val="3D346110"/>
    <w:rsid w:val="3D4445A5"/>
    <w:rsid w:val="3D87623F"/>
    <w:rsid w:val="3DC04496"/>
    <w:rsid w:val="3DF92782"/>
    <w:rsid w:val="3E265A58"/>
    <w:rsid w:val="3E304B29"/>
    <w:rsid w:val="3E546A69"/>
    <w:rsid w:val="3E5E1A3B"/>
    <w:rsid w:val="3E5F540E"/>
    <w:rsid w:val="3E7C38CA"/>
    <w:rsid w:val="3EC90A0B"/>
    <w:rsid w:val="3ECF65C7"/>
    <w:rsid w:val="3EE37DED"/>
    <w:rsid w:val="3EF21DDE"/>
    <w:rsid w:val="3F067638"/>
    <w:rsid w:val="3F161F71"/>
    <w:rsid w:val="3F1955BD"/>
    <w:rsid w:val="3F43088C"/>
    <w:rsid w:val="3F830AAD"/>
    <w:rsid w:val="3FC714BD"/>
    <w:rsid w:val="3FF3732F"/>
    <w:rsid w:val="3FF676AC"/>
    <w:rsid w:val="4021297B"/>
    <w:rsid w:val="404C3770"/>
    <w:rsid w:val="40640ABA"/>
    <w:rsid w:val="40682A4E"/>
    <w:rsid w:val="40882271"/>
    <w:rsid w:val="4090365D"/>
    <w:rsid w:val="40A54A34"/>
    <w:rsid w:val="40B25CC9"/>
    <w:rsid w:val="41106DE5"/>
    <w:rsid w:val="4125649B"/>
    <w:rsid w:val="41263FC1"/>
    <w:rsid w:val="417411D1"/>
    <w:rsid w:val="41764F49"/>
    <w:rsid w:val="419D0727"/>
    <w:rsid w:val="41EE2D31"/>
    <w:rsid w:val="4203190B"/>
    <w:rsid w:val="42097B6B"/>
    <w:rsid w:val="421F2EEA"/>
    <w:rsid w:val="422A188F"/>
    <w:rsid w:val="424B0183"/>
    <w:rsid w:val="42867639"/>
    <w:rsid w:val="42867CC7"/>
    <w:rsid w:val="42984A4B"/>
    <w:rsid w:val="42B23D5F"/>
    <w:rsid w:val="42FC2D82"/>
    <w:rsid w:val="42FC76D0"/>
    <w:rsid w:val="43560B8E"/>
    <w:rsid w:val="435C6399"/>
    <w:rsid w:val="437454B8"/>
    <w:rsid w:val="43761230"/>
    <w:rsid w:val="43884ABF"/>
    <w:rsid w:val="43993170"/>
    <w:rsid w:val="43A038A3"/>
    <w:rsid w:val="43B6787E"/>
    <w:rsid w:val="43B9111D"/>
    <w:rsid w:val="43C679A6"/>
    <w:rsid w:val="43CC2BFE"/>
    <w:rsid w:val="43FA3C0F"/>
    <w:rsid w:val="440E76BA"/>
    <w:rsid w:val="441822E7"/>
    <w:rsid w:val="44305883"/>
    <w:rsid w:val="44384737"/>
    <w:rsid w:val="44635CDA"/>
    <w:rsid w:val="44692B43"/>
    <w:rsid w:val="449F6565"/>
    <w:rsid w:val="44C15625"/>
    <w:rsid w:val="44E346A3"/>
    <w:rsid w:val="44EB79FC"/>
    <w:rsid w:val="44ED5522"/>
    <w:rsid w:val="453942C3"/>
    <w:rsid w:val="45CC15DB"/>
    <w:rsid w:val="45F4468E"/>
    <w:rsid w:val="45FB5A1D"/>
    <w:rsid w:val="46026DAB"/>
    <w:rsid w:val="46156402"/>
    <w:rsid w:val="461B1C1B"/>
    <w:rsid w:val="461D771E"/>
    <w:rsid w:val="467D0543"/>
    <w:rsid w:val="46C91677"/>
    <w:rsid w:val="46E841F3"/>
    <w:rsid w:val="46F24F9B"/>
    <w:rsid w:val="4714323A"/>
    <w:rsid w:val="473C009B"/>
    <w:rsid w:val="47B6609F"/>
    <w:rsid w:val="47BC5113"/>
    <w:rsid w:val="47DE1152"/>
    <w:rsid w:val="47EF7803"/>
    <w:rsid w:val="47FC3DA6"/>
    <w:rsid w:val="47FE35A2"/>
    <w:rsid w:val="480212E4"/>
    <w:rsid w:val="480C3F11"/>
    <w:rsid w:val="481E1E96"/>
    <w:rsid w:val="482958F4"/>
    <w:rsid w:val="483416BA"/>
    <w:rsid w:val="484418FD"/>
    <w:rsid w:val="484F3DFE"/>
    <w:rsid w:val="486F44A0"/>
    <w:rsid w:val="488C185F"/>
    <w:rsid w:val="489601A3"/>
    <w:rsid w:val="48A369AD"/>
    <w:rsid w:val="48AF350A"/>
    <w:rsid w:val="48B12D0A"/>
    <w:rsid w:val="48B14AB8"/>
    <w:rsid w:val="48C4659A"/>
    <w:rsid w:val="48E474DA"/>
    <w:rsid w:val="48EC5AF0"/>
    <w:rsid w:val="49170DBF"/>
    <w:rsid w:val="493F3E72"/>
    <w:rsid w:val="494366D5"/>
    <w:rsid w:val="49442815"/>
    <w:rsid w:val="4948541D"/>
    <w:rsid w:val="49663AF5"/>
    <w:rsid w:val="49D00F6E"/>
    <w:rsid w:val="49DE2AAF"/>
    <w:rsid w:val="4A143551"/>
    <w:rsid w:val="4A2F3EE7"/>
    <w:rsid w:val="4A5751EC"/>
    <w:rsid w:val="4AB1010A"/>
    <w:rsid w:val="4AB12B4E"/>
    <w:rsid w:val="4ABA5EA6"/>
    <w:rsid w:val="4AC00FE3"/>
    <w:rsid w:val="4AE178D7"/>
    <w:rsid w:val="4AEE78FE"/>
    <w:rsid w:val="4AFA62A3"/>
    <w:rsid w:val="4B076C12"/>
    <w:rsid w:val="4B090BDC"/>
    <w:rsid w:val="4B216D0F"/>
    <w:rsid w:val="4B2C6678"/>
    <w:rsid w:val="4B3317B5"/>
    <w:rsid w:val="4B375749"/>
    <w:rsid w:val="4B4E65EF"/>
    <w:rsid w:val="4B553060"/>
    <w:rsid w:val="4B971D44"/>
    <w:rsid w:val="4BC64091"/>
    <w:rsid w:val="4BD5637C"/>
    <w:rsid w:val="4BE156B5"/>
    <w:rsid w:val="4BEE2DF9"/>
    <w:rsid w:val="4C231829"/>
    <w:rsid w:val="4C2630C7"/>
    <w:rsid w:val="4C4A1A57"/>
    <w:rsid w:val="4C5B7215"/>
    <w:rsid w:val="4C6D519A"/>
    <w:rsid w:val="4C72455F"/>
    <w:rsid w:val="4C871DB8"/>
    <w:rsid w:val="4CA95EFF"/>
    <w:rsid w:val="4CC76658"/>
    <w:rsid w:val="4D073334"/>
    <w:rsid w:val="4D693BB4"/>
    <w:rsid w:val="4D785BA5"/>
    <w:rsid w:val="4D854889"/>
    <w:rsid w:val="4DA42E3E"/>
    <w:rsid w:val="4DAB1AD6"/>
    <w:rsid w:val="4DAE15C6"/>
    <w:rsid w:val="4DB82445"/>
    <w:rsid w:val="4DBC3274"/>
    <w:rsid w:val="4E192EE4"/>
    <w:rsid w:val="4E23222F"/>
    <w:rsid w:val="4E6408B5"/>
    <w:rsid w:val="4E8C60C7"/>
    <w:rsid w:val="4E8F0339"/>
    <w:rsid w:val="4E962786"/>
    <w:rsid w:val="4E9C3B15"/>
    <w:rsid w:val="4EAA6232"/>
    <w:rsid w:val="4ED17C62"/>
    <w:rsid w:val="4F0A6CD0"/>
    <w:rsid w:val="4F0C2A48"/>
    <w:rsid w:val="4F0F42E7"/>
    <w:rsid w:val="4F38383D"/>
    <w:rsid w:val="4F6208BA"/>
    <w:rsid w:val="4F6262BD"/>
    <w:rsid w:val="4F6C1739"/>
    <w:rsid w:val="4F700FBB"/>
    <w:rsid w:val="4F8124FC"/>
    <w:rsid w:val="4F8B338D"/>
    <w:rsid w:val="4F8B7E11"/>
    <w:rsid w:val="4F9D7B44"/>
    <w:rsid w:val="4FA15887"/>
    <w:rsid w:val="50025BF9"/>
    <w:rsid w:val="50334005"/>
    <w:rsid w:val="50416722"/>
    <w:rsid w:val="50836D3A"/>
    <w:rsid w:val="508A659A"/>
    <w:rsid w:val="50C335DB"/>
    <w:rsid w:val="50D17AA6"/>
    <w:rsid w:val="50D82199"/>
    <w:rsid w:val="50EF43D0"/>
    <w:rsid w:val="510D4856"/>
    <w:rsid w:val="5119144D"/>
    <w:rsid w:val="51363DAD"/>
    <w:rsid w:val="51450494"/>
    <w:rsid w:val="514566E6"/>
    <w:rsid w:val="514C1822"/>
    <w:rsid w:val="515F79A9"/>
    <w:rsid w:val="51730B5D"/>
    <w:rsid w:val="519A07DF"/>
    <w:rsid w:val="519F5DF6"/>
    <w:rsid w:val="51B00003"/>
    <w:rsid w:val="51C70EA9"/>
    <w:rsid w:val="51C770FB"/>
    <w:rsid w:val="51E952C3"/>
    <w:rsid w:val="52140592"/>
    <w:rsid w:val="524655F8"/>
    <w:rsid w:val="52481FEA"/>
    <w:rsid w:val="52994AFB"/>
    <w:rsid w:val="52B92EE7"/>
    <w:rsid w:val="52E06644"/>
    <w:rsid w:val="53087C89"/>
    <w:rsid w:val="531D3476"/>
    <w:rsid w:val="533D189A"/>
    <w:rsid w:val="5344250C"/>
    <w:rsid w:val="536C7F5A"/>
    <w:rsid w:val="53B44A54"/>
    <w:rsid w:val="53B4545D"/>
    <w:rsid w:val="53CE651E"/>
    <w:rsid w:val="53FD0BB2"/>
    <w:rsid w:val="5408644E"/>
    <w:rsid w:val="541128AF"/>
    <w:rsid w:val="544D1B39"/>
    <w:rsid w:val="545A6004"/>
    <w:rsid w:val="54751090"/>
    <w:rsid w:val="54921C42"/>
    <w:rsid w:val="549459BA"/>
    <w:rsid w:val="54B24092"/>
    <w:rsid w:val="54CA02A1"/>
    <w:rsid w:val="54D23AB2"/>
    <w:rsid w:val="54D268E7"/>
    <w:rsid w:val="54F50104"/>
    <w:rsid w:val="55197C6D"/>
    <w:rsid w:val="551E1FFA"/>
    <w:rsid w:val="55230AEC"/>
    <w:rsid w:val="552C5538"/>
    <w:rsid w:val="553D7E00"/>
    <w:rsid w:val="55852C7F"/>
    <w:rsid w:val="559E0611"/>
    <w:rsid w:val="55AF412E"/>
    <w:rsid w:val="55C93441"/>
    <w:rsid w:val="55FA7A9F"/>
    <w:rsid w:val="56187F25"/>
    <w:rsid w:val="56244B1C"/>
    <w:rsid w:val="570861EB"/>
    <w:rsid w:val="571337F7"/>
    <w:rsid w:val="572052E3"/>
    <w:rsid w:val="57407733"/>
    <w:rsid w:val="577861BC"/>
    <w:rsid w:val="57AD0911"/>
    <w:rsid w:val="57B83C39"/>
    <w:rsid w:val="58346B6C"/>
    <w:rsid w:val="585D2567"/>
    <w:rsid w:val="58627B7D"/>
    <w:rsid w:val="5866141B"/>
    <w:rsid w:val="58721AF7"/>
    <w:rsid w:val="58AE4B70"/>
    <w:rsid w:val="58B32187"/>
    <w:rsid w:val="59383C44"/>
    <w:rsid w:val="5954396A"/>
    <w:rsid w:val="595C281E"/>
    <w:rsid w:val="59973856"/>
    <w:rsid w:val="59A0095D"/>
    <w:rsid w:val="59B61F2F"/>
    <w:rsid w:val="59C12681"/>
    <w:rsid w:val="59C3464B"/>
    <w:rsid w:val="59E817EF"/>
    <w:rsid w:val="5A094754"/>
    <w:rsid w:val="5A0C1B4F"/>
    <w:rsid w:val="5A1924BD"/>
    <w:rsid w:val="5A1A070F"/>
    <w:rsid w:val="5A317807"/>
    <w:rsid w:val="5A9F29C3"/>
    <w:rsid w:val="5ADF3707"/>
    <w:rsid w:val="5AFC6067"/>
    <w:rsid w:val="5B2A3182"/>
    <w:rsid w:val="5B3E6680"/>
    <w:rsid w:val="5B4F263B"/>
    <w:rsid w:val="5B5419FF"/>
    <w:rsid w:val="5B5478AD"/>
    <w:rsid w:val="5B6F4E81"/>
    <w:rsid w:val="5B745BFD"/>
    <w:rsid w:val="5BEE20A9"/>
    <w:rsid w:val="5C0105BA"/>
    <w:rsid w:val="5C3E7FB9"/>
    <w:rsid w:val="5C89392A"/>
    <w:rsid w:val="5C904CB9"/>
    <w:rsid w:val="5CA8355D"/>
    <w:rsid w:val="5CF27722"/>
    <w:rsid w:val="5D184CAE"/>
    <w:rsid w:val="5D3A2E77"/>
    <w:rsid w:val="5D535CE6"/>
    <w:rsid w:val="5D5A52C7"/>
    <w:rsid w:val="5D7B04C7"/>
    <w:rsid w:val="5D8C33CC"/>
    <w:rsid w:val="5DA86032"/>
    <w:rsid w:val="5E146A5A"/>
    <w:rsid w:val="5E160396"/>
    <w:rsid w:val="5E1611EE"/>
    <w:rsid w:val="5E287173"/>
    <w:rsid w:val="5E290FA3"/>
    <w:rsid w:val="5E2D4789"/>
    <w:rsid w:val="5E5835B4"/>
    <w:rsid w:val="5E587A58"/>
    <w:rsid w:val="5ED90201"/>
    <w:rsid w:val="5F2D1E70"/>
    <w:rsid w:val="5F313E05"/>
    <w:rsid w:val="5F3C589A"/>
    <w:rsid w:val="5F64242D"/>
    <w:rsid w:val="5FC27515"/>
    <w:rsid w:val="5FC92290"/>
    <w:rsid w:val="5FD96977"/>
    <w:rsid w:val="5FE07D05"/>
    <w:rsid w:val="5FF87563"/>
    <w:rsid w:val="6010496B"/>
    <w:rsid w:val="6014454E"/>
    <w:rsid w:val="60213E7A"/>
    <w:rsid w:val="604D1DE8"/>
    <w:rsid w:val="607D125C"/>
    <w:rsid w:val="60C411AA"/>
    <w:rsid w:val="60E43825"/>
    <w:rsid w:val="6138591F"/>
    <w:rsid w:val="61646DF3"/>
    <w:rsid w:val="61677FB2"/>
    <w:rsid w:val="61A44D62"/>
    <w:rsid w:val="61B256D1"/>
    <w:rsid w:val="61BF3FDC"/>
    <w:rsid w:val="61E97A82"/>
    <w:rsid w:val="61F950AE"/>
    <w:rsid w:val="620B6B90"/>
    <w:rsid w:val="621837A3"/>
    <w:rsid w:val="622163B3"/>
    <w:rsid w:val="6247406C"/>
    <w:rsid w:val="62516C98"/>
    <w:rsid w:val="62775FD3"/>
    <w:rsid w:val="627D7A8D"/>
    <w:rsid w:val="628B3176"/>
    <w:rsid w:val="62CF1BD7"/>
    <w:rsid w:val="62DF1370"/>
    <w:rsid w:val="62FB6C04"/>
    <w:rsid w:val="631416F0"/>
    <w:rsid w:val="63273E9D"/>
    <w:rsid w:val="63475B16"/>
    <w:rsid w:val="63514A76"/>
    <w:rsid w:val="637846F9"/>
    <w:rsid w:val="63822E81"/>
    <w:rsid w:val="638C50BD"/>
    <w:rsid w:val="63DD630A"/>
    <w:rsid w:val="640B10C9"/>
    <w:rsid w:val="641B57B0"/>
    <w:rsid w:val="641D3D2F"/>
    <w:rsid w:val="641F7AB2"/>
    <w:rsid w:val="64406A89"/>
    <w:rsid w:val="644840CB"/>
    <w:rsid w:val="646131F0"/>
    <w:rsid w:val="64790728"/>
    <w:rsid w:val="64A15589"/>
    <w:rsid w:val="64B179C3"/>
    <w:rsid w:val="64C73242"/>
    <w:rsid w:val="64CC310D"/>
    <w:rsid w:val="64CF1141"/>
    <w:rsid w:val="65143FAD"/>
    <w:rsid w:val="651D7306"/>
    <w:rsid w:val="65764C68"/>
    <w:rsid w:val="658729D1"/>
    <w:rsid w:val="65A417D5"/>
    <w:rsid w:val="65B8702E"/>
    <w:rsid w:val="65BD2897"/>
    <w:rsid w:val="65D33883"/>
    <w:rsid w:val="660F66C6"/>
    <w:rsid w:val="663D12E2"/>
    <w:rsid w:val="6659611C"/>
    <w:rsid w:val="66CB4B3F"/>
    <w:rsid w:val="66DB1226"/>
    <w:rsid w:val="66EA1469"/>
    <w:rsid w:val="66F347C2"/>
    <w:rsid w:val="673D5A3D"/>
    <w:rsid w:val="674D37A6"/>
    <w:rsid w:val="676A25AA"/>
    <w:rsid w:val="677A4468"/>
    <w:rsid w:val="679A2E90"/>
    <w:rsid w:val="67CF6087"/>
    <w:rsid w:val="67D143D7"/>
    <w:rsid w:val="68016A6B"/>
    <w:rsid w:val="68272BD0"/>
    <w:rsid w:val="683A6742"/>
    <w:rsid w:val="685968A7"/>
    <w:rsid w:val="68784853"/>
    <w:rsid w:val="687A681D"/>
    <w:rsid w:val="68845376"/>
    <w:rsid w:val="68C61A62"/>
    <w:rsid w:val="68D67EF7"/>
    <w:rsid w:val="691B0000"/>
    <w:rsid w:val="6931512E"/>
    <w:rsid w:val="6942558D"/>
    <w:rsid w:val="69605A13"/>
    <w:rsid w:val="69967687"/>
    <w:rsid w:val="69A17079"/>
    <w:rsid w:val="69AC2A06"/>
    <w:rsid w:val="69B30239"/>
    <w:rsid w:val="69F018BB"/>
    <w:rsid w:val="6A0E1913"/>
    <w:rsid w:val="6A0E7DD9"/>
    <w:rsid w:val="6A1D6857"/>
    <w:rsid w:val="6A3A44B6"/>
    <w:rsid w:val="6AA162E3"/>
    <w:rsid w:val="6AC252AA"/>
    <w:rsid w:val="6AD27A6A"/>
    <w:rsid w:val="6B17455E"/>
    <w:rsid w:val="6B347157"/>
    <w:rsid w:val="6B8579B3"/>
    <w:rsid w:val="6BA52DFB"/>
    <w:rsid w:val="6BB43DF4"/>
    <w:rsid w:val="6BB87D88"/>
    <w:rsid w:val="6BCC55E2"/>
    <w:rsid w:val="6BD5340E"/>
    <w:rsid w:val="6BEE37AA"/>
    <w:rsid w:val="6BF07522"/>
    <w:rsid w:val="6BF47D6A"/>
    <w:rsid w:val="6BFB5EC7"/>
    <w:rsid w:val="6C022DB1"/>
    <w:rsid w:val="6C0B435C"/>
    <w:rsid w:val="6C16685D"/>
    <w:rsid w:val="6C1E4825"/>
    <w:rsid w:val="6C353187"/>
    <w:rsid w:val="6C3C2767"/>
    <w:rsid w:val="6C57134F"/>
    <w:rsid w:val="6C6379E0"/>
    <w:rsid w:val="6C805E8D"/>
    <w:rsid w:val="6C8B0FF9"/>
    <w:rsid w:val="6C9E6F7E"/>
    <w:rsid w:val="6CA95923"/>
    <w:rsid w:val="6CB0280D"/>
    <w:rsid w:val="6CB542C8"/>
    <w:rsid w:val="6CC91B21"/>
    <w:rsid w:val="6CD40BF2"/>
    <w:rsid w:val="6CF05300"/>
    <w:rsid w:val="6CF63733"/>
    <w:rsid w:val="6D056FFD"/>
    <w:rsid w:val="6D396E13"/>
    <w:rsid w:val="6D4A4A10"/>
    <w:rsid w:val="6D5910F7"/>
    <w:rsid w:val="6D592EA5"/>
    <w:rsid w:val="6D9143ED"/>
    <w:rsid w:val="6DA00AD4"/>
    <w:rsid w:val="6DAD31F1"/>
    <w:rsid w:val="6DB225B5"/>
    <w:rsid w:val="6DC20A4A"/>
    <w:rsid w:val="6DCA3DA3"/>
    <w:rsid w:val="6DF37591"/>
    <w:rsid w:val="6DF41917"/>
    <w:rsid w:val="6E386F5E"/>
    <w:rsid w:val="6E5F098F"/>
    <w:rsid w:val="6E7F693B"/>
    <w:rsid w:val="6EAB14DE"/>
    <w:rsid w:val="6EF23CCB"/>
    <w:rsid w:val="6F4C2857"/>
    <w:rsid w:val="6F6872BA"/>
    <w:rsid w:val="6F6C47E7"/>
    <w:rsid w:val="6F8F5888"/>
    <w:rsid w:val="6F977CB5"/>
    <w:rsid w:val="6FDE3B35"/>
    <w:rsid w:val="6FF173C5"/>
    <w:rsid w:val="70261E96"/>
    <w:rsid w:val="703419A7"/>
    <w:rsid w:val="70567B70"/>
    <w:rsid w:val="706E310B"/>
    <w:rsid w:val="70922C0A"/>
    <w:rsid w:val="70AB3A18"/>
    <w:rsid w:val="70D0347E"/>
    <w:rsid w:val="70E433CD"/>
    <w:rsid w:val="70E46F2A"/>
    <w:rsid w:val="70EC5DDE"/>
    <w:rsid w:val="70F84783"/>
    <w:rsid w:val="713559D7"/>
    <w:rsid w:val="713779A1"/>
    <w:rsid w:val="71522F1D"/>
    <w:rsid w:val="71573B9F"/>
    <w:rsid w:val="71681909"/>
    <w:rsid w:val="71754026"/>
    <w:rsid w:val="71D451F0"/>
    <w:rsid w:val="71DC5E53"/>
    <w:rsid w:val="72262B22"/>
    <w:rsid w:val="723B0DCB"/>
    <w:rsid w:val="724F4877"/>
    <w:rsid w:val="72520E64"/>
    <w:rsid w:val="725D3437"/>
    <w:rsid w:val="726245AA"/>
    <w:rsid w:val="7278201F"/>
    <w:rsid w:val="72D5042B"/>
    <w:rsid w:val="72D8486C"/>
    <w:rsid w:val="72FF44EF"/>
    <w:rsid w:val="7305053F"/>
    <w:rsid w:val="73243F55"/>
    <w:rsid w:val="7386076C"/>
    <w:rsid w:val="73A155A6"/>
    <w:rsid w:val="73AD7AA7"/>
    <w:rsid w:val="73B01345"/>
    <w:rsid w:val="73F456D6"/>
    <w:rsid w:val="743B1556"/>
    <w:rsid w:val="74512B28"/>
    <w:rsid w:val="74A7099A"/>
    <w:rsid w:val="74C0380A"/>
    <w:rsid w:val="74C94DB4"/>
    <w:rsid w:val="74D252CE"/>
    <w:rsid w:val="74F636CF"/>
    <w:rsid w:val="75263FB5"/>
    <w:rsid w:val="752C0E9F"/>
    <w:rsid w:val="75305C13"/>
    <w:rsid w:val="753D30AC"/>
    <w:rsid w:val="75410DEE"/>
    <w:rsid w:val="755E71DA"/>
    <w:rsid w:val="756B7C19"/>
    <w:rsid w:val="758D7B90"/>
    <w:rsid w:val="75AA6994"/>
    <w:rsid w:val="75C537CD"/>
    <w:rsid w:val="75DA08FB"/>
    <w:rsid w:val="75F45E61"/>
    <w:rsid w:val="75F776FF"/>
    <w:rsid w:val="7657019E"/>
    <w:rsid w:val="76642679"/>
    <w:rsid w:val="767825EE"/>
    <w:rsid w:val="768076F4"/>
    <w:rsid w:val="76A24420"/>
    <w:rsid w:val="76AC783A"/>
    <w:rsid w:val="76B33626"/>
    <w:rsid w:val="76B4739E"/>
    <w:rsid w:val="76CD220E"/>
    <w:rsid w:val="770C2D36"/>
    <w:rsid w:val="77115FC5"/>
    <w:rsid w:val="77160F3E"/>
    <w:rsid w:val="771F2095"/>
    <w:rsid w:val="77277F01"/>
    <w:rsid w:val="7734108B"/>
    <w:rsid w:val="775546DD"/>
    <w:rsid w:val="776B1380"/>
    <w:rsid w:val="77B358A8"/>
    <w:rsid w:val="77BD2282"/>
    <w:rsid w:val="77EB4BA3"/>
    <w:rsid w:val="783339D9"/>
    <w:rsid w:val="784120E7"/>
    <w:rsid w:val="78454752"/>
    <w:rsid w:val="7863107C"/>
    <w:rsid w:val="78650950"/>
    <w:rsid w:val="786B6DDA"/>
    <w:rsid w:val="78745037"/>
    <w:rsid w:val="787A7FBD"/>
    <w:rsid w:val="787E1A12"/>
    <w:rsid w:val="78866ABF"/>
    <w:rsid w:val="78895C63"/>
    <w:rsid w:val="78CA27CE"/>
    <w:rsid w:val="78F83BBC"/>
    <w:rsid w:val="79053EE1"/>
    <w:rsid w:val="79226841"/>
    <w:rsid w:val="793F5645"/>
    <w:rsid w:val="79711576"/>
    <w:rsid w:val="799A6D1F"/>
    <w:rsid w:val="79A100AE"/>
    <w:rsid w:val="79A4523C"/>
    <w:rsid w:val="79C8156A"/>
    <w:rsid w:val="79CD2C51"/>
    <w:rsid w:val="79D63CA4"/>
    <w:rsid w:val="79F202CD"/>
    <w:rsid w:val="79F24465"/>
    <w:rsid w:val="79FF6B82"/>
    <w:rsid w:val="7A000746"/>
    <w:rsid w:val="7A7C01D3"/>
    <w:rsid w:val="7A85637E"/>
    <w:rsid w:val="7A8F0CDC"/>
    <w:rsid w:val="7AA31C03"/>
    <w:rsid w:val="7AAA4D40"/>
    <w:rsid w:val="7ADF4BE2"/>
    <w:rsid w:val="7AEF6BF7"/>
    <w:rsid w:val="7B160627"/>
    <w:rsid w:val="7B220D7A"/>
    <w:rsid w:val="7B2C1BF9"/>
    <w:rsid w:val="7B3665D4"/>
    <w:rsid w:val="7B4A02D1"/>
    <w:rsid w:val="7B6770D5"/>
    <w:rsid w:val="7B8574D7"/>
    <w:rsid w:val="7BDA3403"/>
    <w:rsid w:val="7BDE0BC1"/>
    <w:rsid w:val="7BF070CA"/>
    <w:rsid w:val="7BFA3AA5"/>
    <w:rsid w:val="7C1232A4"/>
    <w:rsid w:val="7C176405"/>
    <w:rsid w:val="7C320365"/>
    <w:rsid w:val="7C39281F"/>
    <w:rsid w:val="7C6F7FEF"/>
    <w:rsid w:val="7C825207"/>
    <w:rsid w:val="7CA659DB"/>
    <w:rsid w:val="7CAD0B17"/>
    <w:rsid w:val="7CCB71F0"/>
    <w:rsid w:val="7CF404F4"/>
    <w:rsid w:val="7CF76237"/>
    <w:rsid w:val="7CFD1A9F"/>
    <w:rsid w:val="7D04197F"/>
    <w:rsid w:val="7D1B0177"/>
    <w:rsid w:val="7D1E420E"/>
    <w:rsid w:val="7D250FF6"/>
    <w:rsid w:val="7D382AD7"/>
    <w:rsid w:val="7D3923AB"/>
    <w:rsid w:val="7D537911"/>
    <w:rsid w:val="7D553689"/>
    <w:rsid w:val="7D7F47D7"/>
    <w:rsid w:val="7D9046C1"/>
    <w:rsid w:val="7DBA7990"/>
    <w:rsid w:val="7DFF53A3"/>
    <w:rsid w:val="7E156974"/>
    <w:rsid w:val="7E1E7F1F"/>
    <w:rsid w:val="7E3C4202"/>
    <w:rsid w:val="7E6D0694"/>
    <w:rsid w:val="7E74499D"/>
    <w:rsid w:val="7E834226"/>
    <w:rsid w:val="7EBF4B32"/>
    <w:rsid w:val="7EC55F8A"/>
    <w:rsid w:val="7ED405DD"/>
    <w:rsid w:val="7F0A3FFF"/>
    <w:rsid w:val="7F3E639F"/>
    <w:rsid w:val="7F902A52"/>
    <w:rsid w:val="7F9E16B9"/>
    <w:rsid w:val="7FAA57E2"/>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C79D40"/>
  <w15:docId w15:val="{02DDA8F2-60ED-4458-AAFE-60BACB8EE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pPr>
    <w:rPr>
      <w:rFonts w:ascii="Nirmala UI Semilight" w:eastAsia="Nirmala UI Semilight" w:hAnsi="Nirmala UI Semilight" w:cs="Nirmala UI Semilight"/>
      <w:sz w:val="22"/>
      <w:szCs w:val="22"/>
      <w:lang w:val="pt-PT" w:eastAsia="en-US"/>
    </w:rPr>
  </w:style>
  <w:style w:type="paragraph" w:styleId="Ttulo1">
    <w:name w:val="heading 1"/>
    <w:basedOn w:val="Normal"/>
    <w:uiPriority w:val="9"/>
    <w:qFormat/>
    <w:pPr>
      <w:spacing w:before="265"/>
      <w:ind w:left="99"/>
      <w:jc w:val="center"/>
      <w:outlineLvl w:val="0"/>
    </w:pPr>
    <w:rPr>
      <w:sz w:val="28"/>
      <w:szCs w:val="28"/>
    </w:rPr>
  </w:style>
  <w:style w:type="paragraph" w:styleId="Ttulo2">
    <w:name w:val="heading 2"/>
    <w:basedOn w:val="Normal"/>
    <w:uiPriority w:val="9"/>
    <w:unhideWhenUsed/>
    <w:qFormat/>
    <w:pPr>
      <w:ind w:left="145"/>
      <w:outlineLvl w:val="1"/>
    </w:pPr>
    <w:rPr>
      <w:sz w:val="21"/>
      <w:szCs w:val="21"/>
    </w:rPr>
  </w:style>
  <w:style w:type="paragraph" w:styleId="Ttulo3">
    <w:name w:val="heading 3"/>
    <w:basedOn w:val="Normal"/>
    <w:uiPriority w:val="9"/>
    <w:unhideWhenUsed/>
    <w:qFormat/>
    <w:pPr>
      <w:ind w:left="563" w:hanging="420"/>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fim">
    <w:name w:val="endnote reference"/>
    <w:qFormat/>
    <w:rPr>
      <w:vertAlign w:val="superscript"/>
    </w:rPr>
  </w:style>
  <w:style w:type="character" w:styleId="nfase">
    <w:name w:val="Emphasis"/>
    <w:basedOn w:val="Fontepargpadro"/>
    <w:qFormat/>
    <w:rPr>
      <w:i/>
      <w:iCs/>
    </w:rPr>
  </w:style>
  <w:style w:type="character" w:styleId="Refdenotaderodap">
    <w:name w:val="footnote reference"/>
    <w:rPr>
      <w:vertAlign w:val="superscript"/>
    </w:rPr>
  </w:style>
  <w:style w:type="character" w:styleId="Hyperlink">
    <w:name w:val="Hyperlink"/>
    <w:basedOn w:val="Fontepargpadro"/>
    <w:uiPriority w:val="99"/>
    <w:unhideWhenUsed/>
    <w:qFormat/>
    <w:rPr>
      <w:color w:val="0000FF"/>
      <w:u w:val="single"/>
    </w:rPr>
  </w:style>
  <w:style w:type="paragraph" w:styleId="Lista">
    <w:name w:val="List"/>
    <w:basedOn w:val="Corpodetexto"/>
    <w:rPr>
      <w:rFonts w:cs="Lucida Sans"/>
    </w:rPr>
  </w:style>
  <w:style w:type="paragraph" w:styleId="Corpodetexto">
    <w:name w:val="Body Text"/>
    <w:basedOn w:val="Normal"/>
    <w:uiPriority w:val="1"/>
    <w:qFormat/>
    <w:rPr>
      <w:sz w:val="20"/>
      <w:szCs w:val="20"/>
    </w:rPr>
  </w:style>
  <w:style w:type="paragraph" w:styleId="Ttulo">
    <w:name w:val="Title"/>
    <w:basedOn w:val="Normal"/>
    <w:next w:val="Normal"/>
    <w:uiPriority w:val="10"/>
    <w:qFormat/>
    <w:pPr>
      <w:ind w:left="100"/>
      <w:jc w:val="center"/>
    </w:pPr>
    <w:rPr>
      <w:rFonts w:ascii="Cambria" w:eastAsia="Cambria" w:hAnsi="Cambria" w:cs="Cambria"/>
      <w:b/>
      <w:bCs/>
      <w:sz w:val="36"/>
      <w:szCs w:val="36"/>
    </w:rPr>
  </w:style>
  <w:style w:type="paragraph" w:styleId="NormalWeb">
    <w:name w:val="Normal (Web)"/>
    <w:basedOn w:val="Normal"/>
    <w:uiPriority w:val="99"/>
    <w:unhideWhenUsed/>
    <w:qFormat/>
    <w:pPr>
      <w:spacing w:beforeAutospacing="1" w:afterAutospacing="1"/>
    </w:pPr>
    <w:rPr>
      <w:rFonts w:ascii="Times New Roman" w:eastAsia="Times New Roman" w:hAnsi="Times New Roman" w:cs="Times New Roman"/>
      <w:sz w:val="24"/>
      <w:szCs w:val="24"/>
    </w:rPr>
  </w:style>
  <w:style w:type="paragraph" w:styleId="Cabealho">
    <w:name w:val="header"/>
    <w:basedOn w:val="Normal"/>
    <w:uiPriority w:val="99"/>
    <w:unhideWhenUsed/>
    <w:qFormat/>
    <w:pPr>
      <w:tabs>
        <w:tab w:val="center" w:pos="4252"/>
        <w:tab w:val="right" w:pos="8504"/>
      </w:tabs>
    </w:p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Normal"/>
    <w:qFormat/>
    <w:pPr>
      <w:suppressLineNumbers/>
      <w:spacing w:before="120" w:after="120"/>
    </w:pPr>
    <w:rPr>
      <w:rFonts w:cs="Lucida Sans"/>
      <w:i/>
      <w:iCs/>
      <w:sz w:val="24"/>
      <w:szCs w:val="24"/>
    </w:rPr>
  </w:style>
  <w:style w:type="paragraph" w:styleId="Textodebalo">
    <w:name w:val="Balloon Text"/>
    <w:basedOn w:val="Normal"/>
    <w:link w:val="TextodebaloChar"/>
    <w:uiPriority w:val="99"/>
    <w:semiHidden/>
    <w:unhideWhenUsed/>
    <w:qFormat/>
    <w:rPr>
      <w:rFonts w:ascii="Segoe UI" w:hAnsi="Segoe UI" w:cs="Segoe UI"/>
      <w:sz w:val="18"/>
      <w:szCs w:val="18"/>
    </w:rPr>
  </w:style>
  <w:style w:type="paragraph" w:styleId="Textodenotaderodap">
    <w:name w:val="footnote text"/>
    <w:basedOn w:val="Normal"/>
    <w:uiPriority w:val="99"/>
    <w:semiHidden/>
    <w:unhideWhenUsed/>
    <w:qFormat/>
    <w:pPr>
      <w:snapToGrid w:val="0"/>
    </w:pPr>
    <w:rPr>
      <w:sz w:val="18"/>
      <w:szCs w:val="18"/>
    </w:rPr>
  </w:style>
  <w:style w:type="paragraph" w:styleId="Recuodecorpodetexto">
    <w:name w:val="Body Text Indent"/>
    <w:basedOn w:val="Normal"/>
    <w:pPr>
      <w:spacing w:after="120" w:line="276" w:lineRule="auto"/>
      <w:ind w:left="283"/>
    </w:pPr>
    <w:rPr>
      <w:rFonts w:asciiTheme="minorHAnsi" w:eastAsiaTheme="minorHAnsi" w:hAnsiTheme="minorHAnsi" w:cstheme="minorBidi"/>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te1">
    <w:name w:val="Forte1"/>
    <w:qFormat/>
    <w:rPr>
      <w:b/>
      <w:bCs/>
    </w:rPr>
  </w:style>
  <w:style w:type="character" w:customStyle="1" w:styleId="Caracteresdenotaderodapuser">
    <w:name w:val="Caracteres de nota de rodapé (user)"/>
    <w:basedOn w:val="Fontepargpadro"/>
    <w:uiPriority w:val="99"/>
    <w:semiHidden/>
    <w:unhideWhenUsed/>
    <w:qFormat/>
    <w:rPr>
      <w:vertAlign w:val="superscript"/>
    </w:rPr>
  </w:style>
  <w:style w:type="character" w:customStyle="1" w:styleId="Caracteresdenotaderodap">
    <w:name w:val="Caracteres de nota de rodapé"/>
    <w:qFormat/>
    <w:rPr>
      <w:vertAlign w:val="superscript"/>
    </w:rPr>
  </w:style>
  <w:style w:type="character" w:customStyle="1" w:styleId="Hyperlink1">
    <w:name w:val="Hyperlink1"/>
    <w:basedOn w:val="Fontepargpadro"/>
    <w:qFormat/>
    <w:rPr>
      <w:color w:val="0000FF"/>
      <w:u w:val="single"/>
    </w:rPr>
  </w:style>
  <w:style w:type="character" w:customStyle="1" w:styleId="whitespace-normal">
    <w:name w:val="whitespace-normal"/>
    <w:basedOn w:val="Fontepargpadro"/>
    <w:qFormat/>
  </w:style>
  <w:style w:type="character" w:customStyle="1" w:styleId="Caracteresdenotadefim">
    <w:name w:val="Caracteres de nota de fim"/>
    <w:qFormat/>
    <w:rPr>
      <w:vertAlign w:val="superscript"/>
    </w:rPr>
  </w:style>
  <w:style w:type="character" w:customStyle="1" w:styleId="Caracteresdenotadefimuser">
    <w:name w:val="Caracteres de nota de fim (user)"/>
    <w:qFormat/>
  </w:style>
  <w:style w:type="character" w:customStyle="1" w:styleId="TextodebaloChar">
    <w:name w:val="Texto de balão Char"/>
    <w:basedOn w:val="Fontepargpadro"/>
    <w:link w:val="Textodebalo"/>
    <w:uiPriority w:val="99"/>
    <w:semiHidden/>
    <w:qFormat/>
    <w:rPr>
      <w:rFonts w:ascii="Segoe UI" w:eastAsia="Nirmala UI Semilight" w:hAnsi="Segoe UI" w:cs="Segoe UI"/>
      <w:sz w:val="18"/>
      <w:szCs w:val="18"/>
      <w:lang w:val="pt-PT" w:eastAsia="en-US" w:bidi="ar-SA"/>
    </w:rPr>
  </w:style>
  <w:style w:type="paragraph" w:customStyle="1" w:styleId="Ttulo10">
    <w:name w:val="Título1"/>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
    <w:name w:val="Índice"/>
    <w:basedOn w:val="Normal"/>
    <w:qFormat/>
    <w:pPr>
      <w:suppressLineNumbers/>
    </w:pPr>
    <w:rPr>
      <w:rFonts w:cs="Lucida Sans"/>
    </w:rPr>
  </w:style>
  <w:style w:type="paragraph" w:customStyle="1" w:styleId="ndiceuser">
    <w:name w:val="Índice (user)"/>
    <w:basedOn w:val="Normal"/>
    <w:qFormat/>
    <w:pPr>
      <w:suppressLineNumbers/>
    </w:pPr>
    <w:rPr>
      <w:rFonts w:cs="Lucida Sans"/>
    </w:rPr>
  </w:style>
  <w:style w:type="paragraph" w:customStyle="1" w:styleId="Cabealhoerodapuser">
    <w:name w:val="Cabeçalho e rodapé (user)"/>
    <w:basedOn w:val="Normal"/>
    <w:qFormat/>
  </w:style>
  <w:style w:type="paragraph" w:customStyle="1" w:styleId="Cabealhoerodap">
    <w:name w:val="Cabeçalho e rodapé"/>
    <w:basedOn w:val="Normal"/>
    <w:qFormat/>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customStyle="1" w:styleId="Local">
    <w:name w:val="Local"/>
    <w:basedOn w:val="Normal"/>
    <w:autoRedefine/>
    <w:qFormat/>
    <w:pPr>
      <w:jc w:val="center"/>
    </w:pPr>
    <w:rPr>
      <w:rFonts w:ascii="Times New Roman" w:eastAsia="Times New Roman" w:hAnsi="Times New Roman" w:cs="Times New Roman"/>
      <w:b/>
      <w:sz w:val="28"/>
      <w:szCs w:val="28"/>
    </w:rPr>
  </w:style>
  <w:style w:type="paragraph" w:customStyle="1" w:styleId="Contedodoquadrouser">
    <w:name w:val="Conteúdo do quadro (user)"/>
    <w:basedOn w:val="Normal"/>
    <w:qFormat/>
  </w:style>
  <w:style w:type="paragraph" w:styleId="SemEspaamento">
    <w:name w:val="No Spacing"/>
    <w:qFormat/>
    <w:pPr>
      <w:suppressAutoHyphens/>
      <w:ind w:left="2268"/>
      <w:jc w:val="both"/>
    </w:pPr>
    <w:rPr>
      <w:rFonts w:ascii="Arial" w:eastAsiaTheme="minorHAnsi" w:hAnsi="Arial" w:cstheme="minorBidi"/>
      <w:szCs w:val="22"/>
      <w:lang w:eastAsia="en-US"/>
    </w:rPr>
  </w:style>
  <w:style w:type="paragraph" w:customStyle="1" w:styleId="CorpodeTexto0">
    <w:name w:val="Corpo de Texto"/>
    <w:basedOn w:val="Normal"/>
    <w:qFormat/>
    <w:pPr>
      <w:widowControl/>
      <w:spacing w:line="360" w:lineRule="auto"/>
      <w:jc w:val="both"/>
    </w:pPr>
    <w:rPr>
      <w:b/>
      <w:bCs/>
      <w:color w:val="000000"/>
      <w:sz w:val="24"/>
      <w:szCs w:val="24"/>
      <w:shd w:val="clear" w:color="auto" w:fill="FFFFFF"/>
      <w:lang w:val="pt-BR"/>
    </w:rPr>
  </w:style>
  <w:style w:type="paragraph" w:customStyle="1" w:styleId="footnotedescription">
    <w:name w:val="footnote description"/>
    <w:next w:val="Normal"/>
    <w:qFormat/>
    <w:pPr>
      <w:suppressAutoHyphens/>
      <w:spacing w:after="1" w:line="262" w:lineRule="auto"/>
      <w:ind w:left="14" w:right="25"/>
    </w:pPr>
    <w:rPr>
      <w:rFonts w:eastAsia="Times New Roman"/>
      <w:color w:val="000000"/>
      <w:kern w:val="2"/>
      <w:szCs w:val="24"/>
      <w14:ligatures w14:val="standardContextual"/>
    </w:rPr>
  </w:style>
  <w:style w:type="paragraph" w:customStyle="1" w:styleId="Textbody">
    <w:name w:val="Text body"/>
    <w:basedOn w:val="Normal"/>
    <w:qFormat/>
    <w:pPr>
      <w:widowControl/>
      <w:spacing w:after="140" w:line="276" w:lineRule="auto"/>
      <w:textAlignment w:val="baseline"/>
    </w:pPr>
    <w:rPr>
      <w:rFonts w:ascii="Liberation Serif" w:eastAsia="NSimSun" w:hAnsi="Liberation Serif" w:cs="Lucida Sans"/>
      <w:kern w:val="2"/>
      <w:sz w:val="24"/>
      <w:szCs w:val="24"/>
      <w:lang w:val="pt-BR" w:eastAsia="zh-CN" w:bidi="hi-IN"/>
    </w:rPr>
  </w:style>
  <w:style w:type="paragraph" w:customStyle="1" w:styleId="Standard">
    <w:name w:val="Standard"/>
    <w:qFormat/>
    <w:pPr>
      <w:suppressAutoHyphens/>
      <w:textAlignment w:val="baseline"/>
    </w:pPr>
    <w:rPr>
      <w:rFonts w:ascii="Liberation Serif" w:eastAsia="NSimSun" w:hAnsi="Liberation Serif" w:cs="Lucida Sans"/>
      <w:kern w:val="2"/>
      <w:sz w:val="24"/>
      <w:szCs w:val="24"/>
      <w:lang w:eastAsia="zh-CN" w:bidi="hi-IN"/>
    </w:rPr>
  </w:style>
  <w:style w:type="paragraph" w:customStyle="1" w:styleId="Contedodoquadro">
    <w:name w:val="Conteúdo do quadro"/>
    <w:basedOn w:val="Normal"/>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RodapChar">
    <w:name w:val="Rodapé Char"/>
    <w:basedOn w:val="Fontepargpadro"/>
    <w:link w:val="Rodap"/>
    <w:uiPriority w:val="99"/>
    <w:rsid w:val="00761183"/>
    <w:rPr>
      <w:rFonts w:ascii="Nirmala UI Semilight" w:eastAsia="Nirmala UI Semilight" w:hAnsi="Nirmala UI Semilight" w:cs="Nirmala UI Semilight"/>
      <w:sz w:val="22"/>
      <w:szCs w:val="22"/>
      <w:lang w:val="pt-PT" w:eastAsia="en-US"/>
    </w:rPr>
  </w:style>
  <w:style w:type="character" w:styleId="MenoPendente">
    <w:name w:val="Unresolved Mention"/>
    <w:basedOn w:val="Fontepargpadro"/>
    <w:uiPriority w:val="99"/>
    <w:semiHidden/>
    <w:unhideWhenUsed/>
    <w:rsid w:val="00E8635F"/>
    <w:rPr>
      <w:color w:val="605E5C"/>
      <w:shd w:val="clear" w:color="auto" w:fill="E1DFDD"/>
    </w:rPr>
  </w:style>
  <w:style w:type="paragraph" w:customStyle="1" w:styleId="paragraph">
    <w:name w:val="paragraph"/>
    <w:basedOn w:val="Normal"/>
    <w:rsid w:val="00D55E46"/>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D55E46"/>
  </w:style>
  <w:style w:type="character" w:customStyle="1" w:styleId="eop">
    <w:name w:val="eop"/>
    <w:basedOn w:val="Fontepargpadro"/>
    <w:rsid w:val="00D55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606003">
      <w:bodyDiv w:val="1"/>
      <w:marLeft w:val="0"/>
      <w:marRight w:val="0"/>
      <w:marTop w:val="0"/>
      <w:marBottom w:val="0"/>
      <w:divBdr>
        <w:top w:val="none" w:sz="0" w:space="0" w:color="auto"/>
        <w:left w:val="none" w:sz="0" w:space="0" w:color="auto"/>
        <w:bottom w:val="none" w:sz="0" w:space="0" w:color="auto"/>
        <w:right w:val="none" w:sz="0" w:space="0" w:color="auto"/>
      </w:divBdr>
      <w:divsChild>
        <w:div w:id="705908716">
          <w:marLeft w:val="0"/>
          <w:marRight w:val="0"/>
          <w:marTop w:val="0"/>
          <w:marBottom w:val="0"/>
          <w:divBdr>
            <w:top w:val="none" w:sz="0" w:space="0" w:color="auto"/>
            <w:left w:val="none" w:sz="0" w:space="0" w:color="auto"/>
            <w:bottom w:val="none" w:sz="0" w:space="0" w:color="auto"/>
            <w:right w:val="none" w:sz="0" w:space="0" w:color="auto"/>
          </w:divBdr>
        </w:div>
        <w:div w:id="515002526">
          <w:marLeft w:val="0"/>
          <w:marRight w:val="0"/>
          <w:marTop w:val="0"/>
          <w:marBottom w:val="0"/>
          <w:divBdr>
            <w:top w:val="none" w:sz="0" w:space="0" w:color="auto"/>
            <w:left w:val="none" w:sz="0" w:space="0" w:color="auto"/>
            <w:bottom w:val="none" w:sz="0" w:space="0" w:color="auto"/>
            <w:right w:val="none" w:sz="0" w:space="0" w:color="auto"/>
          </w:divBdr>
        </w:div>
        <w:div w:id="1550073482">
          <w:marLeft w:val="0"/>
          <w:marRight w:val="0"/>
          <w:marTop w:val="0"/>
          <w:marBottom w:val="0"/>
          <w:divBdr>
            <w:top w:val="none" w:sz="0" w:space="0" w:color="auto"/>
            <w:left w:val="none" w:sz="0" w:space="0" w:color="auto"/>
            <w:bottom w:val="none" w:sz="0" w:space="0" w:color="auto"/>
            <w:right w:val="none" w:sz="0" w:space="0" w:color="auto"/>
          </w:divBdr>
        </w:div>
        <w:div w:id="1599946782">
          <w:marLeft w:val="0"/>
          <w:marRight w:val="0"/>
          <w:marTop w:val="0"/>
          <w:marBottom w:val="0"/>
          <w:divBdr>
            <w:top w:val="none" w:sz="0" w:space="0" w:color="auto"/>
            <w:left w:val="none" w:sz="0" w:space="0" w:color="auto"/>
            <w:bottom w:val="none" w:sz="0" w:space="0" w:color="auto"/>
            <w:right w:val="none" w:sz="0" w:space="0" w:color="auto"/>
          </w:divBdr>
        </w:div>
        <w:div w:id="1527133138">
          <w:marLeft w:val="0"/>
          <w:marRight w:val="0"/>
          <w:marTop w:val="0"/>
          <w:marBottom w:val="0"/>
          <w:divBdr>
            <w:top w:val="none" w:sz="0" w:space="0" w:color="auto"/>
            <w:left w:val="none" w:sz="0" w:space="0" w:color="auto"/>
            <w:bottom w:val="none" w:sz="0" w:space="0" w:color="auto"/>
            <w:right w:val="none" w:sz="0" w:space="0" w:color="auto"/>
          </w:divBdr>
        </w:div>
        <w:div w:id="353727031">
          <w:marLeft w:val="0"/>
          <w:marRight w:val="0"/>
          <w:marTop w:val="0"/>
          <w:marBottom w:val="0"/>
          <w:divBdr>
            <w:top w:val="none" w:sz="0" w:space="0" w:color="auto"/>
            <w:left w:val="none" w:sz="0" w:space="0" w:color="auto"/>
            <w:bottom w:val="none" w:sz="0" w:space="0" w:color="auto"/>
            <w:right w:val="none" w:sz="0" w:space="0" w:color="auto"/>
          </w:divBdr>
        </w:div>
        <w:div w:id="1323193611">
          <w:marLeft w:val="0"/>
          <w:marRight w:val="0"/>
          <w:marTop w:val="0"/>
          <w:marBottom w:val="0"/>
          <w:divBdr>
            <w:top w:val="none" w:sz="0" w:space="0" w:color="auto"/>
            <w:left w:val="none" w:sz="0" w:space="0" w:color="auto"/>
            <w:bottom w:val="none" w:sz="0" w:space="0" w:color="auto"/>
            <w:right w:val="none" w:sz="0" w:space="0" w:color="auto"/>
          </w:divBdr>
        </w:div>
        <w:div w:id="852497895">
          <w:marLeft w:val="0"/>
          <w:marRight w:val="0"/>
          <w:marTop w:val="0"/>
          <w:marBottom w:val="0"/>
          <w:divBdr>
            <w:top w:val="none" w:sz="0" w:space="0" w:color="auto"/>
            <w:left w:val="none" w:sz="0" w:space="0" w:color="auto"/>
            <w:bottom w:val="none" w:sz="0" w:space="0" w:color="auto"/>
            <w:right w:val="none" w:sz="0" w:space="0" w:color="auto"/>
          </w:divBdr>
        </w:div>
        <w:div w:id="1566184676">
          <w:marLeft w:val="0"/>
          <w:marRight w:val="0"/>
          <w:marTop w:val="0"/>
          <w:marBottom w:val="0"/>
          <w:divBdr>
            <w:top w:val="none" w:sz="0" w:space="0" w:color="auto"/>
            <w:left w:val="none" w:sz="0" w:space="0" w:color="auto"/>
            <w:bottom w:val="none" w:sz="0" w:space="0" w:color="auto"/>
            <w:right w:val="none" w:sz="0" w:space="0" w:color="auto"/>
          </w:divBdr>
        </w:div>
        <w:div w:id="1946303765">
          <w:marLeft w:val="0"/>
          <w:marRight w:val="0"/>
          <w:marTop w:val="0"/>
          <w:marBottom w:val="0"/>
          <w:divBdr>
            <w:top w:val="none" w:sz="0" w:space="0" w:color="auto"/>
            <w:left w:val="none" w:sz="0" w:space="0" w:color="auto"/>
            <w:bottom w:val="none" w:sz="0" w:space="0" w:color="auto"/>
            <w:right w:val="none" w:sz="0" w:space="0" w:color="auto"/>
          </w:divBdr>
        </w:div>
        <w:div w:id="1687632206">
          <w:marLeft w:val="0"/>
          <w:marRight w:val="0"/>
          <w:marTop w:val="0"/>
          <w:marBottom w:val="0"/>
          <w:divBdr>
            <w:top w:val="none" w:sz="0" w:space="0" w:color="auto"/>
            <w:left w:val="none" w:sz="0" w:space="0" w:color="auto"/>
            <w:bottom w:val="none" w:sz="0" w:space="0" w:color="auto"/>
            <w:right w:val="none" w:sz="0" w:space="0" w:color="auto"/>
          </w:divBdr>
        </w:div>
        <w:div w:id="2136021151">
          <w:marLeft w:val="0"/>
          <w:marRight w:val="0"/>
          <w:marTop w:val="0"/>
          <w:marBottom w:val="0"/>
          <w:divBdr>
            <w:top w:val="none" w:sz="0" w:space="0" w:color="auto"/>
            <w:left w:val="none" w:sz="0" w:space="0" w:color="auto"/>
            <w:bottom w:val="none" w:sz="0" w:space="0" w:color="auto"/>
            <w:right w:val="none" w:sz="0" w:space="0" w:color="auto"/>
          </w:divBdr>
        </w:div>
        <w:div w:id="6862565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stj.jus.br/sites/portalp/Paginas/Comunicacao/Noticiasantigas/2019/O-empenho-da-Justica-para-evitar-os-danos-da-alienacao-parental.aspx" TargetMode="External"/><Relationship Id="rId21" Type="http://schemas.openxmlformats.org/officeDocument/2006/relationships/footer" Target="footer6.xml"/><Relationship Id="rId42" Type="http://schemas.openxmlformats.org/officeDocument/2006/relationships/hyperlink" Target="http://www.planalto.gov.br/ccivil_03/constituicao/constituicao.htm" TargetMode="External"/><Relationship Id="rId63" Type="http://schemas.openxmlformats.org/officeDocument/2006/relationships/hyperlink" Target="https://www.planalto.gov.br/ccivil_03/constituicao/emendas/emc/emc103.htm" TargetMode="External"/><Relationship Id="rId84" Type="http://schemas.openxmlformats.org/officeDocument/2006/relationships/hyperlink" Target="https://www.ohchr.org/en/instruments-mechanisms/instruments/basic-principles-rights-victims-crime-and-abuse-power" TargetMode="External"/><Relationship Id="rId138" Type="http://schemas.openxmlformats.org/officeDocument/2006/relationships/hyperlink" Target="https://editora.unifip.edu.br/repositoriounifip/article/view/5040" TargetMode="External"/><Relationship Id="rId159" Type="http://schemas.openxmlformats.org/officeDocument/2006/relationships/hyperlink" Target="https://www12.senado.leg.br/noticias/videos/2022/05/historias-do-brasil-escravidao-nunca-mais" TargetMode="External"/><Relationship Id="rId170" Type="http://schemas.openxmlformats.org/officeDocument/2006/relationships/footer" Target="footer18.xml"/><Relationship Id="rId191" Type="http://schemas.openxmlformats.org/officeDocument/2006/relationships/hyperlink" Target="https://www.planalto.gov.br/ccivil_03/constituicao/Emendas/ECR/quadro_ecr.htm" TargetMode="External"/><Relationship Id="rId205" Type="http://schemas.openxmlformats.org/officeDocument/2006/relationships/hyperlink" Target="https://www.planalto.gov.br/ccivil_03/constituicao/Emendas/ECR/quadro_ecr.htm" TargetMode="External"/><Relationship Id="rId107" Type="http://schemas.openxmlformats.org/officeDocument/2006/relationships/hyperlink" Target="https://tj-mg.jusbrasil.com.br/" TargetMode="External"/><Relationship Id="rId11" Type="http://schemas.openxmlformats.org/officeDocument/2006/relationships/header" Target="header2.xml"/><Relationship Id="rId32" Type="http://schemas.openxmlformats.org/officeDocument/2006/relationships/hyperlink" Target="http://books.scielo.org/" TargetMode="External"/><Relationship Id="rId53" Type="http://schemas.openxmlformats.org/officeDocument/2006/relationships/hyperlink" Target="https://doi.org/10.25248/reas.e14397.2023" TargetMode="External"/><Relationship Id="rId74" Type="http://schemas.openxmlformats.org/officeDocument/2006/relationships/hyperlink" Target="http://www.planalto.gov.br/ccivil_03/decreto-lei/Del2848.htm" TargetMode="External"/><Relationship Id="rId128" Type="http://schemas.openxmlformats.org/officeDocument/2006/relationships/hyperlink" Target="https://www.stj.jus.br/sites/portalp/Paginas/Comunicacao/Noticiasantigas/2019/O-empenho-da-Justica-para-evitar-os-danos-da-alienacao-parental.aspx" TargetMode="External"/><Relationship Id="rId149" Type="http://schemas.openxmlformats.org/officeDocument/2006/relationships/hyperlink" Target="https://www.planalto.gov.br/ccivil_03/leis/l8212cons.htm" TargetMode="External"/><Relationship Id="rId5" Type="http://schemas.openxmlformats.org/officeDocument/2006/relationships/settings" Target="settings.xml"/><Relationship Id="rId95" Type="http://schemas.openxmlformats.org/officeDocument/2006/relationships/footer" Target="footer10.xml"/><Relationship Id="rId160" Type="http://schemas.openxmlformats.org/officeDocument/2006/relationships/hyperlink" Target="https://jornal.usp.br/radio-usp/falta-de-acesso-a-internet-de-qualidade-no-meio-rural-exclui-pequenos-produtores/" TargetMode="External"/><Relationship Id="rId181" Type="http://schemas.openxmlformats.org/officeDocument/2006/relationships/hyperlink" Target="https://www2.camara.leg.br/legin/fed/lei/2026/lei-15383-9-abril-2026-798938-publicacaooriginal-178826-pl.html" TargetMode="External"/><Relationship Id="rId216" Type="http://schemas.openxmlformats.org/officeDocument/2006/relationships/fontTable" Target="fontTable.xml"/><Relationship Id="rId22" Type="http://schemas.openxmlformats.org/officeDocument/2006/relationships/footer" Target="footer7.xml"/><Relationship Id="rId43" Type="http://schemas.openxmlformats.org/officeDocument/2006/relationships/hyperlink" Target="https://legis.senado.leg.br/diarios/ver/109231?sequencia=237" TargetMode="External"/><Relationship Id="rId64" Type="http://schemas.openxmlformats.org/officeDocument/2006/relationships/hyperlink" Target="https://www.planalto.gov.br/ccivil_03/leis/1950-1969/L3807.htm" TargetMode="External"/><Relationship Id="rId118" Type="http://schemas.openxmlformats.org/officeDocument/2006/relationships/hyperlink" Target="https://www.stj.jus.br/sites/portalp/Paginas/Comunicacao/Noticiasantigas/2019/O-empenho-da-Justica-para-evitar-os-danos-da-alienacao-parental.aspx" TargetMode="External"/><Relationship Id="rId139" Type="http://schemas.openxmlformats.org/officeDocument/2006/relationships/hyperlink" Target="https://editora.unifip.edu.br/repositoriounifip/article/view/5040" TargetMode="External"/><Relationship Id="rId85" Type="http://schemas.openxmlformats.org/officeDocument/2006/relationships/hyperlink" Target="https://dcjri.ministeriopublico.pt//sites/default/files/decl-princjusticavitimas.pdf" TargetMode="External"/><Relationship Id="rId150" Type="http://schemas.openxmlformats.org/officeDocument/2006/relationships/hyperlink" Target="http://www.planalto.gov.br/ccivil_03/leis/l8213cons.htm" TargetMode="External"/><Relationship Id="rId171" Type="http://schemas.openxmlformats.org/officeDocument/2006/relationships/footer" Target="footer19.xml"/><Relationship Id="rId192" Type="http://schemas.openxmlformats.org/officeDocument/2006/relationships/hyperlink" Target="https://www.planalto.gov.br/ccivil_03/leis/2002/l10406compilada.htm" TargetMode="External"/><Relationship Id="rId206" Type="http://schemas.openxmlformats.org/officeDocument/2006/relationships/hyperlink" Target="https://www.planalto.gov.br/ccivil_03/leis/2003/l10.671.htm" TargetMode="External"/><Relationship Id="rId12" Type="http://schemas.openxmlformats.org/officeDocument/2006/relationships/footer" Target="footer2.xml"/><Relationship Id="rId33" Type="http://schemas.openxmlformats.org/officeDocument/2006/relationships/hyperlink" Target="https://www.jusbrasil.com.br/artigos/a-multiparentalidade-decorrente-da-filiacao-socioafetiva-analise-dos-criterios-para-seu-reconhecimento-no-ordenamento-juridico-brasileiro/534002375?utm_source=chatgpt.com" TargetMode="External"/><Relationship Id="rId108" Type="http://schemas.openxmlformats.org/officeDocument/2006/relationships/hyperlink" Target="https://www.planalto.gov.br/ccivil_03/leis/l8069.htm" TargetMode="External"/><Relationship Id="rId129" Type="http://schemas.openxmlformats.org/officeDocument/2006/relationships/hyperlink" Target="https://www.stj.jus.br/sites/portalp/Paginas/Comunicacao/Noticiasantigas/2019/O-empenho-da-Justica-para-evitar-os-danos-da-alienacao-parental.aspx" TargetMode="External"/><Relationship Id="rId54" Type="http://schemas.openxmlformats.org/officeDocument/2006/relationships/hyperlink" Target="https://periodicos.newsciencepubl.com/arace/article/view/1875" TargetMode="External"/><Relationship Id="rId75" Type="http://schemas.openxmlformats.org/officeDocument/2006/relationships/hyperlink" Target="http://www.planalto.gov.br/ccivil_03/decreto-lei/Del2848.htm" TargetMode="External"/><Relationship Id="rId96" Type="http://schemas.openxmlformats.org/officeDocument/2006/relationships/header" Target="header11.xml"/><Relationship Id="rId140" Type="http://schemas.openxmlformats.org/officeDocument/2006/relationships/hyperlink" Target="https://periodicorease.pro.br/rease/article/view/14266" TargetMode="External"/><Relationship Id="rId161" Type="http://schemas.openxmlformats.org/officeDocument/2006/relationships/header" Target="header15.xml"/><Relationship Id="rId182" Type="http://schemas.openxmlformats.org/officeDocument/2006/relationships/hyperlink" Target="https://www.planalto.gov.br/" TargetMode="External"/><Relationship Id="rId217" Type="http://schemas.openxmlformats.org/officeDocument/2006/relationships/theme" Target="theme/theme1.xml"/><Relationship Id="rId6" Type="http://schemas.openxmlformats.org/officeDocument/2006/relationships/webSettings" Target="webSettings.xml"/><Relationship Id="rId23" Type="http://schemas.openxmlformats.org/officeDocument/2006/relationships/header" Target="header8.xml"/><Relationship Id="rId119" Type="http://schemas.openxmlformats.org/officeDocument/2006/relationships/hyperlink" Target="https://www.stj.jus.br/sites/portalp/Paginas/Comunicacao/Noticiasantigas/2019/O-empenho-da-Justica-para-evitar-os-danos-da-alienacao-parental.aspx" TargetMode="External"/><Relationship Id="rId44" Type="http://schemas.openxmlformats.org/officeDocument/2006/relationships/hyperlink" Target="https://doi.org/10.55908/RGCV18N2-015" TargetMode="External"/><Relationship Id="rId65" Type="http://schemas.openxmlformats.org/officeDocument/2006/relationships/hyperlink" Target="https://www.planalto.gov.br/ccivil_03/leis/l8213cons.htm?utm_source=chatgpt.com" TargetMode="External"/><Relationship Id="rId86" Type="http://schemas.openxmlformats.org/officeDocument/2006/relationships/hyperlink" Target="https://legal.un.org/avl/ha/dbpjvcap/dbpjvcap.html" TargetMode="External"/><Relationship Id="rId130" Type="http://schemas.openxmlformats.org/officeDocument/2006/relationships/hyperlink" Target="https://www.stj.jus.br/sites/portalp/Paginas/Comunicacao/Noticiasantigas/2019/O-empenho-da-Justica-para-evitar-os-danos-da-alienacao-parental.aspx" TargetMode="External"/><Relationship Id="rId151" Type="http://schemas.openxmlformats.org/officeDocument/2006/relationships/hyperlink" Target="https://brasilescola.uol.com.br/amp/historiab/escravidao-no-brasil.htm" TargetMode="External"/><Relationship Id="rId172" Type="http://schemas.openxmlformats.org/officeDocument/2006/relationships/header" Target="header20.xml"/><Relationship Id="rId193" Type="http://schemas.openxmlformats.org/officeDocument/2006/relationships/header" Target="header21.xml"/><Relationship Id="rId207" Type="http://schemas.openxmlformats.org/officeDocument/2006/relationships/hyperlink" Target="https://www.planalto.gov.br/ccivil_03/_ato2023-2026/2023/lei/l14597.htm" TargetMode="External"/><Relationship Id="rId13" Type="http://schemas.openxmlformats.org/officeDocument/2006/relationships/header" Target="header3.xml"/><Relationship Id="rId109" Type="http://schemas.openxmlformats.org/officeDocument/2006/relationships/hyperlink" Target="https://www.planalto.gov.br/ccivil_03/leis/l8069.htm" TargetMode="External"/><Relationship Id="rId34" Type="http://schemas.openxmlformats.org/officeDocument/2006/relationships/hyperlink" Target="https://atos.cnj.jus.br/atos/detalhar/2975?utm_source=chatgpt.com" TargetMode="External"/><Relationship Id="rId55" Type="http://schemas.openxmlformats.org/officeDocument/2006/relationships/hyperlink" Target="https://periodicos.newsciencepubl.com/arace/article/view/1875" TargetMode="External"/><Relationship Id="rId76" Type="http://schemas.openxmlformats.org/officeDocument/2006/relationships/hyperlink" Target="https://www.cnj.jus.br/wp-content/uploads/2016/05/resolucao225.pdf" TargetMode="External"/><Relationship Id="rId97" Type="http://schemas.openxmlformats.org/officeDocument/2006/relationships/footer" Target="footer11.xml"/><Relationship Id="rId120" Type="http://schemas.openxmlformats.org/officeDocument/2006/relationships/hyperlink" Target="https://www.stj.jus.br/sites/portalp/Paginas/Comunicacao/Noticiasantigas/2019/O-empenho-da-Justica-para-evitar-os-danos-da-alienacao-parental.aspx" TargetMode="External"/><Relationship Id="rId141" Type="http://schemas.openxmlformats.org/officeDocument/2006/relationships/hyperlink" Target="https://periodicorease.pro.br/rease/article/view/14266" TargetMode="External"/><Relationship Id="rId7" Type="http://schemas.openxmlformats.org/officeDocument/2006/relationships/footnotes" Target="footnotes.xml"/><Relationship Id="rId162" Type="http://schemas.openxmlformats.org/officeDocument/2006/relationships/header" Target="header16.xml"/><Relationship Id="rId183" Type="http://schemas.openxmlformats.org/officeDocument/2006/relationships/hyperlink" Target="https://www.planalto.gov.br/" TargetMode="External"/><Relationship Id="rId24" Type="http://schemas.openxmlformats.org/officeDocument/2006/relationships/footer" Target="footer8.xml"/><Relationship Id="rId45" Type="http://schemas.openxmlformats.org/officeDocument/2006/relationships/hyperlink" Target="https://doi.org/10.55908/RGCV18N2-015" TargetMode="External"/><Relationship Id="rId66" Type="http://schemas.openxmlformats.org/officeDocument/2006/relationships/hyperlink" Target="https://www.planalto.gov.br/ccivil_03/leis/l9032.htm" TargetMode="External"/><Relationship Id="rId87" Type="http://schemas.openxmlformats.org/officeDocument/2006/relationships/hyperlink" Target="https://legal.un.org/avl/ha/dbpjvcap/dbpjvcap.html" TargetMode="External"/><Relationship Id="rId110" Type="http://schemas.openxmlformats.org/officeDocument/2006/relationships/hyperlink" Target="https://www.planalto.gov.br/ccivil_03/_ato2007" TargetMode="External"/><Relationship Id="rId131" Type="http://schemas.openxmlformats.org/officeDocument/2006/relationships/hyperlink" Target="https://www.stj.jus.br/sites/portalp/Paginas/Comunicacao/Noticiasantigas/2019/O-empenho-da-Justica-para-evitar-os-danos-da-alienacao-parental.aspx" TargetMode="External"/><Relationship Id="rId152" Type="http://schemas.openxmlformats.org/officeDocument/2006/relationships/hyperlink" Target="https://www.stj.jus.br/" TargetMode="External"/><Relationship Id="rId173" Type="http://schemas.openxmlformats.org/officeDocument/2006/relationships/footer" Target="footer20.xml"/><Relationship Id="rId194" Type="http://schemas.openxmlformats.org/officeDocument/2006/relationships/header" Target="header22.xml"/><Relationship Id="rId208" Type="http://schemas.openxmlformats.org/officeDocument/2006/relationships/hyperlink" Target="https://repositorio.pucgoias.edu.br/jspui/handle/123456789/9782" TargetMode="External"/><Relationship Id="rId14" Type="http://schemas.openxmlformats.org/officeDocument/2006/relationships/header" Target="header4.xml"/><Relationship Id="rId30" Type="http://schemas.openxmlformats.org/officeDocument/2006/relationships/hyperlink" Target="http://pepsic.bvsalud.org/scielo.php?script=sci_abstract&amp;pid=S0104-12822015000300019" TargetMode="External"/><Relationship Id="rId35" Type="http://schemas.openxmlformats.org/officeDocument/2006/relationships/hyperlink" Target="https://legislacao.planalto.gov.br/legisla/legislacao.nsf/viwTodos/509f2321d97cd2d203256b280052245a?OpenDocument&amp;Highlight=1,constitui&#231;&#227;o&amp;AutoFramed" TargetMode="External"/><Relationship Id="rId56" Type="http://schemas.openxmlformats.org/officeDocument/2006/relationships/hyperlink" Target="https://www12.senado.leg.br/noticias/materias/2019/11/12/promulgada-emenda-constitucional-da-reforma-da-previdencia" TargetMode="External"/><Relationship Id="rId77" Type="http://schemas.openxmlformats.org/officeDocument/2006/relationships/hyperlink" Target="https://www.cnj.jus.br/wp-content/uploads/2016/05/resolucao225.pdf" TargetMode="External"/><Relationship Id="rId100" Type="http://schemas.openxmlformats.org/officeDocument/2006/relationships/footer" Target="footer12.xml"/><Relationship Id="rId105" Type="http://schemas.openxmlformats.org/officeDocument/2006/relationships/hyperlink" Target="https://www12.senado.leg.br/noticias/materias/2025/11/24/datasenado-violencia-de-genero-atinge-3-7-milhoes-de-brasileiras" TargetMode="External"/><Relationship Id="rId126" Type="http://schemas.openxmlformats.org/officeDocument/2006/relationships/hyperlink" Target="https://www.stj.jus.br/sites/portalp/Paginas/Comunicacao/Noticiasantigas/2019/O-empenho-da-Justica-para-evitar-os-danos-da-alienacao-parental.aspx" TargetMode="External"/><Relationship Id="rId147" Type="http://schemas.openxmlformats.org/officeDocument/2006/relationships/hyperlink" Target="http://www.planalto.gov.br/ccivil_03/decreto-lei/del5452.htm" TargetMode="External"/><Relationship Id="rId168" Type="http://schemas.openxmlformats.org/officeDocument/2006/relationships/header" Target="header18.xml"/><Relationship Id="rId8" Type="http://schemas.openxmlformats.org/officeDocument/2006/relationships/endnotes" Target="endnotes.xml"/><Relationship Id="rId51" Type="http://schemas.openxmlformats.org/officeDocument/2006/relationships/hyperlink" Target="https://repositorio.uniceub.br/jspui/handle/prefix/17843" TargetMode="External"/><Relationship Id="rId72" Type="http://schemas.openxmlformats.org/officeDocument/2006/relationships/hyperlink" Target="http://www.planalto.gov.br/ccivil_03/decreto-lei/Del3689.htm" TargetMode="External"/><Relationship Id="rId93" Type="http://schemas.openxmlformats.org/officeDocument/2006/relationships/header" Target="header10.xml"/><Relationship Id="rId98" Type="http://schemas.openxmlformats.org/officeDocument/2006/relationships/header" Target="header12.xml"/><Relationship Id="rId121" Type="http://schemas.openxmlformats.org/officeDocument/2006/relationships/hyperlink" Target="https://www.stj.jus.br/sites/portalp/Paginas/Comunicacao/Noticiasantigas/2019/O-empenho-da-Justica-para-evitar-os-danos-da-alienacao-parental.aspx" TargetMode="External"/><Relationship Id="rId142" Type="http://schemas.openxmlformats.org/officeDocument/2006/relationships/hyperlink" Target="https://www.apbprev.com.br/post/benef&#237;cios-previdenci&#225;rios-para-trabalhadores-rurais-um-guia-completo" TargetMode="External"/><Relationship Id="rId163" Type="http://schemas.openxmlformats.org/officeDocument/2006/relationships/footer" Target="footer15.xml"/><Relationship Id="rId184" Type="http://schemas.openxmlformats.org/officeDocument/2006/relationships/hyperlink" Target="https://www.cnnbrasil.com.br/" TargetMode="External"/><Relationship Id="rId189" Type="http://schemas.openxmlformats.org/officeDocument/2006/relationships/hyperlink" Target="https://atos.cnj.jus.br/atos/detalhar/2975" TargetMode="External"/><Relationship Id="rId3" Type="http://schemas.openxmlformats.org/officeDocument/2006/relationships/numbering" Target="numbering.xml"/><Relationship Id="rId214" Type="http://schemas.openxmlformats.org/officeDocument/2006/relationships/header" Target="header26.xml"/><Relationship Id="rId25" Type="http://schemas.openxmlformats.org/officeDocument/2006/relationships/hyperlink" Target="https://repositorio.idp.edu.br/handle/123456789/560" TargetMode="External"/><Relationship Id="rId46" Type="http://schemas.openxmlformats.org/officeDocument/2006/relationships/hyperlink" Target="https://dspace.sti.ufcg.edu.br/handle/riufcg/44020" TargetMode="External"/><Relationship Id="rId67" Type="http://schemas.openxmlformats.org/officeDocument/2006/relationships/hyperlink" Target="https://portal.stf.jus.br/noticias/verNoticiaDetalhe.asp?idConteudo=391696" TargetMode="External"/><Relationship Id="rId116" Type="http://schemas.openxmlformats.org/officeDocument/2006/relationships/hyperlink" Target="https://www.stj.jus.br/sites/portalp/Paginas/Comunicacao/Noticiasantigas/2019/O-empenho-da-Justica-para-evitar-os-danos-da-alienacao-parental.aspx" TargetMode="External"/><Relationship Id="rId137" Type="http://schemas.openxmlformats.org/officeDocument/2006/relationships/hyperlink" Target="https://periodicorease.pro.br/rease/article/view/18184" TargetMode="External"/><Relationship Id="rId158" Type="http://schemas.openxmlformats.org/officeDocument/2006/relationships/hyperlink" Target="https://integrada.minhabiblioteca.com.br/reader/books/9788552001713/" TargetMode="External"/><Relationship Id="rId20" Type="http://schemas.openxmlformats.org/officeDocument/2006/relationships/header" Target="header7.xml"/><Relationship Id="rId41" Type="http://schemas.openxmlformats.org/officeDocument/2006/relationships/hyperlink" Target="http://www.planalto.gov.br/ccivil_03/constituicao/constituicao.htm" TargetMode="External"/><Relationship Id="rId62" Type="http://schemas.openxmlformats.org/officeDocument/2006/relationships/hyperlink" Target="https://www.planalto.gov.br/ccivil_03/decreto/D83080.htm?utm_source=chatgpt.com" TargetMode="External"/><Relationship Id="rId83" Type="http://schemas.openxmlformats.org/officeDocument/2006/relationships/hyperlink" Target="https://www.cnj.jus.br/programas-e-acoes/justica-restaurativa/" TargetMode="External"/><Relationship Id="rId88" Type="http://schemas.openxmlformats.org/officeDocument/2006/relationships/hyperlink" Target="https://undocs.org/en/E/RES/2002/12" TargetMode="External"/><Relationship Id="rId111" Type="http://schemas.openxmlformats.org/officeDocument/2006/relationships/hyperlink" Target="https://www.planalto.gov.br/ccivil_03/_ato2007-2010/2010/lei/l12318.htm" TargetMode="External"/><Relationship Id="rId132" Type="http://schemas.openxmlformats.org/officeDocument/2006/relationships/hyperlink" Target="https://www.stj.jus.br/sites/portalp/Paginas/Comunicacao/Noticiasantigas/2019/O-empenho-da-Justica-para-evitar-os-danos-da-alienacao-parental.aspx" TargetMode="External"/><Relationship Id="rId153" Type="http://schemas.openxmlformats.org/officeDocument/2006/relationships/hyperlink" Target="https://cetic.br/pt/pesquisa/domicilios/" TargetMode="External"/><Relationship Id="rId174" Type="http://schemas.openxmlformats.org/officeDocument/2006/relationships/image" Target="media/image1.png"/><Relationship Id="rId179" Type="http://schemas.openxmlformats.org/officeDocument/2006/relationships/hyperlink" Target="https://www.planalto.gov.br/" TargetMode="External"/><Relationship Id="rId195" Type="http://schemas.openxmlformats.org/officeDocument/2006/relationships/footer" Target="footer21.xml"/><Relationship Id="rId209" Type="http://schemas.openxmlformats.org/officeDocument/2006/relationships/hyperlink" Target="https://www.politize.com.br/improbidade-administrativacomo-afeta-politica-brasileira/" TargetMode="External"/><Relationship Id="rId190" Type="http://schemas.openxmlformats.org/officeDocument/2006/relationships/hyperlink" Target="https://legislacao.planalto.gov.br/legisla/legislacao.nsf/viwTodos/509f2321d97cd2d203256b280052245a?OpenDocument&amp;Highlight=1,constitui&#231;&#227;o&amp;AutoFramed" TargetMode="External"/><Relationship Id="rId204" Type="http://schemas.openxmlformats.org/officeDocument/2006/relationships/hyperlink" Target="https://legislacao.planalto.gov.br/legisla/legislacao.nsf/viwTodos/509f2321d97cd2d203256b280052245a?OpenDocument&amp;Highlight=1,constitui&#231;&#227;o&amp;AutoFramed" TargetMode="External"/><Relationship Id="rId15" Type="http://schemas.openxmlformats.org/officeDocument/2006/relationships/footer" Target="footer3.xml"/><Relationship Id="rId36" Type="http://schemas.openxmlformats.org/officeDocument/2006/relationships/hyperlink" Target="https://www.planalto.gov.br/ccivil_03/constituicao/Emendas/ECR/quadro_ecr.htm" TargetMode="External"/><Relationship Id="rId57" Type="http://schemas.openxmlformats.org/officeDocument/2006/relationships/hyperlink" Target="https://legislacao.planalto.gov.br/legisla/legislacao.nsf/viwTodos/509f2321d97cd2d203256b280052245a?OpenDocument&amp;Highlight=1,constitui&#231;&#227;o&amp;AutoFramed" TargetMode="External"/><Relationship Id="rId106" Type="http://schemas.openxmlformats.org/officeDocument/2006/relationships/hyperlink" Target="https://amz.onl/00hW43Tv" TargetMode="External"/><Relationship Id="rId127" Type="http://schemas.openxmlformats.org/officeDocument/2006/relationships/hyperlink" Target="https://www.stj.jus.br/sites/portalp/Paginas/Comunicacao/Noticiasantigas/2019/O-empenho-da-Justica-para-evitar-os-danos-da-alienacao-parental.aspx" TargetMode="External"/><Relationship Id="rId10" Type="http://schemas.openxmlformats.org/officeDocument/2006/relationships/footer" Target="footer1.xml"/><Relationship Id="rId31" Type="http://schemas.openxmlformats.org/officeDocument/2006/relationships/hyperlink" Target="https://doi.org/10.1590/S0104-07072012000200010" TargetMode="External"/><Relationship Id="rId52" Type="http://schemas.openxmlformats.org/officeDocument/2006/relationships/hyperlink" Target="https://revista.direitofranca.br/index.php/icfdf/article/view/1374" TargetMode="External"/><Relationship Id="rId73" Type="http://schemas.openxmlformats.org/officeDocument/2006/relationships/hyperlink" Target="http://www.planalto.gov.br/ccivil_03/decreto-lei/Del3689.htm" TargetMode="External"/><Relationship Id="rId78" Type="http://schemas.openxmlformats.org/officeDocument/2006/relationships/hyperlink" Target="http://www.planalto.gov.br/ccivil_03/leis/L7210.htm" TargetMode="External"/><Relationship Id="rId94" Type="http://schemas.openxmlformats.org/officeDocument/2006/relationships/footer" Target="footer9.xml"/><Relationship Id="rId99" Type="http://schemas.openxmlformats.org/officeDocument/2006/relationships/header" Target="header13.xml"/><Relationship Id="rId101" Type="http://schemas.openxmlformats.org/officeDocument/2006/relationships/footer" Target="footer13.xml"/><Relationship Id="rId122" Type="http://schemas.openxmlformats.org/officeDocument/2006/relationships/hyperlink" Target="https://www.stj.jus.br/sites/portalp/Paginas/Comunicacao/Noticiasantigas/2019/O-empenho-da-Justica-para-evitar-os-danos-da-alienacao-parental.aspx" TargetMode="External"/><Relationship Id="rId143" Type="http://schemas.openxmlformats.org/officeDocument/2006/relationships/hyperlink" Target="https://periodicos.ufba.br/index.php/revistaoes/article/view/24254" TargetMode="External"/><Relationship Id="rId148" Type="http://schemas.openxmlformats.org/officeDocument/2006/relationships/hyperlink" Target="https://www.gov.br/inss" TargetMode="External"/><Relationship Id="rId164" Type="http://schemas.openxmlformats.org/officeDocument/2006/relationships/footer" Target="footer16.xml"/><Relationship Id="rId169" Type="http://schemas.openxmlformats.org/officeDocument/2006/relationships/header" Target="header19.xml"/><Relationship Id="rId185" Type="http://schemas.openxmlformats.org/officeDocument/2006/relationships/hyperlink" Target="https://forumseguranca.org.br/" TargetMode="External"/><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hyperlink" Target="https://www.gov.br/mdh/pt-br/navegue-por-temas/educacao-em-direitos-humanos/diretrizes-nacionais-para-a-educacao-em-direitos-humanos" TargetMode="External"/><Relationship Id="rId210" Type="http://schemas.openxmlformats.org/officeDocument/2006/relationships/header" Target="header24.xml"/><Relationship Id="rId215" Type="http://schemas.openxmlformats.org/officeDocument/2006/relationships/footer" Target="footer26.xml"/><Relationship Id="rId26" Type="http://schemas.openxmlformats.org/officeDocument/2006/relationships/hyperlink" Target="https://www.camara.leg.br/" TargetMode="External"/><Relationship Id="rId47" Type="http://schemas.openxmlformats.org/officeDocument/2006/relationships/hyperlink" Target="https://dspace.sti.ufcg.edu.br/handle/riufcg/44020" TargetMode="External"/><Relationship Id="rId68" Type="http://schemas.openxmlformats.org/officeDocument/2006/relationships/hyperlink" Target="https://juslaboris.tst.jus.br/handle/20.500.12178/172911" TargetMode="External"/><Relationship Id="rId89" Type="http://schemas.openxmlformats.org/officeDocument/2006/relationships/hyperlink" Target="https://www.mpba.mp.br/sites/default/files/biblioteca/nupia/resolucao_onu_2002.pdf" TargetMode="External"/><Relationship Id="rId112" Type="http://schemas.openxmlformats.org/officeDocument/2006/relationships/hyperlink" Target="https://www.planalto.gov.br/ccivil_03/_ato2007-2010/2010/lei/l12318.htm" TargetMode="External"/><Relationship Id="rId133" Type="http://schemas.openxmlformats.org/officeDocument/2006/relationships/hyperlink" Target="https://www.stj.jus.br/sites/portalp/Paginas/Comunicacao/Noticiasantigas/2019/O-empenho-da-Justica-para-evitar-os-danos-da-alienacao-parental.aspx" TargetMode="External"/><Relationship Id="rId154" Type="http://schemas.openxmlformats.org/officeDocument/2006/relationships/hyperlink" Target="https://g1.globo.com/trabalho-e-carreira/noticia/2025/01/28/mais-de-65-mil-pessoas-foram-resgatadas-nos-ultimos-30-anos-no-brasil.ghtml" TargetMode="External"/><Relationship Id="rId175" Type="http://schemas.openxmlformats.org/officeDocument/2006/relationships/hyperlink" Target="https://www.cnj.jus.br/wpcontent/uploads/2011/02/leila_linhares_barsted.pdf" TargetMode="External"/><Relationship Id="rId196" Type="http://schemas.openxmlformats.org/officeDocument/2006/relationships/footer" Target="footer22.xml"/><Relationship Id="rId200" Type="http://schemas.openxmlformats.org/officeDocument/2006/relationships/hyperlink" Target="https://datenbank.nwb.de/Dokument/Anzeigen/741207/" TargetMode="External"/><Relationship Id="rId16" Type="http://schemas.openxmlformats.org/officeDocument/2006/relationships/footer" Target="footer4.xml"/><Relationship Id="rId37" Type="http://schemas.openxmlformats.org/officeDocument/2006/relationships/hyperlink" Target="https://www.planalto.gov.br/ccivil_03/leis/2002/l10406compilada.htm" TargetMode="External"/><Relationship Id="rId58" Type="http://schemas.openxmlformats.org/officeDocument/2006/relationships/hyperlink" Target="https://www.planalto.gov.br/ccivil_03/constituicao/Emendas/ECR/quadro_ecr.htm" TargetMode="External"/><Relationship Id="rId79" Type="http://schemas.openxmlformats.org/officeDocument/2006/relationships/hyperlink" Target="http://www.planalto.gov.br/ccivil_03/leis/L7210.htm" TargetMode="External"/><Relationship Id="rId102" Type="http://schemas.openxmlformats.org/officeDocument/2006/relationships/header" Target="header14.xml"/><Relationship Id="rId123" Type="http://schemas.openxmlformats.org/officeDocument/2006/relationships/hyperlink" Target="https://www.stj.jus.br/sites/portalp/Paginas/Comunicacao/Noticiasantigas/2019/O-empenho-da-Justica-para-evitar-os-danos-da-alienacao-parental.aspx" TargetMode="External"/><Relationship Id="rId144" Type="http://schemas.openxmlformats.org/officeDocument/2006/relationships/hyperlink" Target="https://www.benedettiadvocacia.com.br/publicacoes/requisitos-da-aposentadoria-do-trabalhador-rural" TargetMode="External"/><Relationship Id="rId90" Type="http://schemas.openxmlformats.org/officeDocument/2006/relationships/hyperlink" Target="https://bdjur.stj.jus.br/" TargetMode="External"/><Relationship Id="rId165" Type="http://schemas.openxmlformats.org/officeDocument/2006/relationships/header" Target="header17.xml"/><Relationship Id="rId186" Type="http://schemas.openxmlformats.org/officeDocument/2006/relationships/hyperlink" Target="https://g1.globo.com/go/goias/" TargetMode="External"/><Relationship Id="rId211" Type="http://schemas.openxmlformats.org/officeDocument/2006/relationships/header" Target="header25.xml"/><Relationship Id="rId27" Type="http://schemas.openxmlformats.org/officeDocument/2006/relationships/hyperlink" Target="http://www.planalto.gov.br/ccivil_03/_ato2004-2006/2006/lei/l11340.htm" TargetMode="External"/><Relationship Id="rId48" Type="http://schemas.openxmlformats.org/officeDocument/2006/relationships/hyperlink" Target="https://g1.globo.com/rj/rio-de-janeiro/noticia/2025/05/26/cao-de-servico-impedido-embarcar-previne-meltdown.ghtml" TargetMode="External"/><Relationship Id="rId69" Type="http://schemas.openxmlformats.org/officeDocument/2006/relationships/hyperlink" Target="https://www.gov.br/inep/pt-br/areas-de-atuacao/pesquisas-estatisticas-e-indicadores/censo-escolar/resulta" TargetMode="External"/><Relationship Id="rId113" Type="http://schemas.openxmlformats.org/officeDocument/2006/relationships/hyperlink" Target="https://www.stj.jus.br/sites/portalp/Paginas/Comunicacao/Noticiasantigas/2019/O-empenho-da-Justica-para-evitar-os-danos-da-alienacao-parental.aspx" TargetMode="External"/><Relationship Id="rId134" Type="http://schemas.openxmlformats.org/officeDocument/2006/relationships/hyperlink" Target="https://periodicorease.pro.br/rease/article/view/13548" TargetMode="External"/><Relationship Id="rId80" Type="http://schemas.openxmlformats.org/officeDocument/2006/relationships/hyperlink" Target="https://www.gov.br/senappen" TargetMode="External"/><Relationship Id="rId155" Type="http://schemas.openxmlformats.org/officeDocument/2006/relationships/hyperlink" Target="https://www.jusbrasil.com.br/artigos/empregado-rural-e-a-relacao-de-emprego-do-ruricola/1620589550" TargetMode="External"/><Relationship Id="rId176" Type="http://schemas.openxmlformats.org/officeDocument/2006/relationships/hyperlink" Target="https://www.planalto.gov.br/" TargetMode="External"/><Relationship Id="rId197" Type="http://schemas.openxmlformats.org/officeDocument/2006/relationships/header" Target="header23.xml"/><Relationship Id="rId201" Type="http://schemas.openxmlformats.org/officeDocument/2006/relationships/hyperlink" Target="https://www.ibahia.com/brasil/detalhe/noticia/apos-morte-gabriel-diniz-ganha-700-mil-seguidores-em-menos-de-dez-horas/" TargetMode="External"/><Relationship Id="rId17" Type="http://schemas.openxmlformats.org/officeDocument/2006/relationships/header" Target="header5.xml"/><Relationship Id="rId38" Type="http://schemas.openxmlformats.org/officeDocument/2006/relationships/hyperlink" Target="https://www.planalto.gov.br/ccivil_03/leis/l8069.htm" TargetMode="External"/><Relationship Id="rId59" Type="http://schemas.openxmlformats.org/officeDocument/2006/relationships/hyperlink" Target="https://www.planalto.gov.br/ccivil_03/decreto/d3048.htm" TargetMode="External"/><Relationship Id="rId103" Type="http://schemas.openxmlformats.org/officeDocument/2006/relationships/footer" Target="footer14.xml"/><Relationship Id="rId124" Type="http://schemas.openxmlformats.org/officeDocument/2006/relationships/hyperlink" Target="https://www.stj.jus.br/sites/portalp/Paginas/Comunicacao/Noticiasantigas/2019/O-empenho-da-Justica-para-evitar-os-danos-da-alienacao-parental.aspx" TargetMode="External"/><Relationship Id="rId70" Type="http://schemas.openxmlformats.org/officeDocument/2006/relationships/hyperlink" Target="https://www.unesco.org/en/inclusion-education" TargetMode="External"/><Relationship Id="rId91" Type="http://schemas.openxmlformats.org/officeDocument/2006/relationships/hyperlink" Target="https://bdjur.stj.jus.br/" TargetMode="External"/><Relationship Id="rId145" Type="http://schemas.openxmlformats.org/officeDocument/2006/relationships/hyperlink" Target="https://previdenciarista.com/blog/as-diferencas-entre-o-empregado-rural-e-o-segurado-especial-a-luz-da-lei-no-8-213-1991/" TargetMode="External"/><Relationship Id="rId166" Type="http://schemas.openxmlformats.org/officeDocument/2006/relationships/footer" Target="footer17.xml"/><Relationship Id="rId187" Type="http://schemas.openxmlformats.org/officeDocument/2006/relationships/hyperlink" Target="https://www.oas.org/" TargetMode="External"/><Relationship Id="rId1" Type="http://schemas.openxmlformats.org/officeDocument/2006/relationships/customXml" Target="../customXml/item1.xml"/><Relationship Id="rId212" Type="http://schemas.openxmlformats.org/officeDocument/2006/relationships/footer" Target="footer24.xml"/><Relationship Id="rId28" Type="http://schemas.openxmlformats.org/officeDocument/2006/relationships/hyperlink" Target="https://www.camara.leg.br/noticias/" TargetMode="External"/><Relationship Id="rId49" Type="http://schemas.openxmlformats.org/officeDocument/2006/relationships/hyperlink" Target="https://repositorio.uniceub.br/jspui/handle/prefix/17843" TargetMode="External"/><Relationship Id="rId114" Type="http://schemas.openxmlformats.org/officeDocument/2006/relationships/hyperlink" Target="https://www.stj.jus.br/sites/portalp/Paginas/Comunicacao/Noticiasantigas/2019/O-empenho-da-Justica-para-evitar-os-danos-da-alienacao-parental.aspx" TargetMode="External"/><Relationship Id="rId60" Type="http://schemas.openxmlformats.org/officeDocument/2006/relationships/hyperlink" Target="https://www.planalto.gov.br/ccivil_03/decreto/historicos/dpl/dpl4682-1923.htm" TargetMode="External"/><Relationship Id="rId81" Type="http://schemas.openxmlformats.org/officeDocument/2006/relationships/hyperlink" Target="https://www.gov.br/senappen" TargetMode="External"/><Relationship Id="rId135" Type="http://schemas.openxmlformats.org/officeDocument/2006/relationships/hyperlink" Target="https://periodicorease.pro.br/rease/article/view/13548" TargetMode="External"/><Relationship Id="rId156" Type="http://schemas.openxmlformats.org/officeDocument/2006/relationships/hyperlink" Target="https://www.oxfam.org.br/trabalho-no-campo-os-desafios-a-serem-superados-no-cenario-atual/" TargetMode="External"/><Relationship Id="rId177" Type="http://schemas.openxmlformats.org/officeDocument/2006/relationships/hyperlink" Target="https://www.planalto.gov.br/" TargetMode="External"/><Relationship Id="rId198" Type="http://schemas.openxmlformats.org/officeDocument/2006/relationships/footer" Target="footer23.xml"/><Relationship Id="rId202" Type="http://schemas.openxmlformats.org/officeDocument/2006/relationships/hyperlink" Target="https://vejasp.abril.com.br/blog/pop/carol-bittencourt-instagram-seguidores-fabio-melo/" TargetMode="External"/><Relationship Id="rId18" Type="http://schemas.openxmlformats.org/officeDocument/2006/relationships/footer" Target="footer5.xml"/><Relationship Id="rId39" Type="http://schemas.openxmlformats.org/officeDocument/2006/relationships/hyperlink" Target="https://jurisprudencia.stf.jus.br/pages/search?base=acordaos&amp;sinonimo=true&amp;plural=true&amp;page=1&amp;pageSize=10&amp;sort=_score&amp;sortBy=desc&amp;isAdvanced=true&amp;origem=AP&amp;classeNumeroIncidente=RE%20898060" TargetMode="External"/><Relationship Id="rId50" Type="http://schemas.openxmlformats.org/officeDocument/2006/relationships/hyperlink" Target="https://repositorio.uniceub.br/jspui/handle/prefix/17843" TargetMode="External"/><Relationship Id="rId104" Type="http://schemas.openxmlformats.org/officeDocument/2006/relationships/hyperlink" Target="https://www.planalto.gov.br/" TargetMode="External"/><Relationship Id="rId125" Type="http://schemas.openxmlformats.org/officeDocument/2006/relationships/hyperlink" Target="https://www.stj.jus.br/sites/portalp/Paginas/Comunicacao/Noticiasantigas/2019/O-empenho-da-Justica-para-evitar-os-danos-da-alienacao-parental.aspx" TargetMode="External"/><Relationship Id="rId146" Type="http://schemas.openxmlformats.org/officeDocument/2006/relationships/hyperlink" Target="https://www.planalto.gov.br/ccivil_03/decreto-lei/del2848.htm" TargetMode="External"/><Relationship Id="rId167" Type="http://schemas.openxmlformats.org/officeDocument/2006/relationships/hyperlink" Target="https://cesad.ufs.br/ORBI/public/uploadCatalago/10483228032023Conservacao_Preservacao_e_Restauro_Aula_3.pdf" TargetMode="External"/><Relationship Id="rId188" Type="http://schemas.openxmlformats.org/officeDocument/2006/relationships/hyperlink" Target="https://atos.cnj.jus.br/atos/detalhar/2525" TargetMode="External"/><Relationship Id="rId71" Type="http://schemas.openxmlformats.org/officeDocument/2006/relationships/hyperlink" Target="https://www.unesco.org/en/inclusion-education" TargetMode="External"/><Relationship Id="rId92" Type="http://schemas.openxmlformats.org/officeDocument/2006/relationships/header" Target="header9.xml"/><Relationship Id="rId213" Type="http://schemas.openxmlformats.org/officeDocument/2006/relationships/footer" Target="footer25.xml"/><Relationship Id="rId2" Type="http://schemas.openxmlformats.org/officeDocument/2006/relationships/customXml" Target="../customXml/item2.xml"/><Relationship Id="rId29" Type="http://schemas.openxmlformats.org/officeDocument/2006/relationships/hyperlink" Target="https://www.scielo.br/j/csc/a/jgnr6zsltwkhvdkrdfhpcdw/" TargetMode="External"/><Relationship Id="rId40" Type="http://schemas.openxmlformats.org/officeDocument/2006/relationships/hyperlink" Target="https://www.jusbrasil.com.br/processos/nome/30785370/ricardo-raupp-ruschel" TargetMode="External"/><Relationship Id="rId115" Type="http://schemas.openxmlformats.org/officeDocument/2006/relationships/hyperlink" Target="https://www.stj.jus.br/sites/portalp/Paginas/Comunicacao/Noticiasantigas/2019/O-empenho-da-Justica-para-evitar-os-danos-da-alienacao-parental.aspx" TargetMode="External"/><Relationship Id="rId136" Type="http://schemas.openxmlformats.org/officeDocument/2006/relationships/hyperlink" Target="https://periodicorease.pro.br/rease/article/view/18184" TargetMode="External"/><Relationship Id="rId157" Type="http://schemas.openxmlformats.org/officeDocument/2006/relationships/hyperlink" Target="https://acervodigital.ufpr.br/handle/1884/50976?utm_source=chatgpt.com" TargetMode="External"/><Relationship Id="rId178" Type="http://schemas.openxmlformats.org/officeDocument/2006/relationships/hyperlink" Target="https://www.planalto.gov.br/" TargetMode="External"/><Relationship Id="rId61" Type="http://schemas.openxmlformats.org/officeDocument/2006/relationships/hyperlink" Target="https://www.planalto.gov.br/ccivil_03/decreto/D53831.htm" TargetMode="External"/><Relationship Id="rId82" Type="http://schemas.openxmlformats.org/officeDocument/2006/relationships/hyperlink" Target="https://www.cnj.jus.br/programas-e-acoes/justica-restaurativa/" TargetMode="External"/><Relationship Id="rId199" Type="http://schemas.openxmlformats.org/officeDocument/2006/relationships/hyperlink" Target="https://www.stj.jus.br/" TargetMode="External"/><Relationship Id="rId203" Type="http://schemas.openxmlformats.org/officeDocument/2006/relationships/hyperlink" Target="https://www.stj.jus.br/" TargetMode="External"/><Relationship Id="rId19" Type="http://schemas.openxmlformats.org/officeDocument/2006/relationships/header" Target="header6.xml"/></Relationships>
</file>

<file path=word/_rels/footer10.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11.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17.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19.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20.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22.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23.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25.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26.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anais.unievangelica.edu.br/index.php/juridicoraizes/index" TargetMode="External"/><Relationship Id="rId1" Type="http://schemas.openxmlformats.org/officeDocument/2006/relationships/hyperlink" Target="http://anais.unievangelica.edu.br/index.php/juridicoraizes/index"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anais.unievangelica.edu.br/index.php/juridicoraizes/index"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anais.unievangelica.edu.br/index.php/juridicoraizes/index"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mailto:brunafelipedocente@gmail.com" TargetMode="External"/><Relationship Id="rId13" Type="http://schemas.openxmlformats.org/officeDocument/2006/relationships/hyperlink" Target="mailto:rafaelagrare2003@gmail.com" TargetMode="External"/><Relationship Id="rId3" Type="http://schemas.openxmlformats.org/officeDocument/2006/relationships/hyperlink" Target="mailto:mariaroz292000@gmail.com" TargetMode="External"/><Relationship Id="rId7" Type="http://schemas.openxmlformats.org/officeDocument/2006/relationships/hyperlink" Target="mailto:thiagocarmoimoveis@gmail.com" TargetMode="External"/><Relationship Id="rId12" Type="http://schemas.openxmlformats.org/officeDocument/2006/relationships/hyperlink" Target="mailto:cristiane.bonfim@docente.faculdaderaizes.edu.br" TargetMode="External"/><Relationship Id="rId2" Type="http://schemas.openxmlformats.org/officeDocument/2006/relationships/hyperlink" Target="mailto:carolinapinheiroandrade@gmail.com" TargetMode="External"/><Relationship Id="rId16" Type="http://schemas.openxmlformats.org/officeDocument/2006/relationships/hyperlink" Target="mailto:mariaclaragrat@gmai.com" TargetMode="External"/><Relationship Id="rId1" Type="http://schemas.openxmlformats.org/officeDocument/2006/relationships/hyperlink" Target="mailto:mariaeduradam098@gmail.com" TargetMode="External"/><Relationship Id="rId6" Type="http://schemas.openxmlformats.org/officeDocument/2006/relationships/hyperlink" Target="mailto:lisboaaninha17@gmail.com" TargetMode="External"/><Relationship Id="rId11" Type="http://schemas.openxmlformats.org/officeDocument/2006/relationships/hyperlink" Target="mailto:cesar.oliveira@faculdaderaizes.edu.br" TargetMode="External"/><Relationship Id="rId5" Type="http://schemas.openxmlformats.org/officeDocument/2006/relationships/hyperlink" Target="mailto:naiarafonseca2003@gmail.com" TargetMode="External"/><Relationship Id="rId15" Type="http://schemas.openxmlformats.org/officeDocument/2006/relationships/hyperlink" Target="mailto:gcborgesreis@gmail.com" TargetMode="External"/><Relationship Id="rId10" Type="http://schemas.openxmlformats.org/officeDocument/2006/relationships/hyperlink" Target="mailto:cristiane.bonfim@docente.faculdaderaizes.edu.br" TargetMode="External"/><Relationship Id="rId4" Type="http://schemas.openxmlformats.org/officeDocument/2006/relationships/hyperlink" Target="mailto:jakellynehribeiro15@gmail.com" TargetMode="External"/><Relationship Id="rId9" Type="http://schemas.openxmlformats.org/officeDocument/2006/relationships/hyperlink" Target="mailto:amandda005@gmail.com" TargetMode="External"/><Relationship Id="rId14" Type="http://schemas.openxmlformats.org/officeDocument/2006/relationships/hyperlink" Target="mailto:luanaluizapeixoto@gmail.com"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F3AA3-3538-4A3D-BA45-E9BCD958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361</Pages>
  <Words>140219</Words>
  <Characters>757185</Characters>
  <Application>Microsoft Office Word</Application>
  <DocSecurity>0</DocSecurity>
  <Lines>6309</Lines>
  <Paragraphs>1791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Cristiane Ingrid de Souza Bonfim</cp:lastModifiedBy>
  <cp:revision>3</cp:revision>
  <cp:lastPrinted>2026-06-22T21:51:00Z</cp:lastPrinted>
  <dcterms:created xsi:type="dcterms:W3CDTF">2026-06-22T22:41:00Z</dcterms:created>
  <dcterms:modified xsi:type="dcterms:W3CDTF">2026-06-22T22:56:00Z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2025-07-30T00:00:00Z</vt:filetime>
  </property>
  <property fmtid="{D5CDD505-2E9C-101B-9397-08002B2CF9AE}" pid="3" name="Creator">
    <vt:lpwstr>Mozilla Firefox 141.0</vt:lpwstr>
  </property>
  <property fmtid="{D5CDD505-2E9C-101B-9397-08002B2CF9AE}" pid="4" name="ICV">
    <vt:lpwstr>14666C5062414EF3AAF69F3ECB5E2AE5_13</vt:lpwstr>
  </property>
  <property fmtid="{D5CDD505-2E9C-101B-9397-08002B2CF9AE}" pid="5" name="KSOProductBuildVer">
    <vt:lpwstr>1046-12.1.0.25830</vt:lpwstr>
  </property>
  <property fmtid="{D5CDD505-2E9C-101B-9397-08002B2CF9AE}" pid="6" name="KSOTemplateDocerSaveRecord">
    <vt:lpwstr>eyJoZGlkIjoiYzkyNWEyNDVmY2YwNGQ3NmZjZWM4ZjRhYThhNmFiMGEiLCJ1c2VySWQiOiIxMjM2OTUxMjg4ODAxIn0=</vt:lpwstr>
  </property>
  <property fmtid="{D5CDD505-2E9C-101B-9397-08002B2CF9AE}" pid="7" name="LastSaved">
    <vt:filetime>2025-07-30T00:00:00Z</vt:filetime>
  </property>
  <property fmtid="{D5CDD505-2E9C-101B-9397-08002B2CF9AE}" pid="8" name="Producer">
    <vt:lpwstr>cairo 1.18.0 (https://cairographics.org)</vt:lpwstr>
  </property>
</Properties>
</file>